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E66A" w14:textId="77777777" w:rsidR="00400FA0" w:rsidRDefault="00400FA0" w:rsidP="00497EC1">
      <w:pPr>
        <w:ind w:left="5103"/>
        <w:jc w:val="center"/>
        <w:rPr>
          <w:sz w:val="24"/>
          <w:szCs w:val="24"/>
          <w:lang w:val="uk-UA"/>
        </w:rPr>
      </w:pPr>
    </w:p>
    <w:p w14:paraId="7DCF2112" w14:textId="5E3A5DD7" w:rsidR="00F6006B" w:rsidRPr="0055324F" w:rsidRDefault="00F6006B" w:rsidP="00F737BE">
      <w:pPr>
        <w:ind w:left="5103"/>
        <w:jc w:val="center"/>
        <w:rPr>
          <w:sz w:val="24"/>
          <w:szCs w:val="24"/>
          <w:lang w:val="uk-UA"/>
        </w:rPr>
      </w:pPr>
      <w:r w:rsidRPr="0055324F">
        <w:rPr>
          <w:sz w:val="24"/>
          <w:szCs w:val="24"/>
          <w:lang w:val="uk-UA"/>
        </w:rPr>
        <w:t>Додаток</w:t>
      </w:r>
    </w:p>
    <w:p w14:paraId="0E34A076" w14:textId="77777777" w:rsidR="00F6006B" w:rsidRPr="0055324F" w:rsidRDefault="00F6006B" w:rsidP="00F737BE">
      <w:pPr>
        <w:ind w:left="5103"/>
        <w:jc w:val="center"/>
        <w:rPr>
          <w:sz w:val="24"/>
          <w:szCs w:val="24"/>
          <w:lang w:val="uk-UA"/>
        </w:rPr>
      </w:pPr>
      <w:r w:rsidRPr="0055324F">
        <w:rPr>
          <w:sz w:val="24"/>
          <w:szCs w:val="24"/>
          <w:lang w:val="uk-UA"/>
        </w:rPr>
        <w:t>до рішення Чорноморської міської ради</w:t>
      </w:r>
    </w:p>
    <w:p w14:paraId="23E2ED2B" w14:textId="3CCCE3D9" w:rsidR="00F6006B" w:rsidRPr="0055324F" w:rsidRDefault="00F6006B" w:rsidP="00F737BE">
      <w:pPr>
        <w:ind w:left="5103"/>
        <w:jc w:val="center"/>
        <w:rPr>
          <w:sz w:val="24"/>
          <w:szCs w:val="24"/>
          <w:lang w:val="uk-UA"/>
        </w:rPr>
      </w:pPr>
      <w:r w:rsidRPr="0055324F">
        <w:rPr>
          <w:sz w:val="24"/>
          <w:szCs w:val="24"/>
          <w:lang w:val="uk-UA"/>
        </w:rPr>
        <w:t>від _____</w:t>
      </w:r>
      <w:r w:rsidR="00837A43">
        <w:rPr>
          <w:sz w:val="24"/>
          <w:szCs w:val="24"/>
          <w:lang w:val="uk-UA"/>
        </w:rPr>
        <w:t>__</w:t>
      </w:r>
      <w:r w:rsidRPr="0055324F">
        <w:rPr>
          <w:sz w:val="24"/>
          <w:szCs w:val="24"/>
          <w:lang w:val="uk-UA"/>
        </w:rPr>
        <w:t>2023 № ___</w:t>
      </w:r>
      <w:r w:rsidR="00837A43">
        <w:rPr>
          <w:sz w:val="24"/>
          <w:szCs w:val="24"/>
          <w:lang w:val="uk-UA"/>
        </w:rPr>
        <w:t>__</w:t>
      </w:r>
      <w:r w:rsidRPr="0055324F">
        <w:rPr>
          <w:sz w:val="24"/>
          <w:szCs w:val="24"/>
          <w:lang w:val="uk-UA"/>
        </w:rPr>
        <w:t>-VIII</w:t>
      </w:r>
    </w:p>
    <w:p w14:paraId="6D9D330B" w14:textId="77777777" w:rsidR="00497EC1" w:rsidRDefault="00497EC1" w:rsidP="00F737BE">
      <w:pPr>
        <w:jc w:val="center"/>
        <w:rPr>
          <w:b/>
          <w:bCs/>
          <w:sz w:val="24"/>
          <w:szCs w:val="24"/>
          <w:lang w:val="uk-UA"/>
        </w:rPr>
      </w:pPr>
    </w:p>
    <w:p w14:paraId="6048AFDC" w14:textId="7F6C0232" w:rsidR="00F6006B" w:rsidRPr="0055324F" w:rsidRDefault="00F6006B" w:rsidP="00F737BE">
      <w:pPr>
        <w:jc w:val="center"/>
        <w:rPr>
          <w:b/>
          <w:bCs/>
          <w:sz w:val="24"/>
          <w:szCs w:val="24"/>
          <w:lang w:val="uk-UA"/>
        </w:rPr>
      </w:pPr>
      <w:r w:rsidRPr="0055324F">
        <w:rPr>
          <w:b/>
          <w:bCs/>
          <w:sz w:val="24"/>
          <w:szCs w:val="24"/>
          <w:lang w:val="uk-UA"/>
        </w:rPr>
        <w:t>ЗМІНИ</w:t>
      </w:r>
    </w:p>
    <w:p w14:paraId="15087E1D" w14:textId="1B4DE09D" w:rsidR="00F6006B" w:rsidRPr="0055324F" w:rsidRDefault="00F6006B" w:rsidP="00F737BE">
      <w:pPr>
        <w:jc w:val="center"/>
        <w:rPr>
          <w:b/>
          <w:bCs/>
          <w:sz w:val="24"/>
          <w:szCs w:val="24"/>
          <w:lang w:val="uk-UA"/>
        </w:rPr>
      </w:pPr>
      <w:r w:rsidRPr="0055324F">
        <w:rPr>
          <w:b/>
          <w:bCs/>
          <w:sz w:val="24"/>
          <w:szCs w:val="24"/>
          <w:bdr w:val="none" w:sz="0" w:space="0" w:color="auto" w:frame="1"/>
          <w:lang w:val="uk-UA"/>
        </w:rPr>
        <w:t>до Міської програми співфінансування заходів, направлених на доведення багатоквартирних житлових будинків 13-го мікрорайону  м. Чорноморська</w:t>
      </w:r>
      <w:r w:rsidRPr="0055324F">
        <w:rPr>
          <w:b/>
          <w:bCs/>
          <w:lang w:val="uk-UA"/>
        </w:rPr>
        <w:t xml:space="preserve"> </w:t>
      </w:r>
      <w:r w:rsidRPr="0055324F">
        <w:rPr>
          <w:b/>
          <w:bCs/>
          <w:sz w:val="24"/>
          <w:szCs w:val="24"/>
          <w:bdr w:val="none" w:sz="0" w:space="0" w:color="auto" w:frame="1"/>
          <w:lang w:val="uk-UA"/>
        </w:rPr>
        <w:t>до стану, придатного для проживання, на 2021-2023 роки</w:t>
      </w:r>
      <w:r w:rsidRPr="0055324F">
        <w:rPr>
          <w:b/>
          <w:bCs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                                                від 12.04.2021 № 55-VІII </w:t>
      </w:r>
    </w:p>
    <w:p w14:paraId="4707BE51" w14:textId="71D170E6" w:rsidR="0055324F" w:rsidRPr="00F737BE" w:rsidRDefault="00F6006B" w:rsidP="00F737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55324F">
        <w:rPr>
          <w:sz w:val="24"/>
          <w:szCs w:val="24"/>
          <w:lang w:val="uk-UA"/>
        </w:rPr>
        <w:t xml:space="preserve">Замінити у назві та тексті рішення слова та </w:t>
      </w:r>
      <w:r w:rsidR="00DD5809">
        <w:rPr>
          <w:sz w:val="24"/>
          <w:szCs w:val="24"/>
          <w:lang w:val="uk-UA"/>
        </w:rPr>
        <w:t>числа</w:t>
      </w:r>
      <w:r w:rsidRPr="0055324F">
        <w:rPr>
          <w:sz w:val="24"/>
          <w:szCs w:val="24"/>
          <w:lang w:val="uk-UA"/>
        </w:rPr>
        <w:t xml:space="preserve"> «</w:t>
      </w:r>
      <w:r w:rsidRPr="0055324F">
        <w:rPr>
          <w:sz w:val="24"/>
          <w:szCs w:val="24"/>
          <w:bdr w:val="none" w:sz="0" w:space="0" w:color="auto" w:frame="1"/>
          <w:lang w:val="uk-UA"/>
        </w:rPr>
        <w:t xml:space="preserve">2021-2023 роки» на слова та </w:t>
      </w:r>
      <w:r w:rsidR="00CE3D3E">
        <w:rPr>
          <w:sz w:val="24"/>
          <w:szCs w:val="24"/>
          <w:bdr w:val="none" w:sz="0" w:space="0" w:color="auto" w:frame="1"/>
          <w:lang w:val="uk-UA"/>
        </w:rPr>
        <w:t>числа</w:t>
      </w:r>
      <w:r w:rsidRPr="0055324F">
        <w:rPr>
          <w:sz w:val="24"/>
          <w:szCs w:val="24"/>
          <w:bdr w:val="none" w:sz="0" w:space="0" w:color="auto" w:frame="1"/>
          <w:lang w:val="uk-UA"/>
        </w:rPr>
        <w:t xml:space="preserve"> </w:t>
      </w:r>
      <w:r w:rsidRPr="0055324F">
        <w:rPr>
          <w:sz w:val="24"/>
          <w:szCs w:val="24"/>
          <w:lang w:val="uk-UA"/>
        </w:rPr>
        <w:t>«</w:t>
      </w:r>
      <w:r w:rsidRPr="0055324F">
        <w:rPr>
          <w:sz w:val="24"/>
          <w:szCs w:val="24"/>
          <w:bdr w:val="none" w:sz="0" w:space="0" w:color="auto" w:frame="1"/>
          <w:lang w:val="uk-UA"/>
        </w:rPr>
        <w:t xml:space="preserve">2021-2024 роки». </w:t>
      </w:r>
    </w:p>
    <w:p w14:paraId="48DE8A07" w14:textId="2BAD8840" w:rsidR="0055324F" w:rsidRPr="0055324F" w:rsidRDefault="00284998" w:rsidP="00F737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Пункт</w:t>
      </w:r>
      <w:r w:rsidR="0055324F" w:rsidRPr="0055324F">
        <w:rPr>
          <w:sz w:val="24"/>
          <w:szCs w:val="24"/>
          <w:lang w:val="uk-UA"/>
        </w:rPr>
        <w:t xml:space="preserve"> 5 паспорту Програми викласти у новій редакції: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5097"/>
      </w:tblGrid>
      <w:tr w:rsidR="0055324F" w:rsidRPr="0055324F" w14:paraId="41ECF997" w14:textId="77777777" w:rsidTr="00837A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0FCD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bookmarkStart w:id="0" w:name="_Hlk144216730"/>
            <w:r w:rsidRPr="0055324F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C78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6EFF" w14:textId="11EDBCEC" w:rsidR="0055324F" w:rsidRPr="0055324F" w:rsidRDefault="0055324F" w:rsidP="00F737BE">
            <w:pPr>
              <w:pStyle w:val="a3"/>
              <w:numPr>
                <w:ilvl w:val="1"/>
                <w:numId w:val="3"/>
              </w:num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роки</w:t>
            </w:r>
          </w:p>
        </w:tc>
      </w:tr>
    </w:tbl>
    <w:bookmarkEnd w:id="0"/>
    <w:p w14:paraId="366D8F78" w14:textId="6861C83A" w:rsidR="0055324F" w:rsidRPr="0055324F" w:rsidRDefault="0055324F" w:rsidP="00F737BE">
      <w:pPr>
        <w:pStyle w:val="a3"/>
        <w:tabs>
          <w:tab w:val="left" w:pos="709"/>
          <w:tab w:val="left" w:pos="851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284998">
        <w:rPr>
          <w:sz w:val="24"/>
          <w:szCs w:val="24"/>
          <w:lang w:val="uk-UA"/>
        </w:rPr>
        <w:t>Пункт</w:t>
      </w:r>
      <w:r w:rsidRPr="0055324F">
        <w:rPr>
          <w:sz w:val="24"/>
          <w:szCs w:val="24"/>
          <w:lang w:val="uk-UA"/>
        </w:rPr>
        <w:t xml:space="preserve"> 9 паспорту Програми</w:t>
      </w:r>
      <w:r>
        <w:rPr>
          <w:sz w:val="24"/>
          <w:szCs w:val="24"/>
          <w:lang w:val="uk-UA"/>
        </w:rPr>
        <w:t xml:space="preserve"> викласти у новій редакції</w:t>
      </w:r>
      <w:r w:rsidRPr="0055324F">
        <w:rPr>
          <w:sz w:val="24"/>
          <w:szCs w:val="24"/>
          <w:lang w:val="uk-UA"/>
        </w:rPr>
        <w:t>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1276"/>
        <w:gridCol w:w="1330"/>
        <w:gridCol w:w="1357"/>
      </w:tblGrid>
      <w:tr w:rsidR="0055324F" w:rsidRPr="0055324F" w14:paraId="4FC38C7A" w14:textId="77777777" w:rsidTr="00837A43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C91C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AD5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Орієнтовний обсяг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80B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F99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CA4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1EE" w14:textId="77777777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>2024</w:t>
            </w:r>
          </w:p>
        </w:tc>
      </w:tr>
      <w:tr w:rsidR="0055324F" w:rsidRPr="006617F9" w14:paraId="4919FE6B" w14:textId="77777777" w:rsidTr="00837A43">
        <w:trPr>
          <w:trHeight w:val="2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F3D2" w14:textId="77777777" w:rsidR="0055324F" w:rsidRPr="0055324F" w:rsidRDefault="0055324F" w:rsidP="00F737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E6B" w14:textId="77777777" w:rsidR="0055324F" w:rsidRPr="0055324F" w:rsidRDefault="0055324F" w:rsidP="00F737B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4B28" w14:textId="2B633E54" w:rsidR="0055324F" w:rsidRPr="0055324F" w:rsidRDefault="0055324F" w:rsidP="00F737BE">
            <w:pPr>
              <w:pStyle w:val="a3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55324F">
              <w:rPr>
                <w:sz w:val="24"/>
                <w:szCs w:val="24"/>
              </w:rPr>
              <w:t xml:space="preserve">Згідно з рішеннями </w:t>
            </w:r>
            <w:r w:rsidR="00C26A59">
              <w:rPr>
                <w:sz w:val="24"/>
                <w:szCs w:val="24"/>
              </w:rPr>
              <w:t xml:space="preserve">міської </w:t>
            </w:r>
            <w:r w:rsidRPr="0055324F">
              <w:rPr>
                <w:sz w:val="24"/>
                <w:szCs w:val="24"/>
              </w:rPr>
              <w:t xml:space="preserve">ради про бюджет Чорноморської </w:t>
            </w:r>
            <w:r w:rsidR="002277C1">
              <w:rPr>
                <w:sz w:val="24"/>
                <w:szCs w:val="24"/>
              </w:rPr>
              <w:t xml:space="preserve">міської </w:t>
            </w:r>
            <w:r w:rsidRPr="0055324F">
              <w:rPr>
                <w:sz w:val="24"/>
                <w:szCs w:val="24"/>
              </w:rPr>
              <w:t>територіальної громади на відповідний рік</w:t>
            </w:r>
          </w:p>
        </w:tc>
      </w:tr>
    </w:tbl>
    <w:p w14:paraId="57DB4BDF" w14:textId="0EA7373D" w:rsidR="0055324F" w:rsidRPr="0055324F" w:rsidRDefault="0055324F" w:rsidP="00F737BE">
      <w:pPr>
        <w:pStyle w:val="a3"/>
        <w:tabs>
          <w:tab w:val="left" w:pos="709"/>
          <w:tab w:val="left" w:pos="851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55324F">
        <w:rPr>
          <w:sz w:val="24"/>
          <w:szCs w:val="24"/>
          <w:lang w:val="uk-UA"/>
        </w:rPr>
        <w:t xml:space="preserve">Пункт 4.3 розділу 4 </w:t>
      </w:r>
      <w:r w:rsidR="001B3845">
        <w:rPr>
          <w:sz w:val="24"/>
          <w:szCs w:val="24"/>
          <w:lang w:val="uk-UA"/>
        </w:rPr>
        <w:t>П</w:t>
      </w:r>
      <w:r w:rsidRPr="0055324F">
        <w:rPr>
          <w:sz w:val="24"/>
          <w:szCs w:val="24"/>
          <w:lang w:val="uk-UA"/>
        </w:rPr>
        <w:t xml:space="preserve">рограми викласти </w:t>
      </w:r>
      <w:r>
        <w:rPr>
          <w:sz w:val="24"/>
          <w:szCs w:val="24"/>
          <w:lang w:val="uk-UA"/>
        </w:rPr>
        <w:t>у</w:t>
      </w:r>
      <w:r w:rsidRPr="0055324F">
        <w:rPr>
          <w:sz w:val="24"/>
          <w:szCs w:val="24"/>
          <w:lang w:val="uk-UA"/>
        </w:rPr>
        <w:t xml:space="preserve"> новій редакції:</w:t>
      </w:r>
    </w:p>
    <w:p w14:paraId="74668427" w14:textId="5884DB79" w:rsidR="00497EC1" w:rsidRDefault="00497EC1" w:rsidP="00F737BE">
      <w:pPr>
        <w:tabs>
          <w:tab w:val="left" w:pos="567"/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ab/>
      </w:r>
      <w:r w:rsidR="0055324F" w:rsidRPr="0055324F">
        <w:rPr>
          <w:sz w:val="24"/>
          <w:szCs w:val="24"/>
          <w:lang w:val="uk-UA" w:eastAsia="uk-UA"/>
        </w:rPr>
        <w:t xml:space="preserve">«4.3. </w:t>
      </w:r>
      <w:r>
        <w:rPr>
          <w:sz w:val="24"/>
          <w:szCs w:val="24"/>
          <w:lang w:val="uk-UA"/>
        </w:rPr>
        <w:t xml:space="preserve">З </w:t>
      </w:r>
      <w:r w:rsidRPr="00554D36">
        <w:rPr>
          <w:sz w:val="24"/>
          <w:szCs w:val="24"/>
          <w:lang w:val="uk-UA"/>
        </w:rPr>
        <w:t xml:space="preserve"> урахуванням </w:t>
      </w:r>
      <w:r>
        <w:rPr>
          <w:sz w:val="24"/>
          <w:szCs w:val="24"/>
          <w:lang w:val="uk-UA"/>
        </w:rPr>
        <w:t xml:space="preserve">положень </w:t>
      </w:r>
      <w:r w:rsidRPr="00554D36">
        <w:rPr>
          <w:sz w:val="24"/>
          <w:szCs w:val="24"/>
          <w:lang w:val="uk-UA"/>
        </w:rPr>
        <w:t xml:space="preserve">ст. 48 Бюджетного кодексу України зобов’язання ОСББ, яке є отримувачем коштів </w:t>
      </w:r>
      <w:r>
        <w:rPr>
          <w:sz w:val="24"/>
          <w:szCs w:val="24"/>
          <w:lang w:val="uk-UA"/>
        </w:rPr>
        <w:t xml:space="preserve">згідно з даною </w:t>
      </w:r>
      <w:r w:rsidRPr="00554D36">
        <w:rPr>
          <w:sz w:val="24"/>
          <w:szCs w:val="24"/>
          <w:lang w:val="uk-UA"/>
        </w:rPr>
        <w:t>Програм</w:t>
      </w:r>
      <w:r>
        <w:rPr>
          <w:sz w:val="24"/>
          <w:szCs w:val="24"/>
          <w:lang w:val="uk-UA"/>
        </w:rPr>
        <w:t>ою</w:t>
      </w:r>
      <w:r w:rsidRPr="00554D36">
        <w:rPr>
          <w:sz w:val="24"/>
          <w:szCs w:val="24"/>
          <w:lang w:val="uk-UA"/>
        </w:rPr>
        <w:t xml:space="preserve">, щодо оплати виконаних робіт виникають виключно при наявності та в обсягах відповідного бюджетного асигнування, затвердженого для головного розпорядника </w:t>
      </w:r>
      <w:r>
        <w:rPr>
          <w:sz w:val="24"/>
          <w:szCs w:val="24"/>
          <w:lang w:val="uk-UA"/>
        </w:rPr>
        <w:t xml:space="preserve">бюджетних коштів </w:t>
      </w:r>
      <w:r w:rsidRPr="00554D36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управління капітального будівництва Чорноморської міської ради Одеського району Одеської області</w:t>
      </w:r>
      <w:r w:rsidRPr="00554D36">
        <w:rPr>
          <w:sz w:val="24"/>
          <w:szCs w:val="24"/>
          <w:lang w:val="uk-UA"/>
        </w:rPr>
        <w:t xml:space="preserve">) на фінансування закупівлі протягом поточного бюджетного періоду. </w:t>
      </w:r>
    </w:p>
    <w:p w14:paraId="1BE8C57B" w14:textId="45F6F799" w:rsidR="00497EC1" w:rsidRPr="0055324F" w:rsidRDefault="00497EC1" w:rsidP="00F737BE">
      <w:pPr>
        <w:tabs>
          <w:tab w:val="left" w:pos="567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554D36">
        <w:rPr>
          <w:sz w:val="24"/>
          <w:szCs w:val="24"/>
          <w:lang w:val="uk-UA"/>
        </w:rPr>
        <w:t>Виконання та оплата вартості залишкового обсягу робіт, сума яких перевищує розмір наявного бюджетного асигнування, здійсню</w:t>
      </w:r>
      <w:r>
        <w:rPr>
          <w:sz w:val="24"/>
          <w:szCs w:val="24"/>
          <w:lang w:val="uk-UA"/>
        </w:rPr>
        <w:t>є</w:t>
      </w:r>
      <w:r w:rsidRPr="00554D36">
        <w:rPr>
          <w:sz w:val="24"/>
          <w:szCs w:val="24"/>
          <w:lang w:val="uk-UA"/>
        </w:rPr>
        <w:t xml:space="preserve">ться виключно за умови затвердження додаткових бюджетних асигнувань для головного розпорядника </w:t>
      </w:r>
      <w:r>
        <w:rPr>
          <w:sz w:val="24"/>
          <w:szCs w:val="24"/>
          <w:lang w:val="uk-UA"/>
        </w:rPr>
        <w:t xml:space="preserve">бюджетних </w:t>
      </w:r>
      <w:r w:rsidRPr="00554D36">
        <w:rPr>
          <w:sz w:val="24"/>
          <w:szCs w:val="24"/>
          <w:lang w:val="uk-UA"/>
        </w:rPr>
        <w:t>коштів (</w:t>
      </w:r>
      <w:r>
        <w:rPr>
          <w:sz w:val="24"/>
          <w:szCs w:val="24"/>
          <w:lang w:val="uk-UA"/>
        </w:rPr>
        <w:t>управління капітального будівництва Чорноморської міської ради Одеського району Одеської області</w:t>
      </w:r>
      <w:r w:rsidRPr="00554D36">
        <w:rPr>
          <w:sz w:val="24"/>
          <w:szCs w:val="24"/>
          <w:lang w:val="uk-UA"/>
        </w:rPr>
        <w:t>) протягом відповідного бюджетного періоду</w:t>
      </w:r>
      <w:r>
        <w:rPr>
          <w:sz w:val="24"/>
          <w:szCs w:val="24"/>
          <w:lang w:val="uk-UA"/>
        </w:rPr>
        <w:t xml:space="preserve">. </w:t>
      </w:r>
    </w:p>
    <w:p w14:paraId="6B27C7EE" w14:textId="702DECE5" w:rsidR="00F737BE" w:rsidRDefault="0055324F" w:rsidP="00F737BE">
      <w:pPr>
        <w:tabs>
          <w:tab w:val="left" w:pos="426"/>
        </w:tabs>
        <w:ind w:firstLine="567"/>
        <w:jc w:val="both"/>
        <w:rPr>
          <w:sz w:val="24"/>
          <w:szCs w:val="24"/>
          <w:lang w:val="uk-UA" w:eastAsia="uk-UA"/>
        </w:rPr>
      </w:pPr>
      <w:r w:rsidRPr="0055324F">
        <w:rPr>
          <w:sz w:val="24"/>
          <w:szCs w:val="24"/>
          <w:lang w:val="uk-UA" w:eastAsia="uk-UA"/>
        </w:rPr>
        <w:t>Фінансування/співфінансування заходів Програми за рахунок коштів бюджету здійснюється шляхом перерахування фінансової підтримки ОСББ на рахунок, відкритий в територіальному органі Державної казначейської служби України</w:t>
      </w:r>
      <w:r w:rsidR="001B3845">
        <w:rPr>
          <w:sz w:val="24"/>
          <w:szCs w:val="24"/>
          <w:lang w:val="uk-UA" w:eastAsia="uk-UA"/>
        </w:rPr>
        <w:t>,</w:t>
      </w:r>
      <w:r w:rsidRPr="0055324F">
        <w:rPr>
          <w:sz w:val="24"/>
          <w:szCs w:val="24"/>
          <w:lang w:val="uk-UA" w:eastAsia="uk-UA"/>
        </w:rPr>
        <w:t xml:space="preserve"> на наступних умовах: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425"/>
        <w:gridCol w:w="2552"/>
        <w:gridCol w:w="1910"/>
        <w:gridCol w:w="821"/>
        <w:gridCol w:w="1008"/>
        <w:gridCol w:w="869"/>
        <w:gridCol w:w="1154"/>
        <w:gridCol w:w="1468"/>
      </w:tblGrid>
      <w:tr w:rsidR="00EA7D98" w:rsidRPr="006617F9" w14:paraId="4CF1D781" w14:textId="77777777" w:rsidTr="00F737BE">
        <w:trPr>
          <w:cantSplit/>
          <w:trHeight w:val="7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0A7" w14:textId="6D052C7B" w:rsidR="00EA7D98" w:rsidRPr="00497EC1" w:rsidRDefault="00EA7D98" w:rsidP="00F737BE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 xml:space="preserve">№ </w:t>
            </w:r>
            <w:r w:rsidR="00837A43" w:rsidRPr="00497EC1">
              <w:rPr>
                <w:b/>
                <w:sz w:val="22"/>
                <w:szCs w:val="22"/>
              </w:rPr>
              <w:t>з</w:t>
            </w:r>
            <w:r w:rsidRPr="00497E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AFCC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Заходи Програми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284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Умови співфінансування (%)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EEA3" w14:textId="29FBA6C9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Обсяг коштів бюджету Чорноморської міської територіальної громади, що планується залучити (тис. грн)</w:t>
            </w:r>
          </w:p>
        </w:tc>
      </w:tr>
      <w:tr w:rsidR="00EA7D98" w:rsidRPr="00497EC1" w14:paraId="514F0220" w14:textId="77777777" w:rsidTr="00F737BE">
        <w:trPr>
          <w:cantSplit/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461A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646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49A" w14:textId="66140800" w:rsidR="00F62820" w:rsidRPr="00497EC1" w:rsidRDefault="00EA7D98" w:rsidP="00F737BE">
            <w:pPr>
              <w:pStyle w:val="a3"/>
              <w:ind w:left="612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 xml:space="preserve">Загальний обсяг фінансування </w:t>
            </w:r>
            <w:r w:rsidR="009F4A87" w:rsidRPr="00497EC1">
              <w:rPr>
                <w:b/>
                <w:sz w:val="22"/>
                <w:szCs w:val="22"/>
              </w:rPr>
              <w:t>П</w:t>
            </w:r>
            <w:r w:rsidRPr="00497EC1">
              <w:rPr>
                <w:b/>
                <w:sz w:val="22"/>
                <w:szCs w:val="22"/>
              </w:rPr>
              <w:t>рограми 30247,1094</w:t>
            </w:r>
            <w:r w:rsidR="0086254C" w:rsidRPr="00497EC1">
              <w:rPr>
                <w:b/>
                <w:sz w:val="22"/>
                <w:szCs w:val="22"/>
              </w:rPr>
              <w:t>4</w:t>
            </w:r>
          </w:p>
        </w:tc>
      </w:tr>
      <w:tr w:rsidR="00F737BE" w:rsidRPr="00497EC1" w14:paraId="75869127" w14:textId="77777777" w:rsidTr="00F737BE">
        <w:trPr>
          <w:trHeight w:val="11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58B8" w14:textId="77777777" w:rsidR="00EA7D98" w:rsidRPr="00497EC1" w:rsidRDefault="00EA7D98" w:rsidP="00F737BE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58B" w14:textId="77777777" w:rsidR="00EA7D98" w:rsidRPr="00497EC1" w:rsidRDefault="00EA7D98" w:rsidP="00F737BE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2227" w14:textId="72F1DA4B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бюджет Чорноморської міської територіальної громади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DEAD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кошти ОСББ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A4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2021</w:t>
            </w:r>
          </w:p>
          <w:p w14:paraId="487B3498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7CF7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2022</w:t>
            </w:r>
          </w:p>
          <w:p w14:paraId="69CFF016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6C75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2023</w:t>
            </w:r>
          </w:p>
          <w:p w14:paraId="015FB700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D17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2024</w:t>
            </w:r>
          </w:p>
          <w:p w14:paraId="15F4EE00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рік</w:t>
            </w:r>
          </w:p>
          <w:p w14:paraId="705B317E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F737BE" w:rsidRPr="00497EC1" w14:paraId="04FF4C26" w14:textId="77777777" w:rsidTr="00F737BE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720A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C0A1" w14:textId="784CEEF9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 xml:space="preserve">Будівництво мереж електропостачання, у </w:t>
            </w:r>
            <w:proofErr w:type="spellStart"/>
            <w:r w:rsidRPr="00497EC1">
              <w:rPr>
                <w:bCs/>
                <w:sz w:val="22"/>
                <w:szCs w:val="22"/>
              </w:rPr>
              <w:t>т.ч</w:t>
            </w:r>
            <w:proofErr w:type="spellEnd"/>
            <w:r w:rsidRPr="00497EC1">
              <w:rPr>
                <w:bCs/>
                <w:sz w:val="22"/>
                <w:szCs w:val="22"/>
              </w:rPr>
              <w:t>. плата за приєднання до електричних мереж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F8C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A409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D41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49,74515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B76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9A8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  <w:lang w:val="en-US"/>
              </w:rPr>
              <w:t>7</w:t>
            </w:r>
            <w:r w:rsidRPr="00497EC1">
              <w:rPr>
                <w:bCs/>
                <w:sz w:val="22"/>
                <w:szCs w:val="22"/>
              </w:rPr>
              <w:t>950,25485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C90F" w14:textId="77777777" w:rsidR="00EA7D98" w:rsidRPr="00497EC1" w:rsidRDefault="00EA7D98" w:rsidP="00F737BE">
            <w:pPr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22247,10944</w:t>
            </w:r>
          </w:p>
        </w:tc>
      </w:tr>
      <w:tr w:rsidR="00F737BE" w:rsidRPr="00497EC1" w14:paraId="692BC78E" w14:textId="77777777" w:rsidTr="00F737BE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F7B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FBEF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Встановлення ліфтового обладнання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907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FD25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19F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BEE8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A491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4A28" w14:textId="77777777" w:rsidR="00EA7D98" w:rsidRPr="00497EC1" w:rsidRDefault="00EA7D98" w:rsidP="00F737BE">
            <w:pPr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</w:tr>
      <w:tr w:rsidR="00F737BE" w:rsidRPr="00497EC1" w14:paraId="169250D0" w14:textId="77777777" w:rsidTr="00F737BE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96C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D138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Улаштування систем диспетчеризації, пожежної безпеки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3B24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C034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27C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6B6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AAA9" w14:textId="77777777" w:rsidR="00EA7D98" w:rsidRPr="00497EC1" w:rsidRDefault="00EA7D98" w:rsidP="00F737BE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E98" w14:textId="77777777" w:rsidR="00EA7D98" w:rsidRPr="00497EC1" w:rsidRDefault="00EA7D98" w:rsidP="00F737BE">
            <w:pPr>
              <w:jc w:val="center"/>
              <w:rPr>
                <w:bCs/>
                <w:sz w:val="22"/>
                <w:szCs w:val="22"/>
              </w:rPr>
            </w:pPr>
            <w:r w:rsidRPr="00497EC1">
              <w:rPr>
                <w:bCs/>
                <w:sz w:val="22"/>
                <w:szCs w:val="22"/>
              </w:rPr>
              <w:t>0</w:t>
            </w:r>
          </w:p>
        </w:tc>
      </w:tr>
      <w:tr w:rsidR="00EA7D98" w:rsidRPr="00497EC1" w14:paraId="75FCD8C0" w14:textId="77777777" w:rsidTr="00F737BE">
        <w:trPr>
          <w:trHeight w:val="429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F9C2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1CF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49,74515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416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83CB" w14:textId="77777777" w:rsidR="00EA7D98" w:rsidRPr="00497EC1" w:rsidRDefault="00EA7D98" w:rsidP="00F737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7950,25485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9B4" w14:textId="77777777" w:rsidR="00EA7D98" w:rsidRPr="00497EC1" w:rsidRDefault="00EA7D98" w:rsidP="00F737BE">
            <w:pPr>
              <w:jc w:val="center"/>
              <w:rPr>
                <w:b/>
                <w:sz w:val="22"/>
                <w:szCs w:val="22"/>
              </w:rPr>
            </w:pPr>
            <w:r w:rsidRPr="00497EC1">
              <w:rPr>
                <w:b/>
                <w:sz w:val="22"/>
                <w:szCs w:val="22"/>
              </w:rPr>
              <w:t>22247,10944</w:t>
            </w:r>
          </w:p>
        </w:tc>
      </w:tr>
    </w:tbl>
    <w:p w14:paraId="5D49C94B" w14:textId="4272B736" w:rsidR="00DD5809" w:rsidRPr="0055324F" w:rsidRDefault="006617F9" w:rsidP="00F737BE">
      <w:pPr>
        <w:tabs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»</w:t>
      </w:r>
    </w:p>
    <w:p w14:paraId="1A801A9A" w14:textId="77777777" w:rsidR="0055324F" w:rsidRPr="0055324F" w:rsidRDefault="0055324F" w:rsidP="00F737BE">
      <w:pPr>
        <w:rPr>
          <w:rFonts w:eastAsia="Calibri"/>
          <w:sz w:val="24"/>
          <w:szCs w:val="24"/>
          <w:lang w:val="uk-UA"/>
        </w:rPr>
      </w:pPr>
      <w:r w:rsidRPr="0055324F">
        <w:rPr>
          <w:sz w:val="24"/>
          <w:szCs w:val="24"/>
          <w:lang w:val="uk-UA"/>
        </w:rPr>
        <w:t xml:space="preserve">      Депутат міської ради </w:t>
      </w:r>
      <w:r w:rsidRPr="0055324F">
        <w:rPr>
          <w:sz w:val="24"/>
          <w:szCs w:val="24"/>
          <w:lang w:val="uk-UA"/>
        </w:rPr>
        <w:tab/>
      </w:r>
      <w:r w:rsidRPr="0055324F">
        <w:rPr>
          <w:sz w:val="24"/>
          <w:szCs w:val="24"/>
          <w:lang w:val="uk-UA"/>
        </w:rPr>
        <w:tab/>
      </w:r>
      <w:r w:rsidRPr="0055324F">
        <w:rPr>
          <w:sz w:val="24"/>
          <w:szCs w:val="24"/>
          <w:lang w:val="uk-UA"/>
        </w:rPr>
        <w:tab/>
      </w:r>
      <w:r w:rsidRPr="0055324F">
        <w:rPr>
          <w:sz w:val="24"/>
          <w:szCs w:val="24"/>
          <w:lang w:val="uk-UA"/>
        </w:rPr>
        <w:tab/>
      </w:r>
      <w:r w:rsidRPr="0055324F">
        <w:rPr>
          <w:sz w:val="24"/>
          <w:szCs w:val="24"/>
          <w:lang w:val="uk-UA"/>
        </w:rPr>
        <w:tab/>
      </w:r>
      <w:r w:rsidRPr="0055324F">
        <w:rPr>
          <w:sz w:val="24"/>
          <w:szCs w:val="24"/>
          <w:lang w:val="uk-UA"/>
        </w:rPr>
        <w:tab/>
        <w:t xml:space="preserve">Ганна РОМАНЕНКО  </w:t>
      </w:r>
    </w:p>
    <w:p w14:paraId="55925BAE" w14:textId="77777777" w:rsidR="0055324F" w:rsidRPr="0055324F" w:rsidRDefault="0055324F" w:rsidP="00F737BE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sectPr w:rsidR="0055324F" w:rsidRPr="0055324F" w:rsidSect="00F737BE">
      <w:headerReference w:type="default" r:id="rId7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DA24" w14:textId="77777777" w:rsidR="00280F32" w:rsidRDefault="00280F32" w:rsidP="00DD5809">
      <w:r>
        <w:separator/>
      </w:r>
    </w:p>
  </w:endnote>
  <w:endnote w:type="continuationSeparator" w:id="0">
    <w:p w14:paraId="23D17497" w14:textId="77777777" w:rsidR="00280F32" w:rsidRDefault="00280F32" w:rsidP="00DD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224E" w14:textId="77777777" w:rsidR="00280F32" w:rsidRDefault="00280F32" w:rsidP="00DD5809">
      <w:r>
        <w:separator/>
      </w:r>
    </w:p>
  </w:footnote>
  <w:footnote w:type="continuationSeparator" w:id="0">
    <w:p w14:paraId="79AF376A" w14:textId="77777777" w:rsidR="00280F32" w:rsidRDefault="00280F32" w:rsidP="00DD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59375"/>
      <w:docPartObj>
        <w:docPartGallery w:val="Page Numbers (Top of Page)"/>
        <w:docPartUnique/>
      </w:docPartObj>
    </w:sdtPr>
    <w:sdtEndPr/>
    <w:sdtContent>
      <w:p w14:paraId="71A25CE6" w14:textId="749895F0" w:rsidR="00DD5809" w:rsidRDefault="0077297D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           </w:t>
        </w:r>
        <w:r w:rsidR="00DD5809">
          <w:fldChar w:fldCharType="begin"/>
        </w:r>
        <w:r w:rsidR="00DD5809">
          <w:instrText>PAGE   \* MERGEFORMAT</w:instrText>
        </w:r>
        <w:r w:rsidR="00DD5809">
          <w:fldChar w:fldCharType="separate"/>
        </w:r>
        <w:r w:rsidR="00DD5809">
          <w:rPr>
            <w:lang w:val="uk-UA"/>
          </w:rPr>
          <w:t>2</w:t>
        </w:r>
        <w:r w:rsidR="00DD5809">
          <w:fldChar w:fldCharType="end"/>
        </w:r>
        <w:r>
          <w:rPr>
            <w:lang w:val="uk-UA"/>
          </w:rPr>
          <w:t xml:space="preserve">                                                     Продовження додатка </w:t>
        </w:r>
      </w:p>
    </w:sdtContent>
  </w:sdt>
  <w:p w14:paraId="5764BA34" w14:textId="77777777" w:rsidR="00DD5809" w:rsidRDefault="00DD58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12A"/>
    <w:multiLevelType w:val="hybridMultilevel"/>
    <w:tmpl w:val="C83C6086"/>
    <w:lvl w:ilvl="0" w:tplc="5D201F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39742F"/>
    <w:multiLevelType w:val="multilevel"/>
    <w:tmpl w:val="03BED7DC"/>
    <w:lvl w:ilvl="0">
      <w:start w:val="202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9A13C7"/>
    <w:multiLevelType w:val="hybridMultilevel"/>
    <w:tmpl w:val="6B24CCBE"/>
    <w:lvl w:ilvl="0" w:tplc="B906B2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D"/>
    <w:rsid w:val="00090307"/>
    <w:rsid w:val="001B3845"/>
    <w:rsid w:val="002277C1"/>
    <w:rsid w:val="00280F32"/>
    <w:rsid w:val="00284998"/>
    <w:rsid w:val="00325EF7"/>
    <w:rsid w:val="00393B56"/>
    <w:rsid w:val="00400FA0"/>
    <w:rsid w:val="00474FB1"/>
    <w:rsid w:val="00497EC1"/>
    <w:rsid w:val="0055324F"/>
    <w:rsid w:val="005D518B"/>
    <w:rsid w:val="006617F9"/>
    <w:rsid w:val="0077297D"/>
    <w:rsid w:val="00837A43"/>
    <w:rsid w:val="0086254C"/>
    <w:rsid w:val="00936E1D"/>
    <w:rsid w:val="009B043E"/>
    <w:rsid w:val="009F4A87"/>
    <w:rsid w:val="00A1011E"/>
    <w:rsid w:val="00C26A59"/>
    <w:rsid w:val="00CE3D3E"/>
    <w:rsid w:val="00DA36DB"/>
    <w:rsid w:val="00DD5809"/>
    <w:rsid w:val="00EA0BC9"/>
    <w:rsid w:val="00EA7D98"/>
    <w:rsid w:val="00F6006B"/>
    <w:rsid w:val="00F62820"/>
    <w:rsid w:val="00F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41B2"/>
  <w15:chartTrackingRefBased/>
  <w15:docId w15:val="{0D8FB3A9-394A-4234-8F55-91449D42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6B"/>
    <w:pPr>
      <w:ind w:left="720"/>
      <w:contextualSpacing/>
    </w:pPr>
  </w:style>
  <w:style w:type="table" w:styleId="a4">
    <w:name w:val="Table Grid"/>
    <w:basedOn w:val="a1"/>
    <w:uiPriority w:val="59"/>
    <w:rsid w:val="0055324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80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D5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580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D58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cp:lastPrinted>2023-09-29T10:05:00Z</cp:lastPrinted>
  <dcterms:created xsi:type="dcterms:W3CDTF">2023-09-15T13:13:00Z</dcterms:created>
  <dcterms:modified xsi:type="dcterms:W3CDTF">2023-09-29T10:06:00Z</dcterms:modified>
</cp:coreProperties>
</file>