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theme/themeOverride2.xml" ContentType="application/vnd.openxmlformats-officedocument.themeOverride+xml"/>
  <Override PartName="/word/drawings/drawing3.xml" ContentType="application/vnd.openxmlformats-officedocument.drawingml.chartshapes+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4.xml" ContentType="application/vnd.openxmlformats-officedocument.drawingml.chartshapes+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5.xml" ContentType="application/vnd.openxmlformats-officedocument.drawingml.chartshapes+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6.xml" ContentType="application/vnd.openxmlformats-officedocument.drawingml.chartshap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9.xml" ContentType="application/vnd.openxmlformats-officedocument.drawingml.chart+xml"/>
  <Override PartName="/word/theme/themeOverride3.xml" ContentType="application/vnd.openxmlformats-officedocument.themeOverride+xml"/>
  <Override PartName="/word/drawings/drawing7.xml" ContentType="application/vnd.openxmlformats-officedocument.drawingml.chartshapes+xml"/>
  <Override PartName="/word/charts/chart10.xml" ContentType="application/vnd.openxmlformats-officedocument.drawingml.chart+xml"/>
  <Override PartName="/word/theme/themeOverride4.xml" ContentType="application/vnd.openxmlformats-officedocument.themeOverride+xml"/>
  <Override PartName="/word/charts/chart11.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2.xml" ContentType="application/vnd.openxmlformats-officedocument.drawingml.chart+xml"/>
  <Override PartName="/word/theme/themeOverride5.xml" ContentType="application/vnd.openxmlformats-officedocument.themeOverride+xml"/>
  <Override PartName="/word/drawings/drawing8.xml" ContentType="application/vnd.openxmlformats-officedocument.drawingml.chartshapes+xml"/>
  <Override PartName="/word/charts/chart13.xml" ContentType="application/vnd.openxmlformats-officedocument.drawingml.chart+xml"/>
  <Override PartName="/word/drawings/drawing9.xml" ContentType="application/vnd.openxmlformats-officedocument.drawingml.chartshapes+xml"/>
  <Override PartName="/word/charts/chart14.xml" ContentType="application/vnd.openxmlformats-officedocument.drawingml.chart+xml"/>
  <Override PartName="/word/drawings/drawing10.xml" ContentType="application/vnd.openxmlformats-officedocument.drawingml.chartshapes+xml"/>
  <Override PartName="/word/charts/chart15.xml" ContentType="application/vnd.openxmlformats-officedocument.drawingml.chart+xml"/>
  <Override PartName="/word/charts/chart16.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7.xml" ContentType="application/vnd.openxmlformats-officedocument.drawingml.chart+xml"/>
  <Override PartName="/word/drawings/drawing11.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DA0" w:rsidRDefault="00B578B9" w:rsidP="005C695A">
      <w:pPr>
        <w:spacing w:after="0"/>
        <w:jc w:val="center"/>
        <w:rPr>
          <w:rFonts w:ascii="Times New Roman" w:hAnsi="Times New Roman" w:cs="Times New Roman"/>
          <w:b/>
          <w:i/>
          <w:noProof/>
          <w:color w:val="17365D" w:themeColor="text2" w:themeShade="BF"/>
          <w:sz w:val="52"/>
          <w:szCs w:val="52"/>
          <w:lang w:val="uk-UA"/>
        </w:rPr>
      </w:pPr>
      <w:r>
        <w:rPr>
          <w:rFonts w:ascii="Times New Roman" w:hAnsi="Times New Roman" w:cs="Times New Roman"/>
          <w:b/>
          <w:i/>
          <w:noProof/>
          <w:color w:val="17365D" w:themeColor="text2" w:themeShade="BF"/>
          <w:sz w:val="52"/>
          <w:szCs w:val="52"/>
          <w:lang w:val="uk-UA"/>
        </w:rPr>
        <w:t xml:space="preserve"> </w:t>
      </w:r>
    </w:p>
    <w:p w:rsidR="008A2F35" w:rsidRPr="00354D7C" w:rsidRDefault="005C695A" w:rsidP="005C695A">
      <w:pPr>
        <w:spacing w:after="0"/>
        <w:jc w:val="center"/>
        <w:rPr>
          <w:rFonts w:ascii="Times New Roman" w:hAnsi="Times New Roman" w:cs="Times New Roman"/>
          <w:b/>
          <w:i/>
          <w:noProof/>
          <w:color w:val="17365D" w:themeColor="text2" w:themeShade="BF"/>
          <w:sz w:val="52"/>
          <w:szCs w:val="52"/>
          <w:lang w:val="uk-UA"/>
        </w:rPr>
      </w:pPr>
      <w:r w:rsidRPr="00354D7C">
        <w:rPr>
          <w:noProof/>
          <w:lang w:val="uk-UA" w:eastAsia="uk-UA"/>
        </w:rPr>
        <w:drawing>
          <wp:inline distT="0" distB="0" distL="0" distR="0">
            <wp:extent cx="895350" cy="1113172"/>
            <wp:effectExtent l="1905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95350" cy="1113172"/>
                    </a:xfrm>
                    <a:prstGeom prst="rect">
                      <a:avLst/>
                    </a:prstGeom>
                    <a:noFill/>
                    <a:ln w="9525">
                      <a:noFill/>
                      <a:miter lim="800000"/>
                      <a:headEnd/>
                      <a:tailEnd/>
                    </a:ln>
                  </pic:spPr>
                </pic:pic>
              </a:graphicData>
            </a:graphic>
          </wp:inline>
        </w:drawing>
      </w:r>
    </w:p>
    <w:p w:rsidR="005C695A" w:rsidRPr="00354D7C" w:rsidRDefault="005C695A" w:rsidP="008A2F35">
      <w:pPr>
        <w:spacing w:after="0" w:line="240" w:lineRule="auto"/>
        <w:jc w:val="center"/>
        <w:rPr>
          <w:rFonts w:ascii="Times New Roman" w:hAnsi="Times New Roman" w:cs="Times New Roman"/>
          <w:b/>
          <w:i/>
          <w:noProof/>
          <w:color w:val="17365D" w:themeColor="text2" w:themeShade="BF"/>
          <w:sz w:val="52"/>
          <w:szCs w:val="52"/>
          <w:lang w:val="uk-UA"/>
        </w:rPr>
      </w:pPr>
      <w:r w:rsidRPr="00354D7C">
        <w:rPr>
          <w:rFonts w:ascii="Times New Roman" w:hAnsi="Times New Roman" w:cs="Times New Roman"/>
          <w:b/>
          <w:i/>
          <w:noProof/>
          <w:color w:val="17365D" w:themeColor="text2" w:themeShade="BF"/>
          <w:sz w:val="52"/>
          <w:szCs w:val="52"/>
          <w:lang w:val="uk-UA"/>
        </w:rPr>
        <w:t>Пояснювальна записка</w:t>
      </w:r>
    </w:p>
    <w:p w:rsidR="005C695A" w:rsidRPr="00354D7C" w:rsidRDefault="005C695A" w:rsidP="008A2F35">
      <w:pPr>
        <w:spacing w:after="0" w:line="240" w:lineRule="auto"/>
        <w:jc w:val="center"/>
        <w:rPr>
          <w:rFonts w:ascii="Times New Roman" w:hAnsi="Times New Roman" w:cs="Times New Roman"/>
          <w:b/>
          <w:i/>
          <w:noProof/>
          <w:color w:val="17365D" w:themeColor="text2" w:themeShade="BF"/>
          <w:sz w:val="52"/>
          <w:szCs w:val="52"/>
          <w:lang w:val="uk-UA"/>
        </w:rPr>
      </w:pPr>
      <w:r w:rsidRPr="00354D7C">
        <w:rPr>
          <w:rFonts w:ascii="Times New Roman" w:hAnsi="Times New Roman" w:cs="Times New Roman"/>
          <w:b/>
          <w:i/>
          <w:noProof/>
          <w:color w:val="17365D" w:themeColor="text2" w:themeShade="BF"/>
          <w:sz w:val="52"/>
          <w:szCs w:val="52"/>
          <w:lang w:val="uk-UA"/>
        </w:rPr>
        <w:t>до проєкту рішення</w:t>
      </w:r>
    </w:p>
    <w:p w:rsidR="005C695A" w:rsidRPr="00354D7C" w:rsidRDefault="005C695A" w:rsidP="008A2F35">
      <w:pPr>
        <w:spacing w:after="0" w:line="240" w:lineRule="auto"/>
        <w:jc w:val="center"/>
        <w:rPr>
          <w:rFonts w:ascii="Times New Roman" w:hAnsi="Times New Roman" w:cs="Times New Roman"/>
          <w:b/>
          <w:i/>
          <w:noProof/>
          <w:color w:val="17365D" w:themeColor="text2" w:themeShade="BF"/>
          <w:sz w:val="52"/>
          <w:szCs w:val="52"/>
          <w:lang w:val="uk-UA"/>
        </w:rPr>
      </w:pPr>
      <w:r w:rsidRPr="00354D7C">
        <w:rPr>
          <w:rFonts w:ascii="Times New Roman" w:hAnsi="Times New Roman" w:cs="Times New Roman"/>
          <w:b/>
          <w:i/>
          <w:noProof/>
          <w:color w:val="17365D" w:themeColor="text2" w:themeShade="BF"/>
          <w:sz w:val="52"/>
          <w:szCs w:val="52"/>
          <w:lang w:val="uk-UA"/>
        </w:rPr>
        <w:t>Чорноморської міської ради</w:t>
      </w:r>
    </w:p>
    <w:p w:rsidR="005C695A" w:rsidRPr="00354D7C" w:rsidRDefault="005C695A" w:rsidP="008A2F35">
      <w:pPr>
        <w:spacing w:after="0" w:line="240" w:lineRule="auto"/>
        <w:jc w:val="center"/>
        <w:rPr>
          <w:rFonts w:ascii="Times New Roman" w:hAnsi="Times New Roman" w:cs="Times New Roman"/>
          <w:b/>
          <w:i/>
          <w:noProof/>
          <w:color w:val="17365D" w:themeColor="text2" w:themeShade="BF"/>
          <w:sz w:val="52"/>
          <w:szCs w:val="52"/>
          <w:lang w:val="uk-UA"/>
        </w:rPr>
      </w:pPr>
      <w:r w:rsidRPr="00354D7C">
        <w:rPr>
          <w:rFonts w:ascii="Times New Roman" w:hAnsi="Times New Roman" w:cs="Times New Roman"/>
          <w:b/>
          <w:i/>
          <w:noProof/>
          <w:color w:val="17365D" w:themeColor="text2" w:themeShade="BF"/>
          <w:sz w:val="52"/>
          <w:szCs w:val="52"/>
          <w:lang w:val="uk-UA"/>
        </w:rPr>
        <w:t>Одеського району Одеської області</w:t>
      </w:r>
    </w:p>
    <w:p w:rsidR="005C695A" w:rsidRPr="00354D7C" w:rsidRDefault="005C695A" w:rsidP="008A2F35">
      <w:pPr>
        <w:spacing w:after="0" w:line="240" w:lineRule="auto"/>
        <w:jc w:val="center"/>
        <w:rPr>
          <w:rFonts w:ascii="Times New Roman" w:hAnsi="Times New Roman" w:cs="Times New Roman"/>
          <w:b/>
          <w:i/>
          <w:noProof/>
          <w:color w:val="17365D" w:themeColor="text2" w:themeShade="BF"/>
          <w:sz w:val="52"/>
          <w:szCs w:val="52"/>
          <w:lang w:val="uk-UA"/>
        </w:rPr>
      </w:pPr>
      <w:r w:rsidRPr="00354D7C">
        <w:rPr>
          <w:rFonts w:ascii="Times New Roman" w:hAnsi="Times New Roman" w:cs="Times New Roman"/>
          <w:b/>
          <w:i/>
          <w:noProof/>
          <w:color w:val="17365D" w:themeColor="text2" w:themeShade="BF"/>
          <w:sz w:val="52"/>
          <w:szCs w:val="52"/>
          <w:lang w:val="uk-UA"/>
        </w:rPr>
        <w:t>"Про бюджет Чорноморськ</w:t>
      </w:r>
      <w:r w:rsidR="00996989" w:rsidRPr="00354D7C">
        <w:rPr>
          <w:rFonts w:ascii="Times New Roman" w:hAnsi="Times New Roman" w:cs="Times New Roman"/>
          <w:b/>
          <w:i/>
          <w:noProof/>
          <w:color w:val="17365D" w:themeColor="text2" w:themeShade="BF"/>
          <w:sz w:val="52"/>
          <w:szCs w:val="52"/>
          <w:lang w:val="uk-UA"/>
        </w:rPr>
        <w:t>ої міської територіальної громади</w:t>
      </w:r>
    </w:p>
    <w:p w:rsidR="005C695A" w:rsidRPr="00354D7C" w:rsidRDefault="005C695A" w:rsidP="008A2F35">
      <w:pPr>
        <w:spacing w:after="0" w:line="240" w:lineRule="auto"/>
        <w:jc w:val="center"/>
        <w:rPr>
          <w:rFonts w:ascii="Times New Roman" w:hAnsi="Times New Roman" w:cs="Times New Roman"/>
          <w:b/>
          <w:sz w:val="52"/>
          <w:szCs w:val="52"/>
          <w:lang w:val="uk-UA"/>
        </w:rPr>
      </w:pPr>
      <w:r w:rsidRPr="00354D7C">
        <w:rPr>
          <w:rFonts w:ascii="Times New Roman" w:hAnsi="Times New Roman" w:cs="Times New Roman"/>
          <w:b/>
          <w:i/>
          <w:noProof/>
          <w:color w:val="17365D" w:themeColor="text2" w:themeShade="BF"/>
          <w:sz w:val="52"/>
          <w:szCs w:val="52"/>
          <w:lang w:val="uk-UA"/>
        </w:rPr>
        <w:t>на 202</w:t>
      </w:r>
      <w:r w:rsidR="00545127" w:rsidRPr="00354D7C">
        <w:rPr>
          <w:rFonts w:ascii="Times New Roman" w:hAnsi="Times New Roman" w:cs="Times New Roman"/>
          <w:b/>
          <w:i/>
          <w:noProof/>
          <w:color w:val="17365D" w:themeColor="text2" w:themeShade="BF"/>
          <w:sz w:val="52"/>
          <w:szCs w:val="52"/>
          <w:lang w:val="uk-UA"/>
        </w:rPr>
        <w:t>4</w:t>
      </w:r>
      <w:r w:rsidRPr="00354D7C">
        <w:rPr>
          <w:rFonts w:ascii="Times New Roman" w:hAnsi="Times New Roman" w:cs="Times New Roman"/>
          <w:b/>
          <w:i/>
          <w:noProof/>
          <w:color w:val="17365D" w:themeColor="text2" w:themeShade="BF"/>
          <w:sz w:val="52"/>
          <w:szCs w:val="52"/>
          <w:lang w:val="uk-UA"/>
        </w:rPr>
        <w:t xml:space="preserve"> рік"</w:t>
      </w:r>
    </w:p>
    <w:p w:rsidR="005C695A" w:rsidRPr="00354D7C" w:rsidRDefault="005C695A" w:rsidP="005C695A">
      <w:pPr>
        <w:spacing w:after="0" w:line="240" w:lineRule="auto"/>
        <w:jc w:val="center"/>
        <w:rPr>
          <w:rFonts w:ascii="Times New Roman" w:hAnsi="Times New Roman" w:cs="Times New Roman"/>
          <w:b/>
          <w:sz w:val="32"/>
          <w:szCs w:val="32"/>
          <w:lang w:val="uk-UA"/>
        </w:rPr>
      </w:pPr>
    </w:p>
    <w:p w:rsidR="005C695A" w:rsidRPr="00545127" w:rsidRDefault="005C695A" w:rsidP="00790E0B">
      <w:pPr>
        <w:spacing w:after="0" w:line="240" w:lineRule="auto"/>
        <w:jc w:val="center"/>
        <w:rPr>
          <w:rFonts w:ascii="Times New Roman" w:hAnsi="Times New Roman" w:cs="Times New Roman"/>
          <w:b/>
          <w:sz w:val="32"/>
          <w:szCs w:val="32"/>
          <w:highlight w:val="yellow"/>
          <w:lang w:val="uk-UA"/>
        </w:rPr>
      </w:pPr>
    </w:p>
    <w:p w:rsidR="005C695A" w:rsidRPr="00545127" w:rsidRDefault="005E74D0" w:rsidP="00790E0B">
      <w:pPr>
        <w:spacing w:after="0" w:line="240" w:lineRule="auto"/>
        <w:jc w:val="center"/>
        <w:rPr>
          <w:rFonts w:ascii="Times New Roman" w:hAnsi="Times New Roman" w:cs="Times New Roman"/>
          <w:b/>
          <w:sz w:val="32"/>
          <w:szCs w:val="32"/>
          <w:highlight w:val="yellow"/>
          <w:lang w:val="uk-UA"/>
        </w:rPr>
      </w:pPr>
      <w:r>
        <w:rPr>
          <w:rFonts w:ascii="Times New Roman" w:hAnsi="Times New Roman" w:cs="Times New Roman"/>
          <w:b/>
          <w:noProof/>
          <w:sz w:val="32"/>
          <w:szCs w:val="32"/>
          <w:lang w:val="uk-UA" w:eastAsia="uk-UA"/>
        </w:rPr>
        <w:drawing>
          <wp:inline distT="0" distB="0" distL="0" distR="0" wp14:anchorId="3D3C5DB9" wp14:editId="4FE445CB">
            <wp:extent cx="6250305" cy="4076065"/>
            <wp:effectExtent l="0" t="0" r="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9-1.jpg"/>
                    <pic:cNvPicPr/>
                  </pic:nvPicPr>
                  <pic:blipFill>
                    <a:blip r:embed="rId9">
                      <a:extLst>
                        <a:ext uri="{28A0092B-C50C-407E-A947-70E740481C1C}">
                          <a14:useLocalDpi xmlns:a14="http://schemas.microsoft.com/office/drawing/2010/main" val="0"/>
                        </a:ext>
                      </a:extLst>
                    </a:blip>
                    <a:stretch>
                      <a:fillRect/>
                    </a:stretch>
                  </pic:blipFill>
                  <pic:spPr>
                    <a:xfrm>
                      <a:off x="0" y="0"/>
                      <a:ext cx="6274324" cy="4091729"/>
                    </a:xfrm>
                    <a:prstGeom prst="rect">
                      <a:avLst/>
                    </a:prstGeom>
                  </pic:spPr>
                </pic:pic>
              </a:graphicData>
            </a:graphic>
          </wp:inline>
        </w:drawing>
      </w:r>
    </w:p>
    <w:p w:rsidR="005C695A" w:rsidRDefault="005C695A" w:rsidP="00790E0B">
      <w:pPr>
        <w:spacing w:after="0" w:line="240" w:lineRule="auto"/>
        <w:jc w:val="center"/>
        <w:rPr>
          <w:rFonts w:ascii="Times New Roman" w:hAnsi="Times New Roman" w:cs="Times New Roman"/>
          <w:b/>
          <w:sz w:val="32"/>
          <w:szCs w:val="32"/>
          <w:highlight w:val="yellow"/>
          <w:lang w:val="uk-UA"/>
        </w:rPr>
      </w:pPr>
    </w:p>
    <w:p w:rsidR="00D06A36" w:rsidRDefault="00D06A36" w:rsidP="00790E0B">
      <w:pPr>
        <w:spacing w:after="0" w:line="240" w:lineRule="auto"/>
        <w:jc w:val="center"/>
        <w:rPr>
          <w:rFonts w:ascii="Times New Roman" w:hAnsi="Times New Roman" w:cs="Times New Roman"/>
          <w:b/>
          <w:sz w:val="32"/>
          <w:szCs w:val="32"/>
          <w:highlight w:val="yellow"/>
          <w:lang w:val="uk-UA"/>
        </w:rPr>
      </w:pPr>
    </w:p>
    <w:p w:rsidR="00D06A36" w:rsidRDefault="00D06A36" w:rsidP="00790E0B">
      <w:pPr>
        <w:spacing w:after="0" w:line="240" w:lineRule="auto"/>
        <w:jc w:val="center"/>
        <w:rPr>
          <w:rFonts w:ascii="Times New Roman" w:hAnsi="Times New Roman" w:cs="Times New Roman"/>
          <w:b/>
          <w:sz w:val="32"/>
          <w:szCs w:val="32"/>
          <w:highlight w:val="yellow"/>
          <w:lang w:val="uk-UA"/>
        </w:rPr>
      </w:pPr>
    </w:p>
    <w:p w:rsidR="00D06A36" w:rsidRDefault="00D06A36" w:rsidP="00790E0B">
      <w:pPr>
        <w:spacing w:after="0" w:line="240" w:lineRule="auto"/>
        <w:jc w:val="center"/>
        <w:rPr>
          <w:rFonts w:ascii="Times New Roman" w:hAnsi="Times New Roman" w:cs="Times New Roman"/>
          <w:b/>
          <w:sz w:val="32"/>
          <w:szCs w:val="32"/>
          <w:highlight w:val="yellow"/>
          <w:lang w:val="uk-UA"/>
        </w:rPr>
      </w:pPr>
    </w:p>
    <w:p w:rsidR="00C42F9D" w:rsidRPr="00AC0D49" w:rsidRDefault="00C42F9D" w:rsidP="00E67FF2">
      <w:pPr>
        <w:pStyle w:val="a4"/>
        <w:numPr>
          <w:ilvl w:val="0"/>
          <w:numId w:val="9"/>
        </w:numPr>
        <w:tabs>
          <w:tab w:val="left" w:pos="-5245"/>
        </w:tabs>
        <w:spacing w:after="0" w:line="240" w:lineRule="auto"/>
        <w:ind w:right="-2"/>
        <w:jc w:val="center"/>
        <w:rPr>
          <w:rFonts w:ascii="Times New Roman" w:hAnsi="Times New Roman" w:cs="Times New Roman"/>
          <w:b/>
          <w:bCs/>
          <w:color w:val="000000" w:themeColor="text1"/>
          <w:sz w:val="28"/>
          <w:szCs w:val="28"/>
          <w:lang w:val="uk-UA"/>
        </w:rPr>
      </w:pPr>
      <w:r w:rsidRPr="00AC0D49">
        <w:rPr>
          <w:rFonts w:ascii="Times New Roman" w:hAnsi="Times New Roman" w:cs="Times New Roman"/>
          <w:b/>
          <w:bCs/>
          <w:color w:val="000000" w:themeColor="text1"/>
          <w:sz w:val="28"/>
          <w:szCs w:val="28"/>
          <w:lang w:val="uk-UA"/>
        </w:rPr>
        <w:lastRenderedPageBreak/>
        <w:t>Інформація про соціально</w:t>
      </w:r>
      <w:r w:rsidR="00FA16DD" w:rsidRPr="00AC0D49">
        <w:rPr>
          <w:rFonts w:ascii="Times New Roman" w:hAnsi="Times New Roman" w:cs="Times New Roman"/>
          <w:b/>
          <w:bCs/>
          <w:color w:val="000000" w:themeColor="text1"/>
          <w:sz w:val="28"/>
          <w:szCs w:val="28"/>
          <w:lang w:val="uk-UA"/>
        </w:rPr>
        <w:t xml:space="preserve"> </w:t>
      </w:r>
      <w:r w:rsidRPr="00AC0D49">
        <w:rPr>
          <w:rFonts w:ascii="Times New Roman" w:hAnsi="Times New Roman" w:cs="Times New Roman"/>
          <w:b/>
          <w:bCs/>
          <w:color w:val="000000" w:themeColor="text1"/>
          <w:sz w:val="28"/>
          <w:szCs w:val="28"/>
          <w:lang w:val="uk-UA"/>
        </w:rPr>
        <w:t>-</w:t>
      </w:r>
      <w:r w:rsidR="00FA16DD" w:rsidRPr="00AC0D49">
        <w:rPr>
          <w:rFonts w:ascii="Times New Roman" w:hAnsi="Times New Roman" w:cs="Times New Roman"/>
          <w:b/>
          <w:bCs/>
          <w:color w:val="000000" w:themeColor="text1"/>
          <w:sz w:val="28"/>
          <w:szCs w:val="28"/>
          <w:lang w:val="uk-UA"/>
        </w:rPr>
        <w:t xml:space="preserve"> </w:t>
      </w:r>
      <w:r w:rsidRPr="00AC0D49">
        <w:rPr>
          <w:rFonts w:ascii="Times New Roman" w:hAnsi="Times New Roman" w:cs="Times New Roman"/>
          <w:b/>
          <w:bCs/>
          <w:color w:val="000000" w:themeColor="text1"/>
          <w:sz w:val="28"/>
          <w:szCs w:val="28"/>
          <w:lang w:val="uk-UA"/>
        </w:rPr>
        <w:t>економічний стан Чорноморської міської територіальної громади і прогноз її  розвитку на 202</w:t>
      </w:r>
      <w:r w:rsidR="00A73EB8" w:rsidRPr="00AC0D49">
        <w:rPr>
          <w:rFonts w:ascii="Times New Roman" w:hAnsi="Times New Roman" w:cs="Times New Roman"/>
          <w:b/>
          <w:bCs/>
          <w:color w:val="000000" w:themeColor="text1"/>
          <w:sz w:val="28"/>
          <w:szCs w:val="28"/>
          <w:lang w:val="uk-UA"/>
        </w:rPr>
        <w:t>4</w:t>
      </w:r>
      <w:r w:rsidRPr="00AC0D49">
        <w:rPr>
          <w:rFonts w:ascii="Times New Roman" w:hAnsi="Times New Roman" w:cs="Times New Roman"/>
          <w:b/>
          <w:bCs/>
          <w:color w:val="000000" w:themeColor="text1"/>
          <w:sz w:val="28"/>
          <w:szCs w:val="28"/>
          <w:lang w:val="uk-UA"/>
        </w:rPr>
        <w:t xml:space="preserve"> рік</w:t>
      </w:r>
    </w:p>
    <w:p w:rsidR="0094664F" w:rsidRPr="00AC0D49" w:rsidRDefault="0022124E" w:rsidP="007E78B6">
      <w:pPr>
        <w:pStyle w:val="a4"/>
        <w:tabs>
          <w:tab w:val="left" w:pos="-5245"/>
          <w:tab w:val="left" w:pos="142"/>
          <w:tab w:val="left" w:pos="426"/>
          <w:tab w:val="left" w:pos="709"/>
          <w:tab w:val="left" w:pos="851"/>
        </w:tabs>
        <w:spacing w:after="0" w:line="240" w:lineRule="auto"/>
        <w:ind w:right="-2"/>
        <w:jc w:val="center"/>
        <w:rPr>
          <w:rFonts w:ascii="Times New Roman" w:eastAsia="Times New Roman" w:hAnsi="Times New Roman" w:cs="Times New Roman"/>
          <w:i/>
          <w:color w:val="000000" w:themeColor="text1"/>
          <w:sz w:val="24"/>
          <w:szCs w:val="24"/>
          <w:lang w:val="uk-UA" w:eastAsia="ru-RU"/>
        </w:rPr>
      </w:pPr>
      <w:r w:rsidRPr="00AC0D49">
        <w:rPr>
          <w:rFonts w:ascii="Times New Roman" w:eastAsia="Times New Roman" w:hAnsi="Times New Roman" w:cs="Times New Roman"/>
          <w:i/>
          <w:color w:val="000000" w:themeColor="text1"/>
          <w:sz w:val="24"/>
          <w:szCs w:val="24"/>
          <w:lang w:val="uk-UA" w:eastAsia="ru-RU"/>
        </w:rPr>
        <w:t>(підпункт а пункту 1 частини 1 статті 76 Бюджетного кодексу України)</w:t>
      </w:r>
    </w:p>
    <w:p w:rsidR="007E78B6" w:rsidRPr="00AC0D49" w:rsidRDefault="007E78B6" w:rsidP="007E78B6">
      <w:pPr>
        <w:pStyle w:val="a4"/>
        <w:tabs>
          <w:tab w:val="left" w:pos="-5245"/>
          <w:tab w:val="left" w:pos="142"/>
          <w:tab w:val="left" w:pos="426"/>
          <w:tab w:val="left" w:pos="709"/>
          <w:tab w:val="left" w:pos="851"/>
        </w:tabs>
        <w:spacing w:after="0" w:line="240" w:lineRule="auto"/>
        <w:ind w:right="-2"/>
        <w:jc w:val="center"/>
        <w:rPr>
          <w:rFonts w:ascii="Times New Roman" w:eastAsia="Times New Roman" w:hAnsi="Times New Roman" w:cs="Times New Roman"/>
          <w:i/>
          <w:color w:val="000000" w:themeColor="text1"/>
          <w:sz w:val="24"/>
          <w:szCs w:val="24"/>
          <w:lang w:val="uk-UA" w:eastAsia="ru-RU"/>
        </w:rPr>
      </w:pPr>
    </w:p>
    <w:p w:rsidR="0094664F" w:rsidRPr="00AC0D49" w:rsidRDefault="0094664F" w:rsidP="0094664F">
      <w:pPr>
        <w:spacing w:after="0" w:line="240" w:lineRule="auto"/>
        <w:ind w:firstLine="567"/>
        <w:jc w:val="both"/>
        <w:rPr>
          <w:rFonts w:ascii="Times New Roman" w:eastAsia="Times New Roman" w:hAnsi="Times New Roman" w:cs="Times New Roman"/>
          <w:color w:val="000000" w:themeColor="text1"/>
          <w:sz w:val="24"/>
          <w:szCs w:val="24"/>
          <w:lang w:val="uk-UA"/>
        </w:rPr>
      </w:pPr>
      <w:r w:rsidRPr="00AC0D49">
        <w:rPr>
          <w:rFonts w:ascii="Times New Roman" w:eastAsia="Times New Roman" w:hAnsi="Times New Roman" w:cs="Times New Roman"/>
          <w:color w:val="000000" w:themeColor="text1"/>
          <w:sz w:val="24"/>
          <w:szCs w:val="24"/>
          <w:lang w:val="uk-UA"/>
        </w:rPr>
        <w:t xml:space="preserve">У лютому 2022 року розпочалося повномасштабне вторгнення Російської Федерації в Україну. 24 лютого 2022 року Указом Президента України введено воєнний стан, який продовжено і дотепер. Війна призвела до порушення ланцюгів постачання, фізичного руйнування виробничих </w:t>
      </w:r>
      <w:proofErr w:type="spellStart"/>
      <w:r w:rsidRPr="00AC0D49">
        <w:rPr>
          <w:rFonts w:ascii="Times New Roman" w:eastAsia="Times New Roman" w:hAnsi="Times New Roman" w:cs="Times New Roman"/>
          <w:color w:val="000000" w:themeColor="text1"/>
          <w:sz w:val="24"/>
          <w:szCs w:val="24"/>
          <w:lang w:val="uk-UA"/>
        </w:rPr>
        <w:t>потужностей</w:t>
      </w:r>
      <w:proofErr w:type="spellEnd"/>
      <w:r w:rsidRPr="00AC0D49">
        <w:rPr>
          <w:rFonts w:ascii="Times New Roman" w:eastAsia="Times New Roman" w:hAnsi="Times New Roman" w:cs="Times New Roman"/>
          <w:color w:val="000000" w:themeColor="text1"/>
          <w:sz w:val="24"/>
          <w:szCs w:val="24"/>
          <w:lang w:val="uk-UA"/>
        </w:rPr>
        <w:t xml:space="preserve"> та інфраструктури і стала основним чинником, що негативно впливає на економічний стан країни в цілому та відповідно негативні  перспективи економічного розвитку Чорноморської міської  територіальної громади. </w:t>
      </w:r>
    </w:p>
    <w:p w:rsidR="0094664F" w:rsidRPr="00AC0D49" w:rsidRDefault="0094664F" w:rsidP="0094664F">
      <w:pPr>
        <w:spacing w:after="0" w:line="240" w:lineRule="auto"/>
        <w:ind w:firstLine="567"/>
        <w:jc w:val="both"/>
        <w:rPr>
          <w:rFonts w:ascii="Times New Roman" w:eastAsia="Times New Roman" w:hAnsi="Times New Roman" w:cs="Times New Roman"/>
          <w:color w:val="000000" w:themeColor="text1"/>
          <w:sz w:val="24"/>
          <w:szCs w:val="24"/>
          <w:lang w:val="uk-UA" w:eastAsia="uk-UA"/>
        </w:rPr>
      </w:pPr>
      <w:r w:rsidRPr="00AC0D49">
        <w:rPr>
          <w:rFonts w:ascii="Times New Roman" w:eastAsia="Times New Roman" w:hAnsi="Times New Roman" w:cs="Times New Roman"/>
          <w:color w:val="000000" w:themeColor="text1"/>
          <w:sz w:val="24"/>
          <w:szCs w:val="24"/>
          <w:lang w:val="uk-UA" w:eastAsia="uk-UA"/>
        </w:rPr>
        <w:t>Невизначеність тривалості та наслідків бойових дій унеможливили процес прогнозування у традиційній до війни формі і розрізі економічних показників.</w:t>
      </w:r>
    </w:p>
    <w:p w:rsidR="0094664F" w:rsidRPr="00AC0D49" w:rsidRDefault="0094664F" w:rsidP="0094664F">
      <w:pPr>
        <w:spacing w:after="0" w:line="240" w:lineRule="auto"/>
        <w:ind w:firstLine="567"/>
        <w:jc w:val="both"/>
        <w:rPr>
          <w:rFonts w:ascii="Times New Roman" w:eastAsia="Times New Roman" w:hAnsi="Times New Roman" w:cs="Times New Roman"/>
          <w:color w:val="000000" w:themeColor="text1"/>
          <w:sz w:val="24"/>
          <w:szCs w:val="24"/>
          <w:lang w:val="uk-UA"/>
        </w:rPr>
      </w:pPr>
      <w:r w:rsidRPr="00AC0D49">
        <w:rPr>
          <w:rFonts w:ascii="Times New Roman" w:eastAsia="Times New Roman" w:hAnsi="Times New Roman" w:cs="Times New Roman"/>
          <w:color w:val="000000" w:themeColor="text1"/>
          <w:sz w:val="24"/>
          <w:szCs w:val="24"/>
          <w:lang w:val="uk-UA" w:eastAsia="uk-UA"/>
        </w:rPr>
        <w:t xml:space="preserve">Додатковим викликом для аналізу та прогнозування економічного розвитку є складність оцінки поточної ситуації, оскільки практично відсутня статистична інформація. </w:t>
      </w:r>
      <w:r w:rsidRPr="00AC0D49">
        <w:rPr>
          <w:rFonts w:ascii="Times New Roman" w:eastAsia="Times New Roman" w:hAnsi="Times New Roman" w:cs="Times New Roman"/>
          <w:color w:val="000000" w:themeColor="text1"/>
          <w:sz w:val="24"/>
          <w:szCs w:val="24"/>
          <w:lang w:val="uk-UA"/>
        </w:rPr>
        <w:t>Так, з урахуванням Закону України «Про захист інтересів суб’єктів подання звітності та інших документів у період дії воєнного стану або стану війни» у період дії воєнного стану або стану війни, а також протягом трьох місяців після його завершення, органи державної статистики призупинили оприлюднення основної статистичної інформації за періоди 2022 року, за 2021 рік і попередні періоди.</w:t>
      </w:r>
    </w:p>
    <w:p w:rsidR="0094664F" w:rsidRPr="00AC0D49" w:rsidRDefault="0094664F" w:rsidP="0094664F">
      <w:pPr>
        <w:spacing w:after="0" w:line="240" w:lineRule="auto"/>
        <w:ind w:firstLine="567"/>
        <w:jc w:val="both"/>
        <w:rPr>
          <w:rFonts w:ascii="Times New Roman" w:eastAsia="Times New Roman" w:hAnsi="Times New Roman" w:cs="Times New Roman"/>
          <w:color w:val="000000" w:themeColor="text1"/>
          <w:sz w:val="24"/>
          <w:szCs w:val="24"/>
          <w:lang w:val="uk-UA" w:eastAsia="uk-UA"/>
        </w:rPr>
      </w:pPr>
      <w:r w:rsidRPr="00AC0D49">
        <w:rPr>
          <w:rFonts w:ascii="Times New Roman" w:eastAsia="Times New Roman" w:hAnsi="Times New Roman" w:cs="Times New Roman"/>
          <w:color w:val="000000" w:themeColor="text1"/>
          <w:sz w:val="24"/>
          <w:szCs w:val="24"/>
          <w:lang w:val="uk-UA" w:eastAsia="uk-UA"/>
        </w:rPr>
        <w:t>У зв’язку з цим процес прогнозування здійснюється в режимі реального часу в умовах високого ступеня невизначеності.</w:t>
      </w:r>
    </w:p>
    <w:p w:rsidR="0094664F" w:rsidRPr="00AC0D49" w:rsidRDefault="0094664F" w:rsidP="0094664F">
      <w:pPr>
        <w:spacing w:after="0" w:line="240" w:lineRule="auto"/>
        <w:ind w:firstLine="567"/>
        <w:jc w:val="both"/>
        <w:rPr>
          <w:rFonts w:ascii="Times New Roman" w:hAnsi="Times New Roman" w:cs="Times New Roman"/>
          <w:color w:val="000000" w:themeColor="text1"/>
          <w:sz w:val="24"/>
          <w:szCs w:val="24"/>
          <w:lang w:val="uk-UA"/>
        </w:rPr>
      </w:pPr>
      <w:r w:rsidRPr="00AC0D49">
        <w:rPr>
          <w:rFonts w:ascii="Times New Roman" w:eastAsia="Times New Roman" w:hAnsi="Times New Roman" w:cs="Times New Roman"/>
          <w:color w:val="000000" w:themeColor="text1"/>
          <w:sz w:val="24"/>
          <w:szCs w:val="24"/>
          <w:lang w:val="uk-UA"/>
        </w:rPr>
        <w:t>Прогнозний розвиток Чорноморської міської територіальної громади  у 2024 році ґрунтується на обережних оцінках щодо темпів відновлення економіки у наступному році. Економічний і соціальний стан громади залеж</w:t>
      </w:r>
      <w:r w:rsidR="00482BC1">
        <w:rPr>
          <w:rFonts w:ascii="Times New Roman" w:eastAsia="Times New Roman" w:hAnsi="Times New Roman" w:cs="Times New Roman"/>
          <w:color w:val="000000" w:themeColor="text1"/>
          <w:sz w:val="24"/>
          <w:szCs w:val="24"/>
          <w:lang w:val="uk-UA"/>
        </w:rPr>
        <w:t>и</w:t>
      </w:r>
      <w:r w:rsidRPr="00AC0D49">
        <w:rPr>
          <w:rFonts w:ascii="Times New Roman" w:eastAsia="Times New Roman" w:hAnsi="Times New Roman" w:cs="Times New Roman"/>
          <w:color w:val="000000" w:themeColor="text1"/>
          <w:sz w:val="24"/>
          <w:szCs w:val="24"/>
          <w:lang w:val="uk-UA"/>
        </w:rPr>
        <w:t>т</w:t>
      </w:r>
      <w:r w:rsidR="00482BC1">
        <w:rPr>
          <w:rFonts w:ascii="Times New Roman" w:eastAsia="Times New Roman" w:hAnsi="Times New Roman" w:cs="Times New Roman"/>
          <w:color w:val="000000" w:themeColor="text1"/>
          <w:sz w:val="24"/>
          <w:szCs w:val="24"/>
          <w:lang w:val="uk-UA"/>
        </w:rPr>
        <w:t xml:space="preserve">ь </w:t>
      </w:r>
      <w:r w:rsidRPr="00AC0D49">
        <w:rPr>
          <w:rFonts w:ascii="Times New Roman" w:eastAsia="Times New Roman" w:hAnsi="Times New Roman" w:cs="Times New Roman"/>
          <w:color w:val="000000" w:themeColor="text1"/>
          <w:sz w:val="24"/>
          <w:szCs w:val="24"/>
          <w:lang w:val="uk-UA"/>
        </w:rPr>
        <w:t>від зміни ситуації на фронті та інтенсивності бойових дій і їх наслідків.</w:t>
      </w:r>
    </w:p>
    <w:p w:rsidR="0094664F" w:rsidRPr="00AC0D49" w:rsidRDefault="0094664F" w:rsidP="0094664F">
      <w:pPr>
        <w:spacing w:after="0" w:line="240" w:lineRule="auto"/>
        <w:ind w:firstLine="567"/>
        <w:contextualSpacing/>
        <w:jc w:val="both"/>
        <w:rPr>
          <w:rFonts w:ascii="Times New Roman" w:hAnsi="Times New Roman" w:cs="Times New Roman"/>
          <w:color w:val="000000" w:themeColor="text1"/>
          <w:sz w:val="24"/>
          <w:szCs w:val="24"/>
          <w:lang w:val="uk-UA"/>
        </w:rPr>
      </w:pPr>
      <w:r w:rsidRPr="00AC0D49">
        <w:rPr>
          <w:rFonts w:ascii="Times New Roman" w:hAnsi="Times New Roman" w:cs="Times New Roman"/>
          <w:color w:val="000000" w:themeColor="text1"/>
          <w:sz w:val="24"/>
          <w:szCs w:val="24"/>
          <w:lang w:val="uk-UA"/>
        </w:rPr>
        <w:t xml:space="preserve">Чорноморська міська територіальна громада входить до складу Одеського району  Одеської області. Територія громади, крім міста </w:t>
      </w:r>
      <w:proofErr w:type="spellStart"/>
      <w:r w:rsidRPr="00AC0D49">
        <w:rPr>
          <w:rFonts w:ascii="Times New Roman" w:hAnsi="Times New Roman" w:cs="Times New Roman"/>
          <w:color w:val="000000" w:themeColor="text1"/>
          <w:sz w:val="24"/>
          <w:szCs w:val="24"/>
          <w:lang w:val="uk-UA"/>
        </w:rPr>
        <w:t>Чорноморськ</w:t>
      </w:r>
      <w:proofErr w:type="spellEnd"/>
      <w:r w:rsidRPr="00AC0D49">
        <w:rPr>
          <w:rFonts w:ascii="Times New Roman" w:hAnsi="Times New Roman" w:cs="Times New Roman"/>
          <w:color w:val="000000" w:themeColor="text1"/>
          <w:sz w:val="24"/>
          <w:szCs w:val="24"/>
          <w:lang w:val="uk-UA"/>
        </w:rPr>
        <w:t>, охоплює також селище Олександрівка, сел</w:t>
      </w:r>
      <w:r w:rsidR="00482BC1">
        <w:rPr>
          <w:rFonts w:ascii="Times New Roman" w:hAnsi="Times New Roman" w:cs="Times New Roman"/>
          <w:color w:val="000000" w:themeColor="text1"/>
          <w:sz w:val="24"/>
          <w:szCs w:val="24"/>
          <w:lang w:val="uk-UA"/>
        </w:rPr>
        <w:t>а</w:t>
      </w:r>
      <w:r w:rsidRPr="00AC0D49">
        <w:rPr>
          <w:rFonts w:ascii="Times New Roman" w:hAnsi="Times New Roman" w:cs="Times New Roman"/>
          <w:color w:val="000000" w:themeColor="text1"/>
          <w:sz w:val="24"/>
          <w:szCs w:val="24"/>
          <w:lang w:val="uk-UA"/>
        </w:rPr>
        <w:t xml:space="preserve"> </w:t>
      </w:r>
      <w:proofErr w:type="spellStart"/>
      <w:r w:rsidRPr="00AC0D49">
        <w:rPr>
          <w:rFonts w:ascii="Times New Roman" w:hAnsi="Times New Roman" w:cs="Times New Roman"/>
          <w:color w:val="000000" w:themeColor="text1"/>
          <w:sz w:val="24"/>
          <w:szCs w:val="24"/>
          <w:lang w:val="uk-UA"/>
        </w:rPr>
        <w:t>Малодолинське</w:t>
      </w:r>
      <w:proofErr w:type="spellEnd"/>
      <w:r w:rsidRPr="00AC0D49">
        <w:rPr>
          <w:rFonts w:ascii="Times New Roman" w:hAnsi="Times New Roman" w:cs="Times New Roman"/>
          <w:color w:val="000000" w:themeColor="text1"/>
          <w:sz w:val="24"/>
          <w:szCs w:val="24"/>
          <w:lang w:val="uk-UA"/>
        </w:rPr>
        <w:t xml:space="preserve"> і </w:t>
      </w:r>
      <w:proofErr w:type="spellStart"/>
      <w:r w:rsidRPr="00AC0D49">
        <w:rPr>
          <w:rFonts w:ascii="Times New Roman" w:hAnsi="Times New Roman" w:cs="Times New Roman"/>
          <w:color w:val="000000" w:themeColor="text1"/>
          <w:sz w:val="24"/>
          <w:szCs w:val="24"/>
          <w:lang w:val="uk-UA"/>
        </w:rPr>
        <w:t>Бурлача</w:t>
      </w:r>
      <w:proofErr w:type="spellEnd"/>
      <w:r w:rsidRPr="00AC0D49">
        <w:rPr>
          <w:rFonts w:ascii="Times New Roman" w:hAnsi="Times New Roman" w:cs="Times New Roman"/>
          <w:color w:val="000000" w:themeColor="text1"/>
          <w:sz w:val="24"/>
          <w:szCs w:val="24"/>
          <w:lang w:val="uk-UA"/>
        </w:rPr>
        <w:t xml:space="preserve"> Балка. </w:t>
      </w:r>
    </w:p>
    <w:p w:rsidR="0094664F" w:rsidRPr="00AC0D49" w:rsidRDefault="0094664F" w:rsidP="0094664F">
      <w:pPr>
        <w:spacing w:after="0" w:line="240" w:lineRule="auto"/>
        <w:ind w:firstLine="567"/>
        <w:contextualSpacing/>
        <w:jc w:val="both"/>
        <w:rPr>
          <w:rFonts w:ascii="Times New Roman" w:hAnsi="Times New Roman" w:cs="Times New Roman"/>
          <w:color w:val="000000" w:themeColor="text1"/>
          <w:sz w:val="24"/>
          <w:szCs w:val="24"/>
          <w:lang w:val="uk-UA"/>
        </w:rPr>
      </w:pPr>
      <w:r w:rsidRPr="00AC0D49">
        <w:rPr>
          <w:rFonts w:ascii="Times New Roman" w:hAnsi="Times New Roman" w:cs="Times New Roman"/>
          <w:color w:val="000000" w:themeColor="text1"/>
          <w:sz w:val="24"/>
          <w:szCs w:val="24"/>
          <w:lang w:val="uk-UA"/>
        </w:rPr>
        <w:t>Земельний фонд населених пунктів Чорноморської  міської територіальної громади складає 2 646,37 га.</w:t>
      </w:r>
    </w:p>
    <w:p w:rsidR="0094664F" w:rsidRPr="00AC0D49" w:rsidRDefault="0094664F" w:rsidP="0094664F">
      <w:pPr>
        <w:spacing w:after="0" w:line="240" w:lineRule="auto"/>
        <w:ind w:firstLine="567"/>
        <w:contextualSpacing/>
        <w:jc w:val="both"/>
        <w:rPr>
          <w:rFonts w:ascii="Times New Roman" w:hAnsi="Times New Roman" w:cs="Times New Roman"/>
          <w:b/>
          <w:color w:val="000000" w:themeColor="text1"/>
          <w:sz w:val="24"/>
          <w:szCs w:val="24"/>
          <w:lang w:val="uk-UA"/>
        </w:rPr>
      </w:pPr>
    </w:p>
    <w:p w:rsidR="00F61672" w:rsidRPr="00AC0D49" w:rsidRDefault="00C250E3" w:rsidP="00A10D98">
      <w:pPr>
        <w:spacing w:after="0" w:line="240" w:lineRule="auto"/>
        <w:ind w:firstLine="567"/>
        <w:jc w:val="center"/>
        <w:rPr>
          <w:rFonts w:ascii="Times New Roman" w:hAnsi="Times New Roman" w:cs="Times New Roman"/>
          <w:b/>
          <w:color w:val="000000" w:themeColor="text1"/>
          <w:sz w:val="24"/>
          <w:szCs w:val="24"/>
          <w:lang w:val="uk-UA"/>
        </w:rPr>
      </w:pPr>
      <w:r w:rsidRPr="00AC0D49">
        <w:rPr>
          <w:rFonts w:ascii="Times New Roman" w:hAnsi="Times New Roman" w:cs="Times New Roman"/>
          <w:b/>
          <w:color w:val="000000" w:themeColor="text1"/>
          <w:sz w:val="24"/>
          <w:szCs w:val="24"/>
          <w:lang w:val="uk-UA"/>
        </w:rPr>
        <w:t>Демографічна  ситуація.</w:t>
      </w:r>
    </w:p>
    <w:p w:rsidR="00F61672" w:rsidRPr="00AC0D49" w:rsidRDefault="00F61672" w:rsidP="00A10D98">
      <w:pPr>
        <w:spacing w:after="0"/>
        <w:ind w:firstLine="567"/>
        <w:jc w:val="center"/>
        <w:rPr>
          <w:rFonts w:ascii="Times New Roman" w:hAnsi="Times New Roman" w:cs="Times New Roman"/>
          <w:b/>
          <w:color w:val="000000" w:themeColor="text1"/>
          <w:sz w:val="24"/>
          <w:szCs w:val="24"/>
        </w:rPr>
      </w:pPr>
      <w:r w:rsidRPr="00AC0D49">
        <w:rPr>
          <w:rFonts w:ascii="Times New Roman" w:hAnsi="Times New Roman" w:cs="Times New Roman"/>
          <w:b/>
          <w:color w:val="000000" w:themeColor="text1"/>
          <w:sz w:val="24"/>
          <w:szCs w:val="24"/>
          <w:lang w:val="uk-UA"/>
        </w:rPr>
        <w:t xml:space="preserve">Кількість наявного населення Чорноморської міської територіальної громади, </w:t>
      </w:r>
    </w:p>
    <w:p w:rsidR="00F61672" w:rsidRPr="00AC0D49" w:rsidRDefault="00F61672" w:rsidP="00F61672">
      <w:pPr>
        <w:spacing w:after="0"/>
        <w:ind w:firstLine="284"/>
        <w:jc w:val="center"/>
        <w:rPr>
          <w:rFonts w:ascii="Times New Roman" w:hAnsi="Times New Roman" w:cs="Times New Roman"/>
          <w:b/>
          <w:color w:val="000000" w:themeColor="text1"/>
          <w:sz w:val="24"/>
          <w:szCs w:val="24"/>
          <w:lang w:val="uk-UA"/>
        </w:rPr>
      </w:pPr>
      <w:r w:rsidRPr="00AC0D49">
        <w:rPr>
          <w:rFonts w:ascii="Times New Roman" w:hAnsi="Times New Roman" w:cs="Times New Roman"/>
          <w:b/>
          <w:color w:val="000000" w:themeColor="text1"/>
          <w:sz w:val="24"/>
          <w:szCs w:val="24"/>
          <w:lang w:val="uk-UA"/>
        </w:rPr>
        <w:t>тис. осіб.</w:t>
      </w:r>
    </w:p>
    <w:tbl>
      <w:tblPr>
        <w:tblStyle w:val="13"/>
        <w:tblW w:w="9640" w:type="dxa"/>
        <w:tblInd w:w="-289" w:type="dxa"/>
        <w:tblLook w:val="04A0" w:firstRow="1" w:lastRow="0" w:firstColumn="1" w:lastColumn="0" w:noHBand="0" w:noVBand="1"/>
      </w:tblPr>
      <w:tblGrid>
        <w:gridCol w:w="1206"/>
        <w:gridCol w:w="1206"/>
        <w:gridCol w:w="1206"/>
        <w:gridCol w:w="1206"/>
        <w:gridCol w:w="1206"/>
        <w:gridCol w:w="1206"/>
        <w:gridCol w:w="1206"/>
        <w:gridCol w:w="1206"/>
      </w:tblGrid>
      <w:tr w:rsidR="00F61672" w:rsidRPr="00AC0D49" w:rsidTr="00A06467">
        <w:tc>
          <w:tcPr>
            <w:tcW w:w="1206" w:type="dxa"/>
            <w:vAlign w:val="center"/>
          </w:tcPr>
          <w:p w:rsidR="00F61672" w:rsidRPr="00AC0D49" w:rsidRDefault="00F61672" w:rsidP="00F61672">
            <w:pPr>
              <w:jc w:val="center"/>
              <w:rPr>
                <w:rFonts w:ascii="Times New Roman" w:hAnsi="Times New Roman" w:cs="Times New Roman"/>
                <w:b/>
                <w:color w:val="000000" w:themeColor="text1"/>
                <w:lang w:val="uk-UA"/>
              </w:rPr>
            </w:pPr>
            <w:r w:rsidRPr="00AC0D49">
              <w:rPr>
                <w:rFonts w:ascii="Times New Roman" w:hAnsi="Times New Roman" w:cs="Times New Roman"/>
                <w:b/>
                <w:color w:val="000000" w:themeColor="text1"/>
                <w:lang w:val="uk-UA"/>
              </w:rPr>
              <w:t>01.01.2016</w:t>
            </w:r>
          </w:p>
        </w:tc>
        <w:tc>
          <w:tcPr>
            <w:tcW w:w="1206" w:type="dxa"/>
            <w:vAlign w:val="center"/>
          </w:tcPr>
          <w:p w:rsidR="00F61672" w:rsidRPr="00AC0D49" w:rsidRDefault="00F61672" w:rsidP="00F61672">
            <w:pPr>
              <w:jc w:val="center"/>
              <w:rPr>
                <w:rFonts w:ascii="Times New Roman" w:hAnsi="Times New Roman" w:cs="Times New Roman"/>
                <w:b/>
                <w:color w:val="000000" w:themeColor="text1"/>
                <w:lang w:val="uk-UA"/>
              </w:rPr>
            </w:pPr>
            <w:r w:rsidRPr="00AC0D49">
              <w:rPr>
                <w:rFonts w:ascii="Times New Roman" w:hAnsi="Times New Roman" w:cs="Times New Roman"/>
                <w:b/>
                <w:color w:val="000000" w:themeColor="text1"/>
                <w:lang w:val="uk-UA"/>
              </w:rPr>
              <w:t>01.01.2017</w:t>
            </w:r>
          </w:p>
        </w:tc>
        <w:tc>
          <w:tcPr>
            <w:tcW w:w="1206" w:type="dxa"/>
            <w:vAlign w:val="center"/>
          </w:tcPr>
          <w:p w:rsidR="00F61672" w:rsidRPr="00AC0D49" w:rsidRDefault="00F61672" w:rsidP="00F61672">
            <w:pPr>
              <w:jc w:val="center"/>
              <w:rPr>
                <w:rFonts w:ascii="Times New Roman" w:hAnsi="Times New Roman" w:cs="Times New Roman"/>
                <w:b/>
                <w:color w:val="000000" w:themeColor="text1"/>
                <w:lang w:val="uk-UA"/>
              </w:rPr>
            </w:pPr>
            <w:r w:rsidRPr="00AC0D49">
              <w:rPr>
                <w:rFonts w:ascii="Times New Roman" w:hAnsi="Times New Roman" w:cs="Times New Roman"/>
                <w:b/>
                <w:color w:val="000000" w:themeColor="text1"/>
                <w:lang w:val="uk-UA"/>
              </w:rPr>
              <w:t>01.01.2018</w:t>
            </w:r>
          </w:p>
        </w:tc>
        <w:tc>
          <w:tcPr>
            <w:tcW w:w="1206" w:type="dxa"/>
            <w:vAlign w:val="center"/>
          </w:tcPr>
          <w:p w:rsidR="00F61672" w:rsidRPr="00AC0D49" w:rsidRDefault="00F61672" w:rsidP="00F61672">
            <w:pPr>
              <w:jc w:val="center"/>
              <w:rPr>
                <w:rFonts w:ascii="Times New Roman" w:hAnsi="Times New Roman" w:cs="Times New Roman"/>
                <w:b/>
                <w:color w:val="000000" w:themeColor="text1"/>
                <w:lang w:val="uk-UA"/>
              </w:rPr>
            </w:pPr>
            <w:r w:rsidRPr="00AC0D49">
              <w:rPr>
                <w:rFonts w:ascii="Times New Roman" w:hAnsi="Times New Roman" w:cs="Times New Roman"/>
                <w:b/>
                <w:color w:val="000000" w:themeColor="text1"/>
                <w:lang w:val="uk-UA"/>
              </w:rPr>
              <w:t>01.01.2019</w:t>
            </w:r>
          </w:p>
        </w:tc>
        <w:tc>
          <w:tcPr>
            <w:tcW w:w="1206" w:type="dxa"/>
            <w:vAlign w:val="center"/>
          </w:tcPr>
          <w:p w:rsidR="00F61672" w:rsidRPr="00AC0D49" w:rsidRDefault="00F61672" w:rsidP="00F61672">
            <w:pPr>
              <w:jc w:val="center"/>
              <w:rPr>
                <w:rFonts w:ascii="Times New Roman" w:hAnsi="Times New Roman" w:cs="Times New Roman"/>
                <w:b/>
                <w:color w:val="000000" w:themeColor="text1"/>
                <w:lang w:val="uk-UA"/>
              </w:rPr>
            </w:pPr>
            <w:r w:rsidRPr="00AC0D49">
              <w:rPr>
                <w:rFonts w:ascii="Times New Roman" w:hAnsi="Times New Roman" w:cs="Times New Roman"/>
                <w:b/>
                <w:color w:val="000000" w:themeColor="text1"/>
                <w:lang w:val="uk-UA"/>
              </w:rPr>
              <w:t>01.01.2020</w:t>
            </w:r>
          </w:p>
        </w:tc>
        <w:tc>
          <w:tcPr>
            <w:tcW w:w="1206" w:type="dxa"/>
            <w:vAlign w:val="center"/>
          </w:tcPr>
          <w:p w:rsidR="00F61672" w:rsidRPr="00AC0D49" w:rsidRDefault="00F61672" w:rsidP="00F61672">
            <w:pPr>
              <w:jc w:val="center"/>
              <w:rPr>
                <w:rFonts w:ascii="Times New Roman" w:hAnsi="Times New Roman" w:cs="Times New Roman"/>
                <w:b/>
                <w:color w:val="000000" w:themeColor="text1"/>
                <w:lang w:val="uk-UA"/>
              </w:rPr>
            </w:pPr>
            <w:r w:rsidRPr="00AC0D49">
              <w:rPr>
                <w:rFonts w:ascii="Times New Roman" w:hAnsi="Times New Roman" w:cs="Times New Roman"/>
                <w:b/>
                <w:color w:val="000000" w:themeColor="text1"/>
                <w:lang w:val="uk-UA"/>
              </w:rPr>
              <w:t>01.01.2021</w:t>
            </w:r>
          </w:p>
        </w:tc>
        <w:tc>
          <w:tcPr>
            <w:tcW w:w="1206" w:type="dxa"/>
            <w:vAlign w:val="center"/>
          </w:tcPr>
          <w:p w:rsidR="00F61672" w:rsidRPr="00AC0D49" w:rsidRDefault="00F61672" w:rsidP="00F61672">
            <w:pPr>
              <w:jc w:val="center"/>
              <w:rPr>
                <w:rFonts w:ascii="Times New Roman" w:hAnsi="Times New Roman" w:cs="Times New Roman"/>
                <w:b/>
                <w:color w:val="000000" w:themeColor="text1"/>
                <w:lang w:val="uk-UA"/>
              </w:rPr>
            </w:pPr>
            <w:r w:rsidRPr="00AC0D49">
              <w:rPr>
                <w:rFonts w:ascii="Times New Roman" w:hAnsi="Times New Roman" w:cs="Times New Roman"/>
                <w:b/>
                <w:color w:val="000000" w:themeColor="text1"/>
                <w:lang w:val="uk-UA"/>
              </w:rPr>
              <w:t>01.01.2022</w:t>
            </w:r>
          </w:p>
        </w:tc>
        <w:tc>
          <w:tcPr>
            <w:tcW w:w="1198" w:type="dxa"/>
          </w:tcPr>
          <w:p w:rsidR="00F61672" w:rsidRPr="00AC0D49" w:rsidRDefault="00F61672" w:rsidP="00F61672">
            <w:pPr>
              <w:ind w:right="-682"/>
              <w:rPr>
                <w:rFonts w:ascii="Times New Roman" w:hAnsi="Times New Roman" w:cs="Times New Roman"/>
                <w:b/>
                <w:color w:val="000000" w:themeColor="text1"/>
                <w:lang w:val="uk-UA"/>
              </w:rPr>
            </w:pPr>
            <w:r w:rsidRPr="00AC0D49">
              <w:rPr>
                <w:rFonts w:ascii="Times New Roman" w:hAnsi="Times New Roman" w:cs="Times New Roman"/>
                <w:b/>
                <w:color w:val="000000" w:themeColor="text1"/>
                <w:lang w:val="uk-UA"/>
              </w:rPr>
              <w:t>01.01.2023</w:t>
            </w:r>
          </w:p>
        </w:tc>
      </w:tr>
      <w:tr w:rsidR="00F61672" w:rsidRPr="00AC0D49" w:rsidTr="00A06467">
        <w:tc>
          <w:tcPr>
            <w:tcW w:w="1206" w:type="dxa"/>
            <w:vAlign w:val="center"/>
          </w:tcPr>
          <w:p w:rsidR="00F61672" w:rsidRPr="00AC0D49" w:rsidRDefault="00F61672" w:rsidP="00F61672">
            <w:pPr>
              <w:ind w:firstLine="34"/>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72,6</w:t>
            </w:r>
          </w:p>
        </w:tc>
        <w:tc>
          <w:tcPr>
            <w:tcW w:w="1206" w:type="dxa"/>
            <w:vAlign w:val="center"/>
          </w:tcPr>
          <w:p w:rsidR="00F61672" w:rsidRPr="00AC0D49" w:rsidRDefault="00F61672" w:rsidP="00F61672">
            <w:pPr>
              <w:ind w:firstLine="34"/>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72,5</w:t>
            </w:r>
          </w:p>
        </w:tc>
        <w:tc>
          <w:tcPr>
            <w:tcW w:w="1206" w:type="dxa"/>
            <w:vAlign w:val="center"/>
          </w:tcPr>
          <w:p w:rsidR="00F61672" w:rsidRPr="00AC0D49" w:rsidRDefault="00F61672" w:rsidP="00F61672">
            <w:pPr>
              <w:ind w:firstLine="34"/>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72,3</w:t>
            </w:r>
          </w:p>
        </w:tc>
        <w:tc>
          <w:tcPr>
            <w:tcW w:w="1206" w:type="dxa"/>
            <w:vAlign w:val="center"/>
          </w:tcPr>
          <w:p w:rsidR="00F61672" w:rsidRPr="00AC0D49" w:rsidRDefault="00F61672" w:rsidP="00F61672">
            <w:pPr>
              <w:ind w:firstLine="34"/>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72,0</w:t>
            </w:r>
          </w:p>
        </w:tc>
        <w:tc>
          <w:tcPr>
            <w:tcW w:w="1206" w:type="dxa"/>
            <w:vAlign w:val="center"/>
          </w:tcPr>
          <w:p w:rsidR="00F61672" w:rsidRPr="00AC0D49" w:rsidRDefault="00F61672" w:rsidP="00F61672">
            <w:pPr>
              <w:ind w:firstLine="34"/>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71,7</w:t>
            </w:r>
          </w:p>
        </w:tc>
        <w:tc>
          <w:tcPr>
            <w:tcW w:w="1206" w:type="dxa"/>
            <w:vAlign w:val="center"/>
          </w:tcPr>
          <w:p w:rsidR="00F61672" w:rsidRPr="00AC0D49" w:rsidRDefault="00F61672" w:rsidP="00F61672">
            <w:pPr>
              <w:ind w:firstLine="34"/>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70,8</w:t>
            </w:r>
          </w:p>
        </w:tc>
        <w:tc>
          <w:tcPr>
            <w:tcW w:w="1206" w:type="dxa"/>
            <w:vAlign w:val="center"/>
          </w:tcPr>
          <w:p w:rsidR="00F61672" w:rsidRPr="00AC0D49" w:rsidRDefault="00F61672" w:rsidP="00F61672">
            <w:pPr>
              <w:ind w:firstLine="34"/>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70,723</w:t>
            </w:r>
          </w:p>
        </w:tc>
        <w:tc>
          <w:tcPr>
            <w:tcW w:w="1198" w:type="dxa"/>
          </w:tcPr>
          <w:p w:rsidR="00F61672" w:rsidRPr="00AC0D49" w:rsidRDefault="00F61672" w:rsidP="00F61672">
            <w:pPr>
              <w:ind w:firstLine="34"/>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70,619</w:t>
            </w:r>
          </w:p>
        </w:tc>
      </w:tr>
    </w:tbl>
    <w:p w:rsidR="00F61672" w:rsidRPr="00AC0D49" w:rsidRDefault="00F61672" w:rsidP="00F61672">
      <w:pPr>
        <w:spacing w:after="0" w:line="240" w:lineRule="auto"/>
        <w:ind w:firstLine="567"/>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Чисельність населення (наявна) на території Чорноморської міської територіальної громади станом на 01.01.2023р. становить 70 619 осіб, в тому числі :</w:t>
      </w:r>
    </w:p>
    <w:p w:rsidR="00F61672" w:rsidRPr="00AC0D49" w:rsidRDefault="00C250E3" w:rsidP="00F61672">
      <w:pPr>
        <w:spacing w:after="0" w:line="240" w:lineRule="auto"/>
        <w:ind w:firstLine="567"/>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 xml:space="preserve">- </w:t>
      </w:r>
      <w:r w:rsidR="00F61672" w:rsidRPr="00AC0D49">
        <w:rPr>
          <w:rFonts w:ascii="Times New Roman" w:eastAsia="Times New Roman" w:hAnsi="Times New Roman" w:cs="Times New Roman"/>
          <w:bCs/>
          <w:color w:val="000000" w:themeColor="text1"/>
          <w:sz w:val="24"/>
          <w:szCs w:val="24"/>
          <w:lang w:val="uk-UA" w:eastAsia="ru-RU"/>
        </w:rPr>
        <w:t>м.</w:t>
      </w:r>
      <w:r w:rsidR="00A10D98">
        <w:rPr>
          <w:rFonts w:ascii="Times New Roman" w:eastAsia="Times New Roman" w:hAnsi="Times New Roman" w:cs="Times New Roman"/>
          <w:bCs/>
          <w:color w:val="000000" w:themeColor="text1"/>
          <w:sz w:val="24"/>
          <w:szCs w:val="24"/>
          <w:lang w:val="uk-UA" w:eastAsia="ru-RU"/>
        </w:rPr>
        <w:t xml:space="preserve"> </w:t>
      </w:r>
      <w:proofErr w:type="spellStart"/>
      <w:r w:rsidR="00F61672" w:rsidRPr="00AC0D49">
        <w:rPr>
          <w:rFonts w:ascii="Times New Roman" w:eastAsia="Times New Roman" w:hAnsi="Times New Roman" w:cs="Times New Roman"/>
          <w:bCs/>
          <w:color w:val="000000" w:themeColor="text1"/>
          <w:sz w:val="24"/>
          <w:szCs w:val="24"/>
          <w:lang w:val="uk-UA" w:eastAsia="ru-RU"/>
        </w:rPr>
        <w:t>Чорноморськ</w:t>
      </w:r>
      <w:proofErr w:type="spellEnd"/>
      <w:r w:rsidR="00F61672" w:rsidRPr="00AC0D49">
        <w:rPr>
          <w:rFonts w:ascii="Times New Roman" w:eastAsia="Times New Roman" w:hAnsi="Times New Roman" w:cs="Times New Roman"/>
          <w:bCs/>
          <w:color w:val="000000" w:themeColor="text1"/>
          <w:sz w:val="24"/>
          <w:szCs w:val="24"/>
          <w:lang w:val="uk-UA" w:eastAsia="ru-RU"/>
        </w:rPr>
        <w:t xml:space="preserve"> – 57 983 осіб;</w:t>
      </w:r>
    </w:p>
    <w:p w:rsidR="00F61672" w:rsidRPr="00AC0D49" w:rsidRDefault="00C250E3" w:rsidP="00F61672">
      <w:pPr>
        <w:spacing w:after="0" w:line="240" w:lineRule="auto"/>
        <w:ind w:firstLine="567"/>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 xml:space="preserve">- </w:t>
      </w:r>
      <w:proofErr w:type="spellStart"/>
      <w:r w:rsidR="00F61672" w:rsidRPr="00AC0D49">
        <w:rPr>
          <w:rFonts w:ascii="Times New Roman" w:eastAsia="Times New Roman" w:hAnsi="Times New Roman" w:cs="Times New Roman"/>
          <w:bCs/>
          <w:color w:val="000000" w:themeColor="text1"/>
          <w:sz w:val="24"/>
          <w:szCs w:val="24"/>
          <w:lang w:val="uk-UA" w:eastAsia="ru-RU"/>
        </w:rPr>
        <w:t>сел</w:t>
      </w:r>
      <w:proofErr w:type="spellEnd"/>
      <w:r w:rsidR="00F61672" w:rsidRPr="00AC0D49">
        <w:rPr>
          <w:rFonts w:ascii="Times New Roman" w:eastAsia="Times New Roman" w:hAnsi="Times New Roman" w:cs="Times New Roman"/>
          <w:bCs/>
          <w:color w:val="000000" w:themeColor="text1"/>
          <w:sz w:val="24"/>
          <w:szCs w:val="24"/>
          <w:lang w:val="uk-UA" w:eastAsia="ru-RU"/>
        </w:rPr>
        <w:t>.</w:t>
      </w:r>
      <w:r w:rsidRPr="00AC0D49">
        <w:rPr>
          <w:rFonts w:ascii="Times New Roman" w:eastAsia="Times New Roman" w:hAnsi="Times New Roman" w:cs="Times New Roman"/>
          <w:bCs/>
          <w:color w:val="000000" w:themeColor="text1"/>
          <w:sz w:val="24"/>
          <w:szCs w:val="24"/>
          <w:lang w:val="uk-UA" w:eastAsia="ru-RU"/>
        </w:rPr>
        <w:t xml:space="preserve"> </w:t>
      </w:r>
      <w:r w:rsidR="00F61672" w:rsidRPr="00AC0D49">
        <w:rPr>
          <w:rFonts w:ascii="Times New Roman" w:eastAsia="Times New Roman" w:hAnsi="Times New Roman" w:cs="Times New Roman"/>
          <w:bCs/>
          <w:color w:val="000000" w:themeColor="text1"/>
          <w:sz w:val="24"/>
          <w:szCs w:val="24"/>
          <w:lang w:val="uk-UA" w:eastAsia="ru-RU"/>
        </w:rPr>
        <w:t>Олександрівка - 7 495 осіб;</w:t>
      </w:r>
    </w:p>
    <w:p w:rsidR="00F61672" w:rsidRPr="00AC0D49" w:rsidRDefault="00C250E3" w:rsidP="002A0116">
      <w:pPr>
        <w:spacing w:after="0" w:line="240" w:lineRule="auto"/>
        <w:ind w:firstLine="567"/>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 xml:space="preserve">- </w:t>
      </w:r>
      <w:r w:rsidR="00F61672" w:rsidRPr="00AC0D49">
        <w:rPr>
          <w:rFonts w:ascii="Times New Roman" w:eastAsia="Times New Roman" w:hAnsi="Times New Roman" w:cs="Times New Roman"/>
          <w:bCs/>
          <w:color w:val="000000" w:themeColor="text1"/>
          <w:sz w:val="24"/>
          <w:szCs w:val="24"/>
          <w:lang w:val="uk-UA" w:eastAsia="ru-RU"/>
        </w:rPr>
        <w:t xml:space="preserve">сільське населення:  с. </w:t>
      </w:r>
      <w:proofErr w:type="spellStart"/>
      <w:r w:rsidR="00F61672" w:rsidRPr="00AC0D49">
        <w:rPr>
          <w:rFonts w:ascii="Times New Roman" w:eastAsia="Times New Roman" w:hAnsi="Times New Roman" w:cs="Times New Roman"/>
          <w:bCs/>
          <w:color w:val="000000" w:themeColor="text1"/>
          <w:sz w:val="24"/>
          <w:szCs w:val="24"/>
          <w:lang w:val="uk-UA" w:eastAsia="ru-RU"/>
        </w:rPr>
        <w:t>Малодолинське</w:t>
      </w:r>
      <w:proofErr w:type="spellEnd"/>
      <w:r w:rsidR="00F61672" w:rsidRPr="00AC0D49">
        <w:rPr>
          <w:rFonts w:ascii="Times New Roman" w:eastAsia="Times New Roman" w:hAnsi="Times New Roman" w:cs="Times New Roman"/>
          <w:bCs/>
          <w:color w:val="000000" w:themeColor="text1"/>
          <w:sz w:val="24"/>
          <w:szCs w:val="24"/>
          <w:lang w:val="uk-UA" w:eastAsia="ru-RU"/>
        </w:rPr>
        <w:t xml:space="preserve">, с. </w:t>
      </w:r>
      <w:proofErr w:type="spellStart"/>
      <w:r w:rsidR="00F61672" w:rsidRPr="00AC0D49">
        <w:rPr>
          <w:rFonts w:ascii="Times New Roman" w:eastAsia="Times New Roman" w:hAnsi="Times New Roman" w:cs="Times New Roman"/>
          <w:bCs/>
          <w:color w:val="000000" w:themeColor="text1"/>
          <w:sz w:val="24"/>
          <w:szCs w:val="24"/>
          <w:lang w:val="uk-UA" w:eastAsia="ru-RU"/>
        </w:rPr>
        <w:t>Бурлача</w:t>
      </w:r>
      <w:proofErr w:type="spellEnd"/>
      <w:r w:rsidR="00F61672" w:rsidRPr="00AC0D49">
        <w:rPr>
          <w:rFonts w:ascii="Times New Roman" w:eastAsia="Times New Roman" w:hAnsi="Times New Roman" w:cs="Times New Roman"/>
          <w:bCs/>
          <w:color w:val="000000" w:themeColor="text1"/>
          <w:sz w:val="24"/>
          <w:szCs w:val="24"/>
          <w:lang w:val="uk-UA" w:eastAsia="ru-RU"/>
        </w:rPr>
        <w:t xml:space="preserve"> Балка </w:t>
      </w:r>
      <w:r w:rsidR="003726EE" w:rsidRPr="00AC0D49">
        <w:rPr>
          <w:rFonts w:ascii="Times New Roman" w:eastAsia="Times New Roman" w:hAnsi="Times New Roman" w:cs="Times New Roman"/>
          <w:bCs/>
          <w:color w:val="000000" w:themeColor="text1"/>
          <w:sz w:val="24"/>
          <w:szCs w:val="24"/>
          <w:lang w:val="uk-UA" w:eastAsia="ru-RU"/>
        </w:rPr>
        <w:t>–</w:t>
      </w:r>
      <w:r w:rsidR="00F61672" w:rsidRPr="00AC0D49">
        <w:rPr>
          <w:rFonts w:ascii="Times New Roman" w:eastAsia="Times New Roman" w:hAnsi="Times New Roman" w:cs="Times New Roman"/>
          <w:bCs/>
          <w:color w:val="000000" w:themeColor="text1"/>
          <w:sz w:val="24"/>
          <w:szCs w:val="24"/>
          <w:lang w:val="uk-UA" w:eastAsia="ru-RU"/>
        </w:rPr>
        <w:t xml:space="preserve"> 5</w:t>
      </w:r>
      <w:r w:rsidR="003726EE" w:rsidRPr="00AC0D49">
        <w:rPr>
          <w:rFonts w:ascii="Times New Roman" w:eastAsia="Times New Roman" w:hAnsi="Times New Roman" w:cs="Times New Roman"/>
          <w:bCs/>
          <w:color w:val="000000" w:themeColor="text1"/>
          <w:sz w:val="24"/>
          <w:szCs w:val="24"/>
          <w:lang w:val="uk-UA" w:eastAsia="ru-RU"/>
        </w:rPr>
        <w:t xml:space="preserve"> </w:t>
      </w:r>
      <w:r w:rsidR="00F61672" w:rsidRPr="00AC0D49">
        <w:rPr>
          <w:rFonts w:ascii="Times New Roman" w:eastAsia="Times New Roman" w:hAnsi="Times New Roman" w:cs="Times New Roman"/>
          <w:bCs/>
          <w:color w:val="000000" w:themeColor="text1"/>
          <w:sz w:val="24"/>
          <w:szCs w:val="24"/>
          <w:lang w:val="uk-UA" w:eastAsia="ru-RU"/>
        </w:rPr>
        <w:t>141 осіб.</w:t>
      </w:r>
    </w:p>
    <w:p w:rsidR="00F61672" w:rsidRPr="00AC0D49" w:rsidRDefault="00F61672" w:rsidP="00F61672">
      <w:pPr>
        <w:spacing w:after="0" w:line="240" w:lineRule="auto"/>
        <w:ind w:firstLine="567"/>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Станом на 1.10.2023 року на території громади зареєстровано 6</w:t>
      </w:r>
      <w:r w:rsidR="003726EE" w:rsidRPr="00AC0D49">
        <w:rPr>
          <w:rFonts w:ascii="Times New Roman" w:eastAsia="Times New Roman" w:hAnsi="Times New Roman" w:cs="Times New Roman"/>
          <w:bCs/>
          <w:color w:val="000000" w:themeColor="text1"/>
          <w:sz w:val="24"/>
          <w:szCs w:val="24"/>
          <w:lang w:val="uk-UA" w:eastAsia="ru-RU"/>
        </w:rPr>
        <w:t xml:space="preserve"> </w:t>
      </w:r>
      <w:r w:rsidRPr="00AC0D49">
        <w:rPr>
          <w:rFonts w:ascii="Times New Roman" w:eastAsia="Times New Roman" w:hAnsi="Times New Roman" w:cs="Times New Roman"/>
          <w:bCs/>
          <w:color w:val="000000" w:themeColor="text1"/>
          <w:sz w:val="24"/>
          <w:szCs w:val="24"/>
          <w:lang w:val="uk-UA" w:eastAsia="ru-RU"/>
        </w:rPr>
        <w:t>769 внутрішньо</w:t>
      </w:r>
      <w:r w:rsidR="00A10D98">
        <w:rPr>
          <w:rFonts w:ascii="Times New Roman" w:eastAsia="Times New Roman" w:hAnsi="Times New Roman" w:cs="Times New Roman"/>
          <w:bCs/>
          <w:color w:val="000000" w:themeColor="text1"/>
          <w:sz w:val="24"/>
          <w:szCs w:val="24"/>
          <w:lang w:val="uk-UA" w:eastAsia="ru-RU"/>
        </w:rPr>
        <w:t xml:space="preserve"> </w:t>
      </w:r>
      <w:r w:rsidRPr="00AC0D49">
        <w:rPr>
          <w:rFonts w:ascii="Times New Roman" w:eastAsia="Times New Roman" w:hAnsi="Times New Roman" w:cs="Times New Roman"/>
          <w:bCs/>
          <w:color w:val="000000" w:themeColor="text1"/>
          <w:sz w:val="24"/>
          <w:szCs w:val="24"/>
          <w:lang w:val="uk-UA" w:eastAsia="ru-RU"/>
        </w:rPr>
        <w:t>переміщених осіб.</w:t>
      </w:r>
    </w:p>
    <w:p w:rsidR="00197AFA" w:rsidRPr="00AC0D49" w:rsidRDefault="00197AFA" w:rsidP="00F61672">
      <w:pPr>
        <w:spacing w:after="0" w:line="240" w:lineRule="auto"/>
        <w:ind w:firstLine="567"/>
        <w:jc w:val="both"/>
        <w:rPr>
          <w:rFonts w:ascii="Times New Roman" w:eastAsia="Times New Roman" w:hAnsi="Times New Roman" w:cs="Times New Roman"/>
          <w:bCs/>
          <w:color w:val="000000" w:themeColor="text1"/>
          <w:sz w:val="24"/>
          <w:szCs w:val="24"/>
          <w:lang w:val="uk-UA" w:eastAsia="ru-RU"/>
        </w:rPr>
      </w:pPr>
    </w:p>
    <w:p w:rsidR="00197AFA" w:rsidRPr="00AC0D49" w:rsidRDefault="00197AFA" w:rsidP="00F61672">
      <w:pPr>
        <w:spacing w:after="0" w:line="240" w:lineRule="auto"/>
        <w:ind w:firstLine="567"/>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Станом на 1.10.2023 року на території Чорноморської міської територіальної громади зареєстровано 7</w:t>
      </w:r>
      <w:r w:rsidR="003726EE" w:rsidRPr="00AC0D49">
        <w:rPr>
          <w:rFonts w:ascii="Times New Roman" w:eastAsia="Times New Roman" w:hAnsi="Times New Roman" w:cs="Times New Roman"/>
          <w:bCs/>
          <w:color w:val="000000" w:themeColor="text1"/>
          <w:sz w:val="24"/>
          <w:szCs w:val="24"/>
          <w:lang w:val="uk-UA" w:eastAsia="ru-RU"/>
        </w:rPr>
        <w:t xml:space="preserve"> </w:t>
      </w:r>
      <w:r w:rsidRPr="00AC0D49">
        <w:rPr>
          <w:rFonts w:ascii="Times New Roman" w:eastAsia="Times New Roman" w:hAnsi="Times New Roman" w:cs="Times New Roman"/>
          <w:bCs/>
          <w:color w:val="000000" w:themeColor="text1"/>
          <w:sz w:val="24"/>
          <w:szCs w:val="24"/>
          <w:lang w:val="uk-UA" w:eastAsia="ru-RU"/>
        </w:rPr>
        <w:t>166</w:t>
      </w:r>
      <w:r w:rsidR="003726EE" w:rsidRPr="00AC0D49">
        <w:rPr>
          <w:rFonts w:ascii="Times New Roman" w:eastAsia="Times New Roman" w:hAnsi="Times New Roman" w:cs="Times New Roman"/>
          <w:bCs/>
          <w:color w:val="000000" w:themeColor="text1"/>
          <w:sz w:val="24"/>
          <w:szCs w:val="24"/>
          <w:lang w:val="uk-UA" w:eastAsia="ru-RU"/>
        </w:rPr>
        <w:t xml:space="preserve">  суб’єктів господарювання, у</w:t>
      </w:r>
      <w:r w:rsidRPr="00AC0D49">
        <w:rPr>
          <w:rFonts w:ascii="Times New Roman" w:eastAsia="Times New Roman" w:hAnsi="Times New Roman" w:cs="Times New Roman"/>
          <w:bCs/>
          <w:color w:val="000000" w:themeColor="text1"/>
          <w:sz w:val="24"/>
          <w:szCs w:val="24"/>
          <w:lang w:val="uk-UA" w:eastAsia="ru-RU"/>
        </w:rPr>
        <w:t xml:space="preserve"> т.</w:t>
      </w:r>
      <w:r w:rsidR="003726EE" w:rsidRPr="00AC0D49">
        <w:rPr>
          <w:rFonts w:ascii="Times New Roman" w:eastAsia="Times New Roman" w:hAnsi="Times New Roman" w:cs="Times New Roman"/>
          <w:bCs/>
          <w:color w:val="000000" w:themeColor="text1"/>
          <w:sz w:val="24"/>
          <w:szCs w:val="24"/>
          <w:lang w:val="uk-UA" w:eastAsia="ru-RU"/>
        </w:rPr>
        <w:t xml:space="preserve"> </w:t>
      </w:r>
      <w:r w:rsidRPr="00AC0D49">
        <w:rPr>
          <w:rFonts w:ascii="Times New Roman" w:eastAsia="Times New Roman" w:hAnsi="Times New Roman" w:cs="Times New Roman"/>
          <w:bCs/>
          <w:color w:val="000000" w:themeColor="text1"/>
          <w:sz w:val="24"/>
          <w:szCs w:val="24"/>
          <w:lang w:val="uk-UA" w:eastAsia="ru-RU"/>
        </w:rPr>
        <w:t>ч. 3</w:t>
      </w:r>
      <w:r w:rsidR="003726EE" w:rsidRPr="00AC0D49">
        <w:rPr>
          <w:rFonts w:ascii="Times New Roman" w:eastAsia="Times New Roman" w:hAnsi="Times New Roman" w:cs="Times New Roman"/>
          <w:bCs/>
          <w:color w:val="000000" w:themeColor="text1"/>
          <w:sz w:val="24"/>
          <w:szCs w:val="24"/>
          <w:lang w:val="uk-UA" w:eastAsia="ru-RU"/>
        </w:rPr>
        <w:t xml:space="preserve"> </w:t>
      </w:r>
      <w:r w:rsidRPr="00AC0D49">
        <w:rPr>
          <w:rFonts w:ascii="Times New Roman" w:eastAsia="Times New Roman" w:hAnsi="Times New Roman" w:cs="Times New Roman"/>
          <w:bCs/>
          <w:color w:val="000000" w:themeColor="text1"/>
          <w:sz w:val="24"/>
          <w:szCs w:val="24"/>
          <w:lang w:val="uk-UA" w:eastAsia="ru-RU"/>
        </w:rPr>
        <w:t>035 – юридичних осіб, 4</w:t>
      </w:r>
      <w:r w:rsidR="003726EE" w:rsidRPr="00AC0D49">
        <w:rPr>
          <w:rFonts w:ascii="Times New Roman" w:eastAsia="Times New Roman" w:hAnsi="Times New Roman" w:cs="Times New Roman"/>
          <w:bCs/>
          <w:color w:val="000000" w:themeColor="text1"/>
          <w:sz w:val="24"/>
          <w:szCs w:val="24"/>
          <w:lang w:val="uk-UA" w:eastAsia="ru-RU"/>
        </w:rPr>
        <w:t xml:space="preserve"> </w:t>
      </w:r>
      <w:r w:rsidRPr="00AC0D49">
        <w:rPr>
          <w:rFonts w:ascii="Times New Roman" w:eastAsia="Times New Roman" w:hAnsi="Times New Roman" w:cs="Times New Roman"/>
          <w:bCs/>
          <w:color w:val="000000" w:themeColor="text1"/>
          <w:sz w:val="24"/>
          <w:szCs w:val="24"/>
          <w:lang w:val="uk-UA" w:eastAsia="ru-RU"/>
        </w:rPr>
        <w:t>131 – фізичних осіб – підприємців.</w:t>
      </w:r>
    </w:p>
    <w:p w:rsidR="00A10D98" w:rsidRDefault="00A10D98" w:rsidP="00F61672">
      <w:pPr>
        <w:jc w:val="center"/>
        <w:rPr>
          <w:rFonts w:ascii="Times New Roman" w:hAnsi="Times New Roman" w:cs="Times New Roman"/>
          <w:b/>
          <w:color w:val="000000" w:themeColor="text1"/>
          <w:sz w:val="24"/>
          <w:szCs w:val="24"/>
          <w:lang w:val="uk-UA"/>
        </w:rPr>
      </w:pPr>
    </w:p>
    <w:p w:rsidR="00A10D98" w:rsidRDefault="00A10D98" w:rsidP="00F61672">
      <w:pPr>
        <w:jc w:val="center"/>
        <w:rPr>
          <w:rFonts w:ascii="Times New Roman" w:hAnsi="Times New Roman" w:cs="Times New Roman"/>
          <w:b/>
          <w:color w:val="000000" w:themeColor="text1"/>
          <w:sz w:val="24"/>
          <w:szCs w:val="24"/>
          <w:lang w:val="uk-UA"/>
        </w:rPr>
      </w:pPr>
    </w:p>
    <w:p w:rsidR="00A10D98" w:rsidRDefault="00A10D98" w:rsidP="00F61672">
      <w:pPr>
        <w:jc w:val="center"/>
        <w:rPr>
          <w:rFonts w:ascii="Times New Roman" w:hAnsi="Times New Roman" w:cs="Times New Roman"/>
          <w:b/>
          <w:color w:val="000000" w:themeColor="text1"/>
          <w:sz w:val="24"/>
          <w:szCs w:val="24"/>
          <w:lang w:val="uk-UA"/>
        </w:rPr>
      </w:pPr>
    </w:p>
    <w:p w:rsidR="00A10D98" w:rsidRDefault="00A10D98" w:rsidP="00F61672">
      <w:pPr>
        <w:jc w:val="center"/>
        <w:rPr>
          <w:rFonts w:ascii="Times New Roman" w:hAnsi="Times New Roman" w:cs="Times New Roman"/>
          <w:b/>
          <w:color w:val="000000" w:themeColor="text1"/>
          <w:sz w:val="24"/>
          <w:szCs w:val="24"/>
          <w:lang w:val="uk-UA"/>
        </w:rPr>
      </w:pPr>
    </w:p>
    <w:p w:rsidR="00A10D98" w:rsidRDefault="00A10D98" w:rsidP="00F61672">
      <w:pPr>
        <w:jc w:val="center"/>
        <w:rPr>
          <w:rFonts w:ascii="Times New Roman" w:hAnsi="Times New Roman" w:cs="Times New Roman"/>
          <w:b/>
          <w:color w:val="000000" w:themeColor="text1"/>
          <w:sz w:val="24"/>
          <w:szCs w:val="24"/>
          <w:lang w:val="uk-UA"/>
        </w:rPr>
      </w:pPr>
    </w:p>
    <w:p w:rsidR="00F61672" w:rsidRPr="00AC0D49" w:rsidRDefault="00F61672" w:rsidP="00F61672">
      <w:pPr>
        <w:jc w:val="center"/>
        <w:rPr>
          <w:rFonts w:ascii="Times New Roman" w:eastAsia="Calibri" w:hAnsi="Times New Roman" w:cs="Times New Roman"/>
          <w:color w:val="000000" w:themeColor="text1"/>
          <w:sz w:val="24"/>
          <w:szCs w:val="24"/>
          <w:lang w:val="uk-UA"/>
        </w:rPr>
      </w:pPr>
      <w:r w:rsidRPr="00AC0D49">
        <w:rPr>
          <w:rFonts w:ascii="Times New Roman" w:hAnsi="Times New Roman" w:cs="Times New Roman"/>
          <w:b/>
          <w:color w:val="000000" w:themeColor="text1"/>
          <w:sz w:val="24"/>
          <w:szCs w:val="24"/>
          <w:lang w:val="uk-UA"/>
        </w:rPr>
        <w:lastRenderedPageBreak/>
        <w:t>Динаміка середньомісячної заробітної плати</w:t>
      </w:r>
      <w:r w:rsidRPr="00AC0D49">
        <w:rPr>
          <w:rFonts w:ascii="Times New Roman" w:eastAsia="Calibri" w:hAnsi="Times New Roman" w:cs="Times New Roman"/>
          <w:b/>
          <w:color w:val="000000" w:themeColor="text1"/>
          <w:sz w:val="24"/>
          <w:szCs w:val="24"/>
          <w:lang w:val="uk-UA"/>
        </w:rPr>
        <w:t xml:space="preserve">,  грн                                                                                                                                          </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931"/>
        <w:gridCol w:w="937"/>
        <w:gridCol w:w="937"/>
        <w:gridCol w:w="937"/>
        <w:gridCol w:w="938"/>
        <w:gridCol w:w="938"/>
        <w:gridCol w:w="944"/>
        <w:gridCol w:w="944"/>
        <w:gridCol w:w="944"/>
      </w:tblGrid>
      <w:tr w:rsidR="000479C7" w:rsidRPr="00AC0D49" w:rsidTr="00F2422D">
        <w:trPr>
          <w:trHeight w:val="679"/>
          <w:jc w:val="center"/>
        </w:trPr>
        <w:tc>
          <w:tcPr>
            <w:tcW w:w="1696" w:type="dxa"/>
            <w:shd w:val="clear" w:color="auto" w:fill="auto"/>
          </w:tcPr>
          <w:p w:rsidR="000479C7" w:rsidRPr="00AC0D49" w:rsidRDefault="000479C7" w:rsidP="00F2422D">
            <w:pPr>
              <w:spacing w:after="0"/>
              <w:ind w:left="-822"/>
              <w:jc w:val="both"/>
              <w:rPr>
                <w:rFonts w:eastAsia="Calibri"/>
                <w:color w:val="000000" w:themeColor="text1"/>
                <w:lang w:val="uk-UA"/>
              </w:rPr>
            </w:pPr>
          </w:p>
        </w:tc>
        <w:tc>
          <w:tcPr>
            <w:tcW w:w="931" w:type="dxa"/>
            <w:shd w:val="clear" w:color="auto" w:fill="auto"/>
            <w:vAlign w:val="center"/>
          </w:tcPr>
          <w:p w:rsidR="000479C7" w:rsidRPr="00AC0D49" w:rsidRDefault="000479C7" w:rsidP="00F61672">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2017</w:t>
            </w:r>
          </w:p>
          <w:p w:rsidR="000479C7" w:rsidRPr="00AC0D49" w:rsidRDefault="000479C7" w:rsidP="00F61672">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рік</w:t>
            </w:r>
          </w:p>
        </w:tc>
        <w:tc>
          <w:tcPr>
            <w:tcW w:w="937" w:type="dxa"/>
            <w:shd w:val="clear" w:color="auto" w:fill="auto"/>
            <w:vAlign w:val="center"/>
          </w:tcPr>
          <w:p w:rsidR="000479C7" w:rsidRPr="00AC0D49" w:rsidRDefault="000479C7" w:rsidP="00F61672">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2018</w:t>
            </w:r>
          </w:p>
          <w:p w:rsidR="000479C7" w:rsidRPr="00AC0D49" w:rsidRDefault="000479C7" w:rsidP="00F61672">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рік</w:t>
            </w:r>
          </w:p>
        </w:tc>
        <w:tc>
          <w:tcPr>
            <w:tcW w:w="937" w:type="dxa"/>
            <w:shd w:val="clear" w:color="auto" w:fill="auto"/>
            <w:vAlign w:val="center"/>
          </w:tcPr>
          <w:p w:rsidR="000479C7" w:rsidRPr="00AC0D49" w:rsidRDefault="000479C7" w:rsidP="00F61672">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2019</w:t>
            </w:r>
          </w:p>
          <w:p w:rsidR="000479C7" w:rsidRPr="00AC0D49" w:rsidRDefault="000479C7" w:rsidP="00F61672">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рік</w:t>
            </w:r>
          </w:p>
        </w:tc>
        <w:tc>
          <w:tcPr>
            <w:tcW w:w="937" w:type="dxa"/>
            <w:shd w:val="clear" w:color="auto" w:fill="auto"/>
            <w:vAlign w:val="center"/>
          </w:tcPr>
          <w:p w:rsidR="000479C7" w:rsidRPr="00AC0D49" w:rsidRDefault="000479C7" w:rsidP="00F61672">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2020</w:t>
            </w:r>
          </w:p>
          <w:p w:rsidR="000479C7" w:rsidRPr="00AC0D49" w:rsidRDefault="000479C7" w:rsidP="00F61672">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рік</w:t>
            </w:r>
          </w:p>
        </w:tc>
        <w:tc>
          <w:tcPr>
            <w:tcW w:w="938" w:type="dxa"/>
            <w:shd w:val="clear" w:color="auto" w:fill="auto"/>
            <w:vAlign w:val="center"/>
          </w:tcPr>
          <w:p w:rsidR="000479C7" w:rsidRPr="00AC0D49" w:rsidRDefault="000479C7" w:rsidP="00F61672">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2021</w:t>
            </w:r>
          </w:p>
          <w:p w:rsidR="000479C7" w:rsidRPr="00AC0D49" w:rsidRDefault="000479C7" w:rsidP="00F61672">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рік</w:t>
            </w:r>
          </w:p>
        </w:tc>
        <w:tc>
          <w:tcPr>
            <w:tcW w:w="938" w:type="dxa"/>
            <w:shd w:val="clear" w:color="auto" w:fill="auto"/>
            <w:vAlign w:val="center"/>
          </w:tcPr>
          <w:p w:rsidR="000479C7" w:rsidRPr="00AC0D49" w:rsidRDefault="000479C7" w:rsidP="00F61672">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2022 рік</w:t>
            </w:r>
          </w:p>
        </w:tc>
        <w:tc>
          <w:tcPr>
            <w:tcW w:w="944" w:type="dxa"/>
            <w:vAlign w:val="center"/>
          </w:tcPr>
          <w:p w:rsidR="000479C7" w:rsidRPr="00AC0D49" w:rsidRDefault="000479C7" w:rsidP="00F61672">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І квартал</w:t>
            </w:r>
          </w:p>
          <w:p w:rsidR="000479C7" w:rsidRPr="00AC0D49" w:rsidRDefault="000479C7" w:rsidP="00F61672">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2023 року</w:t>
            </w:r>
          </w:p>
        </w:tc>
        <w:tc>
          <w:tcPr>
            <w:tcW w:w="944" w:type="dxa"/>
          </w:tcPr>
          <w:p w:rsidR="000479C7" w:rsidRPr="00AC0D49" w:rsidRDefault="000479C7" w:rsidP="00F61672">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ІІ квартал</w:t>
            </w:r>
          </w:p>
          <w:p w:rsidR="000479C7" w:rsidRPr="00AC0D49" w:rsidRDefault="000479C7" w:rsidP="00F61672">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2023 року</w:t>
            </w:r>
          </w:p>
        </w:tc>
        <w:tc>
          <w:tcPr>
            <w:tcW w:w="944" w:type="dxa"/>
          </w:tcPr>
          <w:p w:rsidR="000479C7" w:rsidRPr="00AC0D49" w:rsidRDefault="000479C7" w:rsidP="006E1CD4">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ІІІ квартал</w:t>
            </w:r>
          </w:p>
          <w:p w:rsidR="000479C7" w:rsidRPr="00AC0D49" w:rsidRDefault="000479C7" w:rsidP="006E1CD4">
            <w:pPr>
              <w:spacing w:after="0" w:line="240" w:lineRule="auto"/>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2023 року</w:t>
            </w:r>
          </w:p>
        </w:tc>
      </w:tr>
      <w:tr w:rsidR="000479C7" w:rsidRPr="00AC0D49" w:rsidTr="00937510">
        <w:trPr>
          <w:cantSplit/>
          <w:trHeight w:val="449"/>
          <w:jc w:val="center"/>
        </w:trPr>
        <w:tc>
          <w:tcPr>
            <w:tcW w:w="1696" w:type="dxa"/>
            <w:shd w:val="clear" w:color="auto" w:fill="auto"/>
            <w:vAlign w:val="center"/>
          </w:tcPr>
          <w:p w:rsidR="000479C7" w:rsidRPr="00AC0D49" w:rsidRDefault="00F2422D" w:rsidP="00937510">
            <w:pPr>
              <w:ind w:right="-108"/>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м.</w:t>
            </w:r>
            <w:r w:rsidR="000479C7" w:rsidRPr="00AC0D49">
              <w:rPr>
                <w:rFonts w:ascii="Times New Roman" w:hAnsi="Times New Roman" w:cs="Times New Roman"/>
                <w:color w:val="000000" w:themeColor="text1"/>
                <w:sz w:val="20"/>
                <w:szCs w:val="20"/>
                <w:lang w:val="uk-UA"/>
              </w:rPr>
              <w:t xml:space="preserve"> </w:t>
            </w:r>
            <w:proofErr w:type="spellStart"/>
            <w:r w:rsidR="000479C7" w:rsidRPr="00AC0D49">
              <w:rPr>
                <w:rFonts w:ascii="Times New Roman" w:hAnsi="Times New Roman" w:cs="Times New Roman"/>
                <w:color w:val="000000" w:themeColor="text1"/>
                <w:sz w:val="20"/>
                <w:szCs w:val="20"/>
                <w:lang w:val="uk-UA"/>
              </w:rPr>
              <w:t>Чорноморськ</w:t>
            </w:r>
            <w:proofErr w:type="spellEnd"/>
          </w:p>
        </w:tc>
        <w:tc>
          <w:tcPr>
            <w:tcW w:w="931" w:type="dxa"/>
            <w:shd w:val="clear" w:color="auto" w:fill="auto"/>
            <w:vAlign w:val="center"/>
          </w:tcPr>
          <w:p w:rsidR="000479C7" w:rsidRPr="00AC0D49" w:rsidRDefault="000479C7"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8 477</w:t>
            </w:r>
          </w:p>
        </w:tc>
        <w:tc>
          <w:tcPr>
            <w:tcW w:w="937" w:type="dxa"/>
            <w:shd w:val="clear" w:color="auto" w:fill="auto"/>
            <w:vAlign w:val="center"/>
          </w:tcPr>
          <w:p w:rsidR="000479C7" w:rsidRPr="00AC0D49" w:rsidRDefault="000479C7"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10 219</w:t>
            </w:r>
          </w:p>
        </w:tc>
        <w:tc>
          <w:tcPr>
            <w:tcW w:w="937" w:type="dxa"/>
            <w:shd w:val="clear" w:color="auto" w:fill="auto"/>
            <w:vAlign w:val="center"/>
          </w:tcPr>
          <w:p w:rsidR="000479C7" w:rsidRPr="00AC0D49" w:rsidRDefault="000479C7"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11 372</w:t>
            </w:r>
          </w:p>
        </w:tc>
        <w:tc>
          <w:tcPr>
            <w:tcW w:w="937" w:type="dxa"/>
            <w:shd w:val="clear" w:color="auto" w:fill="auto"/>
            <w:vAlign w:val="center"/>
          </w:tcPr>
          <w:p w:rsidR="000479C7" w:rsidRPr="00AC0D49" w:rsidRDefault="000479C7"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11 789</w:t>
            </w:r>
          </w:p>
        </w:tc>
        <w:tc>
          <w:tcPr>
            <w:tcW w:w="938" w:type="dxa"/>
            <w:shd w:val="clear" w:color="auto" w:fill="auto"/>
            <w:vAlign w:val="center"/>
          </w:tcPr>
          <w:p w:rsidR="000479C7" w:rsidRPr="00AC0D49" w:rsidRDefault="000479C7"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12 857</w:t>
            </w:r>
          </w:p>
        </w:tc>
        <w:tc>
          <w:tcPr>
            <w:tcW w:w="938" w:type="dxa"/>
            <w:shd w:val="clear" w:color="auto" w:fill="auto"/>
            <w:vAlign w:val="center"/>
          </w:tcPr>
          <w:p w:rsidR="000479C7" w:rsidRPr="00AC0D49" w:rsidRDefault="000479C7" w:rsidP="00816545">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12</w:t>
            </w:r>
            <w:r w:rsidR="00D20BDA" w:rsidRPr="00AC0D49">
              <w:rPr>
                <w:rFonts w:ascii="Times New Roman" w:hAnsi="Times New Roman" w:cs="Times New Roman"/>
                <w:color w:val="000000" w:themeColor="text1"/>
                <w:sz w:val="20"/>
                <w:szCs w:val="20"/>
                <w:lang w:val="uk-UA"/>
              </w:rPr>
              <w:t> </w:t>
            </w:r>
            <w:r w:rsidRPr="00AC0D49">
              <w:rPr>
                <w:rFonts w:ascii="Times New Roman" w:hAnsi="Times New Roman" w:cs="Times New Roman"/>
                <w:color w:val="000000" w:themeColor="text1"/>
                <w:sz w:val="20"/>
                <w:szCs w:val="20"/>
                <w:lang w:val="uk-UA"/>
              </w:rPr>
              <w:t>91</w:t>
            </w:r>
            <w:r w:rsidR="00816545" w:rsidRPr="00AC0D49">
              <w:rPr>
                <w:rFonts w:ascii="Times New Roman" w:hAnsi="Times New Roman" w:cs="Times New Roman"/>
                <w:color w:val="000000" w:themeColor="text1"/>
                <w:sz w:val="20"/>
                <w:szCs w:val="20"/>
                <w:lang w:val="uk-UA"/>
              </w:rPr>
              <w:t>1</w:t>
            </w:r>
            <w:r w:rsidR="00D20BDA" w:rsidRPr="00AC0D49">
              <w:rPr>
                <w:rFonts w:ascii="Times New Roman" w:hAnsi="Times New Roman" w:cs="Times New Roman"/>
                <w:color w:val="000000" w:themeColor="text1"/>
                <w:sz w:val="20"/>
                <w:szCs w:val="20"/>
                <w:lang w:val="uk-UA"/>
              </w:rPr>
              <w:t>*</w:t>
            </w:r>
          </w:p>
        </w:tc>
        <w:tc>
          <w:tcPr>
            <w:tcW w:w="944" w:type="dxa"/>
            <w:vAlign w:val="center"/>
          </w:tcPr>
          <w:p w:rsidR="000479C7" w:rsidRPr="00AC0D49" w:rsidRDefault="000479C7"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14</w:t>
            </w:r>
            <w:r w:rsidR="00D20BDA" w:rsidRPr="00AC0D49">
              <w:rPr>
                <w:rFonts w:ascii="Times New Roman" w:hAnsi="Times New Roman" w:cs="Times New Roman"/>
                <w:color w:val="000000" w:themeColor="text1"/>
                <w:sz w:val="20"/>
                <w:szCs w:val="20"/>
                <w:lang w:val="uk-UA"/>
              </w:rPr>
              <w:t> </w:t>
            </w:r>
            <w:r w:rsidRPr="00AC0D49">
              <w:rPr>
                <w:rFonts w:ascii="Times New Roman" w:hAnsi="Times New Roman" w:cs="Times New Roman"/>
                <w:color w:val="000000" w:themeColor="text1"/>
                <w:sz w:val="20"/>
                <w:szCs w:val="20"/>
                <w:lang w:val="uk-UA"/>
              </w:rPr>
              <w:t>445</w:t>
            </w:r>
            <w:r w:rsidR="00D20BDA" w:rsidRPr="00AC0D49">
              <w:rPr>
                <w:rFonts w:ascii="Times New Roman" w:hAnsi="Times New Roman" w:cs="Times New Roman"/>
                <w:color w:val="000000" w:themeColor="text1"/>
                <w:sz w:val="20"/>
                <w:szCs w:val="20"/>
                <w:lang w:val="uk-UA"/>
              </w:rPr>
              <w:t>*</w:t>
            </w:r>
          </w:p>
        </w:tc>
        <w:tc>
          <w:tcPr>
            <w:tcW w:w="944" w:type="dxa"/>
            <w:vAlign w:val="center"/>
          </w:tcPr>
          <w:p w:rsidR="000479C7" w:rsidRPr="00AC0D49" w:rsidRDefault="000479C7"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15</w:t>
            </w:r>
            <w:r w:rsidR="00816545" w:rsidRPr="00AC0D49">
              <w:rPr>
                <w:rFonts w:ascii="Times New Roman" w:hAnsi="Times New Roman" w:cs="Times New Roman"/>
                <w:color w:val="000000" w:themeColor="text1"/>
                <w:sz w:val="20"/>
                <w:szCs w:val="20"/>
                <w:lang w:val="uk-UA"/>
              </w:rPr>
              <w:t> </w:t>
            </w:r>
            <w:r w:rsidRPr="00AC0D49">
              <w:rPr>
                <w:rFonts w:ascii="Times New Roman" w:hAnsi="Times New Roman" w:cs="Times New Roman"/>
                <w:color w:val="000000" w:themeColor="text1"/>
                <w:sz w:val="20"/>
                <w:szCs w:val="20"/>
                <w:lang w:val="uk-UA"/>
              </w:rPr>
              <w:t>710</w:t>
            </w:r>
            <w:r w:rsidR="00816545" w:rsidRPr="00AC0D49">
              <w:rPr>
                <w:rFonts w:ascii="Times New Roman" w:hAnsi="Times New Roman" w:cs="Times New Roman"/>
                <w:color w:val="000000" w:themeColor="text1"/>
                <w:sz w:val="20"/>
                <w:szCs w:val="20"/>
                <w:lang w:val="uk-UA"/>
              </w:rPr>
              <w:t>*</w:t>
            </w:r>
          </w:p>
        </w:tc>
        <w:tc>
          <w:tcPr>
            <w:tcW w:w="944" w:type="dxa"/>
            <w:vAlign w:val="center"/>
          </w:tcPr>
          <w:p w:rsidR="000479C7" w:rsidRPr="00AC0D49" w:rsidRDefault="000479C7" w:rsidP="00D20BDA">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14</w:t>
            </w:r>
            <w:r w:rsidR="00816545" w:rsidRPr="00AC0D49">
              <w:rPr>
                <w:rFonts w:ascii="Times New Roman" w:hAnsi="Times New Roman" w:cs="Times New Roman"/>
                <w:color w:val="000000" w:themeColor="text1"/>
                <w:sz w:val="20"/>
                <w:szCs w:val="20"/>
                <w:lang w:val="uk-UA"/>
              </w:rPr>
              <w:t> </w:t>
            </w:r>
            <w:r w:rsidRPr="00AC0D49">
              <w:rPr>
                <w:rFonts w:ascii="Times New Roman" w:hAnsi="Times New Roman" w:cs="Times New Roman"/>
                <w:color w:val="000000" w:themeColor="text1"/>
                <w:sz w:val="20"/>
                <w:szCs w:val="20"/>
                <w:lang w:val="uk-UA"/>
              </w:rPr>
              <w:t>443</w:t>
            </w:r>
            <w:r w:rsidR="00816545" w:rsidRPr="00AC0D49">
              <w:rPr>
                <w:rFonts w:ascii="Times New Roman" w:hAnsi="Times New Roman" w:cs="Times New Roman"/>
                <w:color w:val="000000" w:themeColor="text1"/>
                <w:sz w:val="20"/>
                <w:szCs w:val="20"/>
                <w:lang w:val="uk-UA"/>
              </w:rPr>
              <w:t>*</w:t>
            </w:r>
          </w:p>
        </w:tc>
      </w:tr>
      <w:tr w:rsidR="003E37F2" w:rsidRPr="00AC0D49" w:rsidTr="00A06467">
        <w:trPr>
          <w:cantSplit/>
          <w:trHeight w:val="541"/>
          <w:jc w:val="center"/>
        </w:trPr>
        <w:tc>
          <w:tcPr>
            <w:tcW w:w="1696" w:type="dxa"/>
            <w:shd w:val="clear" w:color="auto" w:fill="auto"/>
            <w:vAlign w:val="center"/>
          </w:tcPr>
          <w:p w:rsidR="003E37F2" w:rsidRPr="00AC0D49" w:rsidRDefault="003E37F2" w:rsidP="00937510">
            <w:pPr>
              <w:ind w:right="-108"/>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Одеська область</w:t>
            </w:r>
          </w:p>
        </w:tc>
        <w:tc>
          <w:tcPr>
            <w:tcW w:w="931" w:type="dxa"/>
            <w:shd w:val="clear" w:color="auto" w:fill="auto"/>
            <w:vAlign w:val="center"/>
          </w:tcPr>
          <w:p w:rsidR="003E37F2" w:rsidRPr="00AC0D49" w:rsidRDefault="003E37F2"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6 542</w:t>
            </w:r>
          </w:p>
        </w:tc>
        <w:tc>
          <w:tcPr>
            <w:tcW w:w="937" w:type="dxa"/>
            <w:shd w:val="clear" w:color="auto" w:fill="auto"/>
            <w:vAlign w:val="center"/>
          </w:tcPr>
          <w:p w:rsidR="003E37F2" w:rsidRPr="00AC0D49" w:rsidRDefault="003E37F2"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8 011</w:t>
            </w:r>
          </w:p>
        </w:tc>
        <w:tc>
          <w:tcPr>
            <w:tcW w:w="937" w:type="dxa"/>
            <w:shd w:val="clear" w:color="auto" w:fill="auto"/>
            <w:vAlign w:val="center"/>
          </w:tcPr>
          <w:p w:rsidR="003E37F2" w:rsidRPr="00AC0D49" w:rsidRDefault="003E37F2"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9 167</w:t>
            </w:r>
          </w:p>
        </w:tc>
        <w:tc>
          <w:tcPr>
            <w:tcW w:w="937" w:type="dxa"/>
            <w:shd w:val="clear" w:color="auto" w:fill="auto"/>
            <w:vAlign w:val="center"/>
          </w:tcPr>
          <w:p w:rsidR="003E37F2" w:rsidRPr="00AC0D49" w:rsidRDefault="003E37F2"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10 336</w:t>
            </w:r>
          </w:p>
        </w:tc>
        <w:tc>
          <w:tcPr>
            <w:tcW w:w="938" w:type="dxa"/>
            <w:shd w:val="clear" w:color="auto" w:fill="auto"/>
            <w:vAlign w:val="center"/>
          </w:tcPr>
          <w:p w:rsidR="003E37F2" w:rsidRPr="00AC0D49" w:rsidRDefault="003E37F2"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12 326</w:t>
            </w:r>
          </w:p>
        </w:tc>
        <w:tc>
          <w:tcPr>
            <w:tcW w:w="3770" w:type="dxa"/>
            <w:gridSpan w:val="4"/>
            <w:vMerge w:val="restart"/>
            <w:shd w:val="clear" w:color="auto" w:fill="auto"/>
            <w:vAlign w:val="center"/>
          </w:tcPr>
          <w:p w:rsidR="003E37F2" w:rsidRPr="00AC0D49" w:rsidRDefault="003E37F2"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дані відсутні</w:t>
            </w:r>
          </w:p>
        </w:tc>
      </w:tr>
      <w:tr w:rsidR="003E37F2" w:rsidRPr="00AC0D49" w:rsidTr="00A06467">
        <w:trPr>
          <w:cantSplit/>
          <w:trHeight w:val="691"/>
          <w:jc w:val="center"/>
        </w:trPr>
        <w:tc>
          <w:tcPr>
            <w:tcW w:w="1696" w:type="dxa"/>
            <w:shd w:val="clear" w:color="auto" w:fill="auto"/>
            <w:vAlign w:val="center"/>
          </w:tcPr>
          <w:p w:rsidR="003E37F2" w:rsidRPr="00AC0D49" w:rsidRDefault="003E37F2" w:rsidP="00937510">
            <w:pPr>
              <w:ind w:right="-108"/>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Україна</w:t>
            </w:r>
          </w:p>
        </w:tc>
        <w:tc>
          <w:tcPr>
            <w:tcW w:w="931" w:type="dxa"/>
            <w:shd w:val="clear" w:color="auto" w:fill="auto"/>
            <w:vAlign w:val="center"/>
          </w:tcPr>
          <w:p w:rsidR="003E37F2" w:rsidRPr="00AC0D49" w:rsidRDefault="003E37F2"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7 104</w:t>
            </w:r>
          </w:p>
        </w:tc>
        <w:tc>
          <w:tcPr>
            <w:tcW w:w="937" w:type="dxa"/>
            <w:shd w:val="clear" w:color="auto" w:fill="auto"/>
            <w:vAlign w:val="center"/>
          </w:tcPr>
          <w:p w:rsidR="003E37F2" w:rsidRPr="00AC0D49" w:rsidRDefault="003E37F2"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8 865</w:t>
            </w:r>
          </w:p>
        </w:tc>
        <w:tc>
          <w:tcPr>
            <w:tcW w:w="937" w:type="dxa"/>
            <w:shd w:val="clear" w:color="auto" w:fill="auto"/>
            <w:vAlign w:val="center"/>
          </w:tcPr>
          <w:p w:rsidR="003E37F2" w:rsidRPr="00AC0D49" w:rsidRDefault="003E37F2"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10 340</w:t>
            </w:r>
          </w:p>
        </w:tc>
        <w:tc>
          <w:tcPr>
            <w:tcW w:w="937" w:type="dxa"/>
            <w:shd w:val="clear" w:color="auto" w:fill="auto"/>
            <w:vAlign w:val="center"/>
          </w:tcPr>
          <w:p w:rsidR="003E37F2" w:rsidRPr="00AC0D49" w:rsidRDefault="003E37F2"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11 591</w:t>
            </w:r>
          </w:p>
        </w:tc>
        <w:tc>
          <w:tcPr>
            <w:tcW w:w="938" w:type="dxa"/>
            <w:shd w:val="clear" w:color="auto" w:fill="auto"/>
            <w:vAlign w:val="center"/>
          </w:tcPr>
          <w:p w:rsidR="003E37F2" w:rsidRPr="00AC0D49" w:rsidRDefault="003E37F2" w:rsidP="00937510">
            <w:pPr>
              <w:jc w:val="center"/>
              <w:rPr>
                <w:rFonts w:ascii="Times New Roman" w:hAnsi="Times New Roman" w:cs="Times New Roman"/>
                <w:color w:val="000000" w:themeColor="text1"/>
                <w:sz w:val="20"/>
                <w:szCs w:val="20"/>
                <w:lang w:val="uk-UA"/>
              </w:rPr>
            </w:pPr>
            <w:r w:rsidRPr="00AC0D49">
              <w:rPr>
                <w:rFonts w:ascii="Times New Roman" w:hAnsi="Times New Roman" w:cs="Times New Roman"/>
                <w:color w:val="000000" w:themeColor="text1"/>
                <w:sz w:val="20"/>
                <w:szCs w:val="20"/>
                <w:lang w:val="uk-UA"/>
              </w:rPr>
              <w:t>14 018</w:t>
            </w:r>
          </w:p>
        </w:tc>
        <w:tc>
          <w:tcPr>
            <w:tcW w:w="3770" w:type="dxa"/>
            <w:gridSpan w:val="4"/>
            <w:vMerge/>
            <w:shd w:val="clear" w:color="auto" w:fill="auto"/>
            <w:vAlign w:val="center"/>
          </w:tcPr>
          <w:p w:rsidR="003E37F2" w:rsidRPr="00AC0D49" w:rsidRDefault="003E37F2" w:rsidP="00937510">
            <w:pPr>
              <w:jc w:val="center"/>
              <w:rPr>
                <w:rFonts w:ascii="Times New Roman" w:hAnsi="Times New Roman" w:cs="Times New Roman"/>
                <w:color w:val="000000" w:themeColor="text1"/>
                <w:sz w:val="20"/>
                <w:szCs w:val="20"/>
                <w:lang w:val="uk-UA"/>
              </w:rPr>
            </w:pPr>
          </w:p>
        </w:tc>
      </w:tr>
    </w:tbl>
    <w:p w:rsidR="00F61672" w:rsidRPr="00AC0D49" w:rsidRDefault="003E37F2" w:rsidP="0094664F">
      <w:pPr>
        <w:spacing w:after="0" w:line="240" w:lineRule="auto"/>
        <w:ind w:firstLine="567"/>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 - показники розраховано на підставі наданої звітності за 2</w:t>
      </w:r>
      <w:r w:rsidR="007F7163" w:rsidRPr="00AC0D49">
        <w:rPr>
          <w:rFonts w:ascii="Times New Roman" w:eastAsia="Times New Roman" w:hAnsi="Times New Roman" w:cs="Times New Roman"/>
          <w:bCs/>
          <w:color w:val="000000" w:themeColor="text1"/>
          <w:sz w:val="24"/>
          <w:szCs w:val="24"/>
          <w:lang w:val="uk-UA" w:eastAsia="ru-RU"/>
        </w:rPr>
        <w:t>022 рік та</w:t>
      </w:r>
      <w:r w:rsidRPr="00AC0D49">
        <w:rPr>
          <w:rFonts w:ascii="Times New Roman" w:eastAsia="Times New Roman" w:hAnsi="Times New Roman" w:cs="Times New Roman"/>
          <w:bCs/>
          <w:color w:val="000000" w:themeColor="text1"/>
          <w:sz w:val="24"/>
          <w:szCs w:val="24"/>
          <w:lang w:val="uk-UA" w:eastAsia="ru-RU"/>
        </w:rPr>
        <w:t xml:space="preserve"> </w:t>
      </w:r>
      <w:r w:rsidR="007F7163" w:rsidRPr="00AC0D49">
        <w:rPr>
          <w:rFonts w:ascii="Times New Roman" w:eastAsia="Times New Roman" w:hAnsi="Times New Roman" w:cs="Times New Roman"/>
          <w:bCs/>
          <w:color w:val="000000" w:themeColor="text1"/>
          <w:sz w:val="24"/>
          <w:szCs w:val="24"/>
          <w:lang w:val="uk-UA" w:eastAsia="ru-RU"/>
        </w:rPr>
        <w:t>1-</w:t>
      </w:r>
      <w:r w:rsidRPr="00AC0D49">
        <w:rPr>
          <w:rFonts w:ascii="Times New Roman" w:eastAsia="Times New Roman" w:hAnsi="Times New Roman" w:cs="Times New Roman"/>
          <w:bCs/>
          <w:color w:val="000000" w:themeColor="text1"/>
          <w:sz w:val="24"/>
          <w:szCs w:val="24"/>
          <w:lang w:val="uk-UA" w:eastAsia="ru-RU"/>
        </w:rPr>
        <w:t>3 квартали 202</w:t>
      </w:r>
      <w:r w:rsidR="00816545" w:rsidRPr="00AC0D49">
        <w:rPr>
          <w:rFonts w:ascii="Times New Roman" w:eastAsia="Times New Roman" w:hAnsi="Times New Roman" w:cs="Times New Roman"/>
          <w:bCs/>
          <w:color w:val="000000" w:themeColor="text1"/>
          <w:sz w:val="24"/>
          <w:szCs w:val="24"/>
          <w:lang w:val="uk-UA" w:eastAsia="ru-RU"/>
        </w:rPr>
        <w:t>3</w:t>
      </w:r>
      <w:r w:rsidRPr="00AC0D49">
        <w:rPr>
          <w:rFonts w:ascii="Times New Roman" w:eastAsia="Times New Roman" w:hAnsi="Times New Roman" w:cs="Times New Roman"/>
          <w:bCs/>
          <w:color w:val="000000" w:themeColor="text1"/>
          <w:sz w:val="24"/>
          <w:szCs w:val="24"/>
          <w:lang w:val="uk-UA" w:eastAsia="ru-RU"/>
        </w:rPr>
        <w:t xml:space="preserve"> року (податковий розрахунок сум доходу, нарахованого (сплаченого) на користь платників податків – фізичних осіб, і сум утриманого з них податку, а також сум нарахованого єдиного внеску).</w:t>
      </w:r>
    </w:p>
    <w:p w:rsidR="00F61672" w:rsidRPr="00AC0D49" w:rsidRDefault="00F61672" w:rsidP="0094664F">
      <w:pPr>
        <w:spacing w:after="0" w:line="240" w:lineRule="auto"/>
        <w:ind w:firstLine="567"/>
        <w:contextualSpacing/>
        <w:jc w:val="both"/>
        <w:rPr>
          <w:rFonts w:ascii="Times New Roman" w:hAnsi="Times New Roman" w:cs="Times New Roman"/>
          <w:b/>
          <w:color w:val="000000" w:themeColor="text1"/>
          <w:sz w:val="24"/>
          <w:szCs w:val="24"/>
          <w:lang w:val="uk-UA"/>
        </w:rPr>
      </w:pPr>
    </w:p>
    <w:p w:rsidR="00381958" w:rsidRPr="00AC0D49" w:rsidRDefault="00381958" w:rsidP="00381958">
      <w:pPr>
        <w:spacing w:after="0" w:line="240" w:lineRule="auto"/>
        <w:ind w:firstLine="567"/>
        <w:jc w:val="both"/>
        <w:rPr>
          <w:rFonts w:ascii="Times New Roman" w:hAnsi="Times New Roman" w:cs="Times New Roman"/>
          <w:b/>
          <w:color w:val="000000" w:themeColor="text1"/>
          <w:sz w:val="24"/>
          <w:szCs w:val="24"/>
          <w:lang w:val="uk-UA"/>
        </w:rPr>
      </w:pPr>
      <w:r w:rsidRPr="00AC0D49">
        <w:rPr>
          <w:rFonts w:ascii="Times New Roman" w:hAnsi="Times New Roman" w:cs="Times New Roman"/>
          <w:b/>
          <w:color w:val="000000" w:themeColor="text1"/>
          <w:sz w:val="24"/>
          <w:szCs w:val="24"/>
          <w:lang w:val="uk-UA"/>
        </w:rPr>
        <w:t>Промисловість громади.</w:t>
      </w:r>
    </w:p>
    <w:p w:rsidR="00381958" w:rsidRPr="00AC0D49" w:rsidRDefault="00381958" w:rsidP="00381958">
      <w:pPr>
        <w:spacing w:after="0" w:line="240" w:lineRule="auto"/>
        <w:ind w:firstLine="567"/>
        <w:jc w:val="both"/>
        <w:rPr>
          <w:rFonts w:ascii="Times New Roman" w:eastAsia="Calibri" w:hAnsi="Times New Roman" w:cs="Times New Roman"/>
          <w:color w:val="000000" w:themeColor="text1"/>
          <w:sz w:val="24"/>
          <w:szCs w:val="24"/>
          <w:lang w:val="uk-UA"/>
        </w:rPr>
      </w:pPr>
      <w:r w:rsidRPr="00AC0D49">
        <w:rPr>
          <w:rFonts w:ascii="Times New Roman" w:eastAsia="Calibri" w:hAnsi="Times New Roman" w:cs="Times New Roman"/>
          <w:color w:val="000000" w:themeColor="text1"/>
          <w:sz w:val="24"/>
          <w:szCs w:val="24"/>
          <w:lang w:val="uk-UA"/>
        </w:rPr>
        <w:t>Промисловий комплекс Чорноморської міської територіальної громади займає важливе місце у місцевій економіці як з точки зору формування та розвитку ринку праці, так і наповнення бюджетів усіх рівнів шляхом сплати податкових платежів. Чорноморська міська територіальна громада входить до числа промислово розвинених громад регіону.</w:t>
      </w:r>
    </w:p>
    <w:p w:rsidR="00381958" w:rsidRPr="00AC0D49" w:rsidRDefault="00381958" w:rsidP="00381958">
      <w:pPr>
        <w:spacing w:after="0" w:line="240" w:lineRule="auto"/>
        <w:ind w:firstLine="567"/>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Calibri" w:hAnsi="Times New Roman" w:cs="Times New Roman"/>
          <w:color w:val="000000" w:themeColor="text1"/>
          <w:sz w:val="24"/>
          <w:szCs w:val="24"/>
          <w:lang w:val="uk-UA"/>
        </w:rPr>
        <w:t>Громада розвиває традиційні для себе галузі харчової промисловості (виробництво рибної продукції, борошна, крупи, хлібобулочних виробів та олійної продукції), машинобудування (виробництво електричної апаратури, кабельної продукції, контейнерів, ремонт суден), інші галузі (виробництво пакетів та плівки тощо).</w:t>
      </w:r>
    </w:p>
    <w:p w:rsidR="00381958" w:rsidRPr="00AC0D49" w:rsidRDefault="00381958" w:rsidP="00381958">
      <w:pPr>
        <w:spacing w:after="0" w:line="240" w:lineRule="auto"/>
        <w:ind w:firstLine="567"/>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За січень–липень 2023 року промисловими підприємствами територіальної громади реалізовано продукції на 1950,9 млн.</w:t>
      </w:r>
      <w:r w:rsidR="00097234" w:rsidRPr="00AC0D49">
        <w:rPr>
          <w:rFonts w:ascii="Times New Roman" w:eastAsia="Times New Roman" w:hAnsi="Times New Roman" w:cs="Times New Roman"/>
          <w:bCs/>
          <w:color w:val="000000" w:themeColor="text1"/>
          <w:sz w:val="24"/>
          <w:szCs w:val="24"/>
          <w:lang w:val="uk-UA" w:eastAsia="ru-RU"/>
        </w:rPr>
        <w:t xml:space="preserve"> </w:t>
      </w:r>
      <w:r w:rsidRPr="00AC0D49">
        <w:rPr>
          <w:rFonts w:ascii="Times New Roman" w:eastAsia="Times New Roman" w:hAnsi="Times New Roman" w:cs="Times New Roman"/>
          <w:bCs/>
          <w:color w:val="000000" w:themeColor="text1"/>
          <w:sz w:val="24"/>
          <w:szCs w:val="24"/>
          <w:lang w:val="uk-UA" w:eastAsia="ru-RU"/>
        </w:rPr>
        <w:t>гр</w:t>
      </w:r>
      <w:r w:rsidR="00097234" w:rsidRPr="00AC0D49">
        <w:rPr>
          <w:rFonts w:ascii="Times New Roman" w:eastAsia="Times New Roman" w:hAnsi="Times New Roman" w:cs="Times New Roman"/>
          <w:bCs/>
          <w:color w:val="000000" w:themeColor="text1"/>
          <w:sz w:val="24"/>
          <w:szCs w:val="24"/>
          <w:lang w:val="uk-UA" w:eastAsia="ru-RU"/>
        </w:rPr>
        <w:t>ивень.</w:t>
      </w:r>
      <w:r w:rsidRPr="00AC0D49">
        <w:rPr>
          <w:rFonts w:ascii="Times New Roman" w:eastAsia="Times New Roman" w:hAnsi="Times New Roman" w:cs="Times New Roman"/>
          <w:bCs/>
          <w:color w:val="000000" w:themeColor="text1"/>
          <w:sz w:val="24"/>
          <w:szCs w:val="24"/>
          <w:lang w:val="uk-UA" w:eastAsia="ru-RU"/>
        </w:rPr>
        <w:t xml:space="preserve">  </w:t>
      </w:r>
    </w:p>
    <w:p w:rsidR="00381958" w:rsidRPr="00AC0D49" w:rsidRDefault="00381958" w:rsidP="00381958">
      <w:pPr>
        <w:spacing w:after="0" w:line="240" w:lineRule="auto"/>
        <w:ind w:firstLine="567"/>
        <w:jc w:val="both"/>
        <w:rPr>
          <w:rFonts w:ascii="Times New Roman" w:eastAsia="Times New Roman" w:hAnsi="Times New Roman" w:cs="Times New Roman"/>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 xml:space="preserve">У структурному складі по видах промислового виробництва, традиційно більша частина обсягів припала на підприємства переробної промисловості (92,7%). </w:t>
      </w:r>
    </w:p>
    <w:p w:rsidR="0020500E" w:rsidRPr="00AC0D49" w:rsidRDefault="0020500E" w:rsidP="00381958">
      <w:pPr>
        <w:spacing w:after="0" w:line="260" w:lineRule="exact"/>
        <w:ind w:left="5670"/>
        <w:jc w:val="both"/>
        <w:rPr>
          <w:rFonts w:ascii="Times New Roman" w:eastAsia="Times New Roman" w:hAnsi="Times New Roman" w:cs="Times New Roman"/>
          <w:color w:val="000000" w:themeColor="text1"/>
          <w:sz w:val="24"/>
          <w:szCs w:val="24"/>
          <w:lang w:val="uk-UA" w:eastAsia="ru-RU"/>
        </w:rPr>
      </w:pPr>
    </w:p>
    <w:p w:rsidR="00381958" w:rsidRPr="00AC0D49" w:rsidRDefault="00381958" w:rsidP="00381958">
      <w:pPr>
        <w:spacing w:after="0" w:line="240" w:lineRule="auto"/>
        <w:jc w:val="center"/>
        <w:rPr>
          <w:rFonts w:ascii="Times New Roman" w:eastAsia="Times New Roman" w:hAnsi="Times New Roman" w:cs="Times New Roman"/>
          <w:bCs/>
          <w:color w:val="000000" w:themeColor="text1"/>
          <w:sz w:val="24"/>
          <w:szCs w:val="24"/>
          <w:lang w:val="uk-UA" w:eastAsia="ru-RU"/>
        </w:rPr>
      </w:pPr>
      <w:bookmarkStart w:id="0" w:name="_Hlk140493618"/>
      <w:r w:rsidRPr="00AC0D49">
        <w:rPr>
          <w:rFonts w:ascii="Times New Roman" w:eastAsia="Times New Roman" w:hAnsi="Times New Roman" w:cs="Times New Roman"/>
          <w:bCs/>
          <w:color w:val="000000" w:themeColor="text1"/>
          <w:sz w:val="24"/>
          <w:szCs w:val="24"/>
          <w:lang w:val="uk-UA" w:eastAsia="ru-RU"/>
        </w:rPr>
        <w:t>Обсяг реалізованої промислової продукції</w:t>
      </w:r>
    </w:p>
    <w:p w:rsidR="00381958" w:rsidRPr="00AC0D49" w:rsidRDefault="00381958" w:rsidP="00381958">
      <w:pPr>
        <w:spacing w:after="0" w:line="240" w:lineRule="auto"/>
        <w:jc w:val="center"/>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за січень–липень 2023 року</w:t>
      </w:r>
    </w:p>
    <w:bookmarkEnd w:id="0"/>
    <w:p w:rsidR="00381958" w:rsidRPr="00AC0D49" w:rsidRDefault="00381958" w:rsidP="00381958">
      <w:pPr>
        <w:spacing w:after="0" w:line="240" w:lineRule="auto"/>
        <w:jc w:val="center"/>
        <w:rPr>
          <w:rFonts w:ascii="Times New Roman" w:eastAsia="Times New Roman" w:hAnsi="Times New Roman" w:cs="Times New Roman"/>
          <w:bCs/>
          <w:color w:val="000000" w:themeColor="text1"/>
          <w:sz w:val="24"/>
          <w:szCs w:val="24"/>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4"/>
        <w:gridCol w:w="2077"/>
        <w:gridCol w:w="2394"/>
      </w:tblGrid>
      <w:tr w:rsidR="00381958" w:rsidRPr="00AC0D49" w:rsidTr="00A06467">
        <w:trPr>
          <w:trHeight w:val="852"/>
        </w:trPr>
        <w:tc>
          <w:tcPr>
            <w:tcW w:w="2643" w:type="pct"/>
            <w:vMerge w:val="restart"/>
            <w:vAlign w:val="center"/>
            <w:hideMark/>
          </w:tcPr>
          <w:p w:rsidR="00381958" w:rsidRPr="00AC0D49" w:rsidRDefault="008A22EE" w:rsidP="00A06467">
            <w:pPr>
              <w:spacing w:after="0" w:line="320" w:lineRule="exact"/>
              <w:jc w:val="center"/>
              <w:rPr>
                <w:rFonts w:ascii="Times New Roman" w:eastAsia="Times New Roman" w:hAnsi="Times New Roman" w:cs="Times New Roman"/>
                <w:bCs/>
                <w:color w:val="000000" w:themeColor="text1"/>
                <w:sz w:val="24"/>
                <w:szCs w:val="24"/>
                <w:lang w:val="uk-UA" w:eastAsia="ru-RU"/>
              </w:rPr>
            </w:pPr>
            <w:r>
              <w:rPr>
                <w:rFonts w:ascii="Times New Roman" w:eastAsia="Times New Roman" w:hAnsi="Times New Roman" w:cs="Times New Roman"/>
                <w:bCs/>
                <w:color w:val="000000" w:themeColor="text1"/>
                <w:sz w:val="24"/>
                <w:szCs w:val="24"/>
                <w:lang w:val="uk-UA" w:eastAsia="ru-RU"/>
              </w:rPr>
              <w:t>Показники</w:t>
            </w:r>
          </w:p>
        </w:tc>
        <w:tc>
          <w:tcPr>
            <w:tcW w:w="2357" w:type="pct"/>
            <w:gridSpan w:val="2"/>
            <w:vAlign w:val="center"/>
            <w:hideMark/>
          </w:tcPr>
          <w:p w:rsidR="00381958" w:rsidRPr="00AC0D49" w:rsidRDefault="00381958" w:rsidP="00A06467">
            <w:pPr>
              <w:tabs>
                <w:tab w:val="left" w:pos="928"/>
              </w:tabs>
              <w:spacing w:after="0" w:line="320" w:lineRule="exact"/>
              <w:jc w:val="center"/>
              <w:rPr>
                <w:rFonts w:ascii="Times New Roman" w:eastAsia="Times New Roman" w:hAnsi="Times New Roman" w:cs="Times New Roman"/>
                <w:color w:val="000000" w:themeColor="text1"/>
                <w:sz w:val="24"/>
                <w:szCs w:val="24"/>
                <w:lang w:val="uk-UA" w:eastAsia="ru-RU"/>
              </w:rPr>
            </w:pPr>
            <w:r w:rsidRPr="00AC0D49">
              <w:rPr>
                <w:rFonts w:ascii="Times New Roman" w:eastAsia="Times New Roman" w:hAnsi="Times New Roman" w:cs="Times New Roman"/>
                <w:color w:val="000000" w:themeColor="text1"/>
                <w:sz w:val="24"/>
                <w:szCs w:val="24"/>
                <w:lang w:val="uk-UA" w:eastAsia="ru-RU"/>
              </w:rPr>
              <w:t>Обсяг реалізованої промислової продукції (товарів, послуг)</w:t>
            </w:r>
          </w:p>
          <w:p w:rsidR="00381958" w:rsidRPr="00AC0D49" w:rsidRDefault="00381958" w:rsidP="00A06467">
            <w:pPr>
              <w:tabs>
                <w:tab w:val="left" w:pos="928"/>
              </w:tabs>
              <w:spacing w:after="0" w:line="320" w:lineRule="exact"/>
              <w:jc w:val="center"/>
              <w:rPr>
                <w:rFonts w:ascii="Times New Roman" w:eastAsia="Times New Roman" w:hAnsi="Times New Roman" w:cs="Times New Roman"/>
                <w:color w:val="000000" w:themeColor="text1"/>
                <w:sz w:val="24"/>
                <w:szCs w:val="24"/>
                <w:lang w:val="uk-UA" w:eastAsia="ru-RU"/>
              </w:rPr>
            </w:pPr>
            <w:r w:rsidRPr="00AC0D49">
              <w:rPr>
                <w:rFonts w:ascii="Times New Roman" w:eastAsia="Times New Roman" w:hAnsi="Times New Roman" w:cs="Times New Roman"/>
                <w:color w:val="000000" w:themeColor="text1"/>
                <w:sz w:val="24"/>
                <w:szCs w:val="24"/>
                <w:lang w:val="uk-UA" w:eastAsia="ru-RU"/>
              </w:rPr>
              <w:t xml:space="preserve"> без ПДВ та акцизу</w:t>
            </w:r>
          </w:p>
        </w:tc>
      </w:tr>
      <w:tr w:rsidR="00381958" w:rsidRPr="00AC0D49" w:rsidTr="00A06467">
        <w:trPr>
          <w:trHeight w:val="144"/>
        </w:trPr>
        <w:tc>
          <w:tcPr>
            <w:tcW w:w="2643" w:type="pct"/>
            <w:vMerge/>
            <w:vAlign w:val="center"/>
            <w:hideMark/>
          </w:tcPr>
          <w:p w:rsidR="00381958" w:rsidRPr="00AC0D49" w:rsidRDefault="00381958" w:rsidP="00A06467">
            <w:pPr>
              <w:spacing w:after="0" w:line="320" w:lineRule="exact"/>
              <w:rPr>
                <w:rFonts w:ascii="Times New Roman" w:eastAsia="Times New Roman" w:hAnsi="Times New Roman" w:cs="Times New Roman"/>
                <w:bCs/>
                <w:color w:val="000000" w:themeColor="text1"/>
                <w:sz w:val="24"/>
                <w:szCs w:val="24"/>
                <w:lang w:val="uk-UA" w:eastAsia="ru-RU"/>
              </w:rPr>
            </w:pPr>
          </w:p>
        </w:tc>
        <w:tc>
          <w:tcPr>
            <w:tcW w:w="1095" w:type="pct"/>
            <w:vAlign w:val="center"/>
            <w:hideMark/>
          </w:tcPr>
          <w:p w:rsidR="00381958" w:rsidRPr="00AC0D49" w:rsidRDefault="00381958" w:rsidP="00A06467">
            <w:pPr>
              <w:spacing w:after="0" w:line="320" w:lineRule="exact"/>
              <w:ind w:right="-62"/>
              <w:jc w:val="center"/>
              <w:rPr>
                <w:rFonts w:ascii="Times New Roman" w:eastAsia="Times New Roman" w:hAnsi="Times New Roman" w:cs="Times New Roman"/>
                <w:color w:val="000000" w:themeColor="text1"/>
                <w:sz w:val="24"/>
                <w:szCs w:val="24"/>
                <w:lang w:val="uk-UA" w:eastAsia="ru-RU"/>
              </w:rPr>
            </w:pPr>
            <w:r w:rsidRPr="00AC0D49">
              <w:rPr>
                <w:rFonts w:ascii="Times New Roman" w:eastAsia="Times New Roman" w:hAnsi="Times New Roman" w:cs="Times New Roman"/>
                <w:color w:val="000000" w:themeColor="text1"/>
                <w:sz w:val="24"/>
                <w:szCs w:val="24"/>
                <w:lang w:val="uk-UA" w:eastAsia="ru-RU"/>
              </w:rPr>
              <w:t>тис.</w:t>
            </w:r>
            <w:r w:rsidR="00097234" w:rsidRPr="00AC0D49">
              <w:rPr>
                <w:rFonts w:ascii="Times New Roman" w:eastAsia="Times New Roman" w:hAnsi="Times New Roman" w:cs="Times New Roman"/>
                <w:color w:val="000000" w:themeColor="text1"/>
                <w:sz w:val="24"/>
                <w:szCs w:val="24"/>
                <w:lang w:val="uk-UA" w:eastAsia="ru-RU"/>
              </w:rPr>
              <w:t xml:space="preserve"> </w:t>
            </w:r>
            <w:r w:rsidRPr="00AC0D49">
              <w:rPr>
                <w:rFonts w:ascii="Times New Roman" w:eastAsia="Times New Roman" w:hAnsi="Times New Roman" w:cs="Times New Roman"/>
                <w:color w:val="000000" w:themeColor="text1"/>
                <w:sz w:val="24"/>
                <w:szCs w:val="24"/>
                <w:lang w:val="uk-UA" w:eastAsia="ru-RU"/>
              </w:rPr>
              <w:t>грн</w:t>
            </w:r>
          </w:p>
        </w:tc>
        <w:tc>
          <w:tcPr>
            <w:tcW w:w="1262" w:type="pct"/>
            <w:vAlign w:val="center"/>
            <w:hideMark/>
          </w:tcPr>
          <w:p w:rsidR="00381958" w:rsidRPr="00AC0D49" w:rsidRDefault="00381958" w:rsidP="00A06467">
            <w:pPr>
              <w:spacing w:after="0" w:line="320" w:lineRule="exact"/>
              <w:ind w:right="-62"/>
              <w:jc w:val="center"/>
              <w:rPr>
                <w:rFonts w:ascii="Times New Roman" w:eastAsia="Times New Roman" w:hAnsi="Times New Roman" w:cs="Times New Roman"/>
                <w:color w:val="000000" w:themeColor="text1"/>
                <w:sz w:val="24"/>
                <w:szCs w:val="24"/>
                <w:lang w:val="uk-UA" w:eastAsia="ru-RU"/>
              </w:rPr>
            </w:pPr>
            <w:r w:rsidRPr="00AC0D49">
              <w:rPr>
                <w:rFonts w:ascii="Times New Roman" w:eastAsia="Times New Roman" w:hAnsi="Times New Roman" w:cs="Times New Roman"/>
                <w:color w:val="000000" w:themeColor="text1"/>
                <w:sz w:val="24"/>
                <w:szCs w:val="24"/>
                <w:lang w:val="uk-UA" w:eastAsia="ru-RU"/>
              </w:rPr>
              <w:t>у % до всієї реалізованої продукції</w:t>
            </w:r>
          </w:p>
        </w:tc>
      </w:tr>
      <w:tr w:rsidR="00381958" w:rsidRPr="00AC0D49" w:rsidTr="00A06467">
        <w:trPr>
          <w:trHeight w:val="449"/>
        </w:trPr>
        <w:tc>
          <w:tcPr>
            <w:tcW w:w="2643" w:type="pct"/>
            <w:vAlign w:val="bottom"/>
            <w:hideMark/>
          </w:tcPr>
          <w:p w:rsidR="00381958" w:rsidRPr="00AC0D49" w:rsidRDefault="00381958" w:rsidP="00A06467">
            <w:pPr>
              <w:spacing w:after="0" w:line="340" w:lineRule="exact"/>
              <w:rPr>
                <w:rFonts w:ascii="Times New Roman" w:eastAsia="Times New Roman" w:hAnsi="Times New Roman" w:cs="Times New Roman"/>
                <w:b/>
                <w:color w:val="000000" w:themeColor="text1"/>
                <w:sz w:val="24"/>
                <w:szCs w:val="24"/>
                <w:lang w:val="uk-UA" w:eastAsia="ru-RU"/>
              </w:rPr>
            </w:pPr>
            <w:r w:rsidRPr="00AC0D49">
              <w:rPr>
                <w:rFonts w:ascii="Times New Roman" w:eastAsia="Times New Roman" w:hAnsi="Times New Roman" w:cs="Times New Roman"/>
                <w:b/>
                <w:color w:val="000000" w:themeColor="text1"/>
                <w:sz w:val="24"/>
                <w:szCs w:val="24"/>
                <w:lang w:val="uk-UA" w:eastAsia="ru-RU"/>
              </w:rPr>
              <w:t>Промисловість</w:t>
            </w:r>
          </w:p>
        </w:tc>
        <w:tc>
          <w:tcPr>
            <w:tcW w:w="1095" w:type="pct"/>
            <w:hideMark/>
          </w:tcPr>
          <w:p w:rsidR="00381958" w:rsidRPr="00AC0D49" w:rsidRDefault="00381958" w:rsidP="00A06467">
            <w:pPr>
              <w:spacing w:after="0" w:line="240" w:lineRule="auto"/>
              <w:jc w:val="right"/>
              <w:rPr>
                <w:rFonts w:ascii="Times New Roman" w:eastAsia="Times New Roman" w:hAnsi="Times New Roman" w:cs="Times New Roman"/>
                <w:b/>
                <w:bCs/>
                <w:color w:val="000000" w:themeColor="text1"/>
                <w:sz w:val="24"/>
                <w:szCs w:val="24"/>
                <w:lang w:val="uk-UA" w:eastAsia="uk-UA"/>
              </w:rPr>
            </w:pPr>
            <w:r w:rsidRPr="00AC0D49">
              <w:rPr>
                <w:rFonts w:ascii="Times New Roman" w:eastAsia="Times New Roman" w:hAnsi="Times New Roman" w:cs="Times New Roman"/>
                <w:color w:val="000000" w:themeColor="text1"/>
                <w:sz w:val="24"/>
                <w:szCs w:val="24"/>
                <w:lang w:eastAsia="ru-RU"/>
              </w:rPr>
              <w:t>1</w:t>
            </w:r>
            <w:r w:rsidRPr="00AC0D49">
              <w:rPr>
                <w:rFonts w:ascii="Times New Roman" w:eastAsia="Times New Roman" w:hAnsi="Times New Roman" w:cs="Times New Roman"/>
                <w:color w:val="000000" w:themeColor="text1"/>
                <w:sz w:val="24"/>
                <w:szCs w:val="24"/>
                <w:lang w:val="uk-UA" w:eastAsia="ru-RU"/>
              </w:rPr>
              <w:t> </w:t>
            </w:r>
            <w:r w:rsidRPr="00AC0D49">
              <w:rPr>
                <w:rFonts w:ascii="Times New Roman" w:eastAsia="Times New Roman" w:hAnsi="Times New Roman" w:cs="Times New Roman"/>
                <w:color w:val="000000" w:themeColor="text1"/>
                <w:sz w:val="24"/>
                <w:szCs w:val="24"/>
                <w:lang w:eastAsia="ru-RU"/>
              </w:rPr>
              <w:t>950</w:t>
            </w:r>
            <w:r w:rsidRPr="00AC0D49">
              <w:rPr>
                <w:rFonts w:ascii="Times New Roman" w:eastAsia="Times New Roman" w:hAnsi="Times New Roman" w:cs="Times New Roman"/>
                <w:color w:val="000000" w:themeColor="text1"/>
                <w:sz w:val="24"/>
                <w:szCs w:val="24"/>
                <w:lang w:val="uk-UA" w:eastAsia="ru-RU"/>
              </w:rPr>
              <w:t xml:space="preserve"> </w:t>
            </w:r>
            <w:r w:rsidRPr="00AC0D49">
              <w:rPr>
                <w:rFonts w:ascii="Times New Roman" w:eastAsia="Times New Roman" w:hAnsi="Times New Roman" w:cs="Times New Roman"/>
                <w:color w:val="000000" w:themeColor="text1"/>
                <w:sz w:val="24"/>
                <w:szCs w:val="24"/>
                <w:lang w:eastAsia="ru-RU"/>
              </w:rPr>
              <w:t>937,4</w:t>
            </w:r>
          </w:p>
        </w:tc>
        <w:tc>
          <w:tcPr>
            <w:tcW w:w="1262" w:type="pct"/>
            <w:hideMark/>
          </w:tcPr>
          <w:p w:rsidR="00381958" w:rsidRPr="00AC0D49" w:rsidRDefault="00381958" w:rsidP="00A06467">
            <w:pPr>
              <w:spacing w:after="0" w:line="340" w:lineRule="exact"/>
              <w:jc w:val="right"/>
              <w:rPr>
                <w:rFonts w:ascii="Times New Roman" w:eastAsia="Times New Roman" w:hAnsi="Times New Roman" w:cs="Times New Roman"/>
                <w:b/>
                <w:bCs/>
                <w:color w:val="000000" w:themeColor="text1"/>
                <w:sz w:val="24"/>
                <w:szCs w:val="24"/>
                <w:lang w:val="uk-UA" w:eastAsia="uk-UA"/>
              </w:rPr>
            </w:pPr>
            <w:r w:rsidRPr="00AC0D49">
              <w:rPr>
                <w:rFonts w:ascii="Times New Roman" w:eastAsia="Times New Roman" w:hAnsi="Times New Roman" w:cs="Times New Roman"/>
                <w:color w:val="000000" w:themeColor="text1"/>
                <w:sz w:val="24"/>
                <w:szCs w:val="24"/>
                <w:lang w:eastAsia="ru-RU"/>
              </w:rPr>
              <w:t>100,0</w:t>
            </w:r>
          </w:p>
        </w:tc>
      </w:tr>
      <w:tr w:rsidR="00381958" w:rsidRPr="00AC0D49" w:rsidTr="00A06467">
        <w:trPr>
          <w:trHeight w:val="52"/>
        </w:trPr>
        <w:tc>
          <w:tcPr>
            <w:tcW w:w="2643" w:type="pct"/>
            <w:vAlign w:val="bottom"/>
            <w:hideMark/>
          </w:tcPr>
          <w:p w:rsidR="00381958" w:rsidRPr="00AC0D49" w:rsidRDefault="00381958" w:rsidP="00A06467">
            <w:pPr>
              <w:spacing w:after="0" w:line="340" w:lineRule="exact"/>
              <w:rPr>
                <w:rFonts w:ascii="Times New Roman" w:eastAsia="Times New Roman" w:hAnsi="Times New Roman" w:cs="Times New Roman"/>
                <w:color w:val="000000" w:themeColor="text1"/>
                <w:sz w:val="24"/>
                <w:szCs w:val="24"/>
                <w:lang w:val="uk-UA" w:eastAsia="ru-RU"/>
              </w:rPr>
            </w:pPr>
            <w:r w:rsidRPr="00AC0D49">
              <w:rPr>
                <w:rFonts w:ascii="Times New Roman" w:eastAsia="Times New Roman" w:hAnsi="Times New Roman" w:cs="Times New Roman"/>
                <w:color w:val="000000" w:themeColor="text1"/>
                <w:sz w:val="24"/>
                <w:szCs w:val="24"/>
                <w:lang w:val="uk-UA" w:eastAsia="ru-RU"/>
              </w:rPr>
              <w:t xml:space="preserve">Переробна промисловість, в </w:t>
            </w:r>
            <w:proofErr w:type="spellStart"/>
            <w:r w:rsidRPr="00AC0D49">
              <w:rPr>
                <w:rFonts w:ascii="Times New Roman" w:eastAsia="Times New Roman" w:hAnsi="Times New Roman" w:cs="Times New Roman"/>
                <w:color w:val="000000" w:themeColor="text1"/>
                <w:sz w:val="24"/>
                <w:szCs w:val="24"/>
                <w:lang w:val="uk-UA" w:eastAsia="ru-RU"/>
              </w:rPr>
              <w:t>т.ч</w:t>
            </w:r>
            <w:proofErr w:type="spellEnd"/>
            <w:r w:rsidRPr="00AC0D49">
              <w:rPr>
                <w:rFonts w:ascii="Times New Roman" w:eastAsia="Times New Roman" w:hAnsi="Times New Roman" w:cs="Times New Roman"/>
                <w:color w:val="000000" w:themeColor="text1"/>
                <w:sz w:val="24"/>
                <w:szCs w:val="24"/>
                <w:lang w:val="uk-UA" w:eastAsia="ru-RU"/>
              </w:rPr>
              <w:t>.</w:t>
            </w:r>
          </w:p>
        </w:tc>
        <w:tc>
          <w:tcPr>
            <w:tcW w:w="1095" w:type="pct"/>
          </w:tcPr>
          <w:p w:rsidR="00381958" w:rsidRPr="00AC0D49" w:rsidRDefault="00381958" w:rsidP="00A06467">
            <w:pPr>
              <w:spacing w:after="0" w:line="240" w:lineRule="auto"/>
              <w:jc w:val="right"/>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color w:val="000000" w:themeColor="text1"/>
                <w:sz w:val="24"/>
                <w:szCs w:val="24"/>
                <w:lang w:eastAsia="ru-RU"/>
              </w:rPr>
              <w:t>1</w:t>
            </w:r>
            <w:r w:rsidRPr="00AC0D49">
              <w:rPr>
                <w:rFonts w:ascii="Times New Roman" w:eastAsia="Times New Roman" w:hAnsi="Times New Roman" w:cs="Times New Roman"/>
                <w:color w:val="000000" w:themeColor="text1"/>
                <w:sz w:val="24"/>
                <w:szCs w:val="24"/>
                <w:lang w:val="uk-UA" w:eastAsia="ru-RU"/>
              </w:rPr>
              <w:t xml:space="preserve"> </w:t>
            </w:r>
            <w:r w:rsidRPr="00AC0D49">
              <w:rPr>
                <w:rFonts w:ascii="Times New Roman" w:eastAsia="Times New Roman" w:hAnsi="Times New Roman" w:cs="Times New Roman"/>
                <w:color w:val="000000" w:themeColor="text1"/>
                <w:sz w:val="24"/>
                <w:szCs w:val="24"/>
                <w:lang w:eastAsia="ru-RU"/>
              </w:rPr>
              <w:t>809</w:t>
            </w:r>
            <w:r w:rsidRPr="00AC0D49">
              <w:rPr>
                <w:rFonts w:ascii="Times New Roman" w:eastAsia="Times New Roman" w:hAnsi="Times New Roman" w:cs="Times New Roman"/>
                <w:color w:val="000000" w:themeColor="text1"/>
                <w:sz w:val="24"/>
                <w:szCs w:val="24"/>
                <w:lang w:val="uk-UA" w:eastAsia="ru-RU"/>
              </w:rPr>
              <w:t xml:space="preserve"> </w:t>
            </w:r>
            <w:r w:rsidRPr="00AC0D49">
              <w:rPr>
                <w:rFonts w:ascii="Times New Roman" w:eastAsia="Times New Roman" w:hAnsi="Times New Roman" w:cs="Times New Roman"/>
                <w:color w:val="000000" w:themeColor="text1"/>
                <w:sz w:val="24"/>
                <w:szCs w:val="24"/>
                <w:lang w:eastAsia="ru-RU"/>
              </w:rPr>
              <w:t>066,0</w:t>
            </w:r>
          </w:p>
        </w:tc>
        <w:tc>
          <w:tcPr>
            <w:tcW w:w="1262" w:type="pct"/>
          </w:tcPr>
          <w:p w:rsidR="00381958" w:rsidRPr="00AC0D49" w:rsidRDefault="00381958" w:rsidP="00A06467">
            <w:pPr>
              <w:spacing w:after="0" w:line="340" w:lineRule="exact"/>
              <w:jc w:val="right"/>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color w:val="000000" w:themeColor="text1"/>
                <w:sz w:val="24"/>
                <w:szCs w:val="24"/>
                <w:lang w:eastAsia="ru-RU"/>
              </w:rPr>
              <w:t>92,7</w:t>
            </w:r>
          </w:p>
        </w:tc>
      </w:tr>
      <w:tr w:rsidR="00381958" w:rsidRPr="00AC0D49" w:rsidTr="00A06467">
        <w:trPr>
          <w:trHeight w:val="52"/>
        </w:trPr>
        <w:tc>
          <w:tcPr>
            <w:tcW w:w="2643" w:type="pct"/>
            <w:vAlign w:val="bottom"/>
            <w:hideMark/>
          </w:tcPr>
          <w:p w:rsidR="00381958" w:rsidRPr="00AC0D49" w:rsidRDefault="00381958" w:rsidP="00A06467">
            <w:pPr>
              <w:spacing w:after="0" w:line="340" w:lineRule="exact"/>
              <w:ind w:left="142"/>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виробництво харчових продуктів, напоїв та тютюнових виробів</w:t>
            </w:r>
          </w:p>
        </w:tc>
        <w:tc>
          <w:tcPr>
            <w:tcW w:w="1095" w:type="pct"/>
          </w:tcPr>
          <w:p w:rsidR="00381958" w:rsidRPr="00AC0D49" w:rsidRDefault="00381958" w:rsidP="00A06467">
            <w:pPr>
              <w:spacing w:after="0" w:line="240" w:lineRule="auto"/>
              <w:jc w:val="right"/>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color w:val="000000" w:themeColor="text1"/>
                <w:sz w:val="24"/>
                <w:szCs w:val="24"/>
                <w:lang w:eastAsia="ru-RU"/>
              </w:rPr>
              <w:t>1</w:t>
            </w:r>
            <w:r w:rsidR="0094154F" w:rsidRPr="00AC0D49">
              <w:rPr>
                <w:rFonts w:ascii="Times New Roman" w:eastAsia="Times New Roman" w:hAnsi="Times New Roman" w:cs="Times New Roman"/>
                <w:color w:val="000000" w:themeColor="text1"/>
                <w:sz w:val="24"/>
                <w:szCs w:val="24"/>
                <w:lang w:val="uk-UA" w:eastAsia="ru-RU"/>
              </w:rPr>
              <w:t xml:space="preserve"> </w:t>
            </w:r>
            <w:r w:rsidRPr="00AC0D49">
              <w:rPr>
                <w:rFonts w:ascii="Times New Roman" w:eastAsia="Times New Roman" w:hAnsi="Times New Roman" w:cs="Times New Roman"/>
                <w:color w:val="000000" w:themeColor="text1"/>
                <w:sz w:val="24"/>
                <w:szCs w:val="24"/>
                <w:lang w:eastAsia="ru-RU"/>
              </w:rPr>
              <w:t>535</w:t>
            </w:r>
            <w:r w:rsidR="0094154F" w:rsidRPr="00AC0D49">
              <w:rPr>
                <w:rFonts w:ascii="Times New Roman" w:eastAsia="Times New Roman" w:hAnsi="Times New Roman" w:cs="Times New Roman"/>
                <w:color w:val="000000" w:themeColor="text1"/>
                <w:sz w:val="24"/>
                <w:szCs w:val="24"/>
                <w:lang w:val="uk-UA" w:eastAsia="ru-RU"/>
              </w:rPr>
              <w:t xml:space="preserve"> </w:t>
            </w:r>
            <w:r w:rsidRPr="00AC0D49">
              <w:rPr>
                <w:rFonts w:ascii="Times New Roman" w:eastAsia="Times New Roman" w:hAnsi="Times New Roman" w:cs="Times New Roman"/>
                <w:color w:val="000000" w:themeColor="text1"/>
                <w:sz w:val="24"/>
                <w:szCs w:val="24"/>
                <w:lang w:eastAsia="ru-RU"/>
              </w:rPr>
              <w:t>742,5</w:t>
            </w:r>
          </w:p>
        </w:tc>
        <w:tc>
          <w:tcPr>
            <w:tcW w:w="1262" w:type="pct"/>
          </w:tcPr>
          <w:p w:rsidR="00381958" w:rsidRPr="00AC0D49" w:rsidRDefault="00381958" w:rsidP="00A06467">
            <w:pPr>
              <w:spacing w:after="0" w:line="340" w:lineRule="exact"/>
              <w:jc w:val="right"/>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color w:val="000000" w:themeColor="text1"/>
                <w:sz w:val="24"/>
                <w:szCs w:val="24"/>
                <w:lang w:eastAsia="ru-RU"/>
              </w:rPr>
              <w:t>78,7</w:t>
            </w:r>
          </w:p>
        </w:tc>
      </w:tr>
      <w:tr w:rsidR="00381958" w:rsidRPr="00AC0D49" w:rsidTr="00A06467">
        <w:trPr>
          <w:trHeight w:val="161"/>
        </w:trPr>
        <w:tc>
          <w:tcPr>
            <w:tcW w:w="2643" w:type="pct"/>
            <w:vAlign w:val="bottom"/>
            <w:hideMark/>
          </w:tcPr>
          <w:p w:rsidR="00381958" w:rsidRPr="00AC0D49" w:rsidRDefault="00381958" w:rsidP="00A06467">
            <w:pPr>
              <w:spacing w:after="0" w:line="340" w:lineRule="exact"/>
              <w:ind w:left="284"/>
              <w:outlineLvl w:val="0"/>
              <w:rPr>
                <w:rFonts w:ascii="Times New Roman" w:eastAsia="Times New Roman" w:hAnsi="Times New Roman" w:cs="Times New Roman"/>
                <w:color w:val="000000" w:themeColor="text1"/>
                <w:sz w:val="24"/>
                <w:szCs w:val="24"/>
                <w:lang w:val="uk-UA" w:eastAsia="ru-RU"/>
              </w:rPr>
            </w:pPr>
            <w:r w:rsidRPr="00AC0D49">
              <w:rPr>
                <w:rFonts w:ascii="Times New Roman" w:eastAsia="Times New Roman" w:hAnsi="Times New Roman" w:cs="Times New Roman"/>
                <w:color w:val="000000" w:themeColor="text1"/>
                <w:sz w:val="24"/>
                <w:szCs w:val="24"/>
                <w:lang w:val="uk-UA" w:eastAsia="ru-RU"/>
              </w:rPr>
              <w:t xml:space="preserve">Інші види промисловості </w:t>
            </w:r>
          </w:p>
        </w:tc>
        <w:tc>
          <w:tcPr>
            <w:tcW w:w="1095" w:type="pct"/>
            <w:vAlign w:val="bottom"/>
          </w:tcPr>
          <w:p w:rsidR="00381958" w:rsidRPr="00AC0D49" w:rsidRDefault="00381958" w:rsidP="00A06467">
            <w:pPr>
              <w:spacing w:after="0" w:line="340" w:lineRule="exact"/>
              <w:jc w:val="right"/>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141 871,4</w:t>
            </w:r>
          </w:p>
        </w:tc>
        <w:tc>
          <w:tcPr>
            <w:tcW w:w="1262" w:type="pct"/>
            <w:vAlign w:val="bottom"/>
          </w:tcPr>
          <w:p w:rsidR="00381958" w:rsidRPr="00AC0D49" w:rsidRDefault="00381958" w:rsidP="00A06467">
            <w:pPr>
              <w:spacing w:after="0" w:line="340" w:lineRule="exact"/>
              <w:jc w:val="right"/>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7,3</w:t>
            </w:r>
          </w:p>
        </w:tc>
      </w:tr>
    </w:tbl>
    <w:p w:rsidR="00381958" w:rsidRPr="00AC0D49" w:rsidRDefault="00381958" w:rsidP="00381958">
      <w:pPr>
        <w:spacing w:after="0" w:line="230" w:lineRule="exact"/>
        <w:jc w:val="both"/>
        <w:rPr>
          <w:rFonts w:ascii="Verdana" w:eastAsia="Times New Roman" w:hAnsi="Verdana" w:cs="Times New Roman"/>
          <w:color w:val="000000" w:themeColor="text1"/>
          <w:sz w:val="24"/>
          <w:szCs w:val="24"/>
          <w:lang w:val="uk-UA" w:eastAsia="uk-UA"/>
        </w:rPr>
      </w:pPr>
    </w:p>
    <w:p w:rsidR="00B70A02" w:rsidRPr="00AC0D49" w:rsidRDefault="00381958" w:rsidP="00381958">
      <w:pPr>
        <w:spacing w:before="120" w:after="120" w:line="240" w:lineRule="auto"/>
        <w:ind w:firstLine="567"/>
        <w:contextualSpacing/>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 xml:space="preserve">Серед галузей переробної промисловості найбільшу питому вагу в загальних обсягах реалізованої промислової продукції утримує харчова промисловість. До переліку основних підприємств харчової галузі Чорноморської міської територіальної громади </w:t>
      </w:r>
      <w:r w:rsidR="00B70A02" w:rsidRPr="00AC0D49">
        <w:rPr>
          <w:rFonts w:ascii="Times New Roman" w:eastAsia="Times New Roman" w:hAnsi="Times New Roman" w:cs="Times New Roman"/>
          <w:bCs/>
          <w:color w:val="000000" w:themeColor="text1"/>
          <w:sz w:val="24"/>
          <w:szCs w:val="24"/>
          <w:lang w:val="uk-UA" w:eastAsia="ru-RU"/>
        </w:rPr>
        <w:t xml:space="preserve">                              входять: </w:t>
      </w:r>
      <w:r w:rsidRPr="00AC0D49">
        <w:rPr>
          <w:rFonts w:ascii="Times New Roman" w:eastAsia="Times New Roman" w:hAnsi="Times New Roman" w:cs="Times New Roman"/>
          <w:bCs/>
          <w:color w:val="000000" w:themeColor="text1"/>
          <w:sz w:val="24"/>
          <w:szCs w:val="24"/>
          <w:lang w:val="uk-UA" w:eastAsia="ru-RU"/>
        </w:rPr>
        <w:t>ТОВ «</w:t>
      </w:r>
      <w:proofErr w:type="spellStart"/>
      <w:r w:rsidRPr="00AC0D49">
        <w:rPr>
          <w:rFonts w:ascii="Times New Roman" w:eastAsia="Times New Roman" w:hAnsi="Times New Roman" w:cs="Times New Roman"/>
          <w:bCs/>
          <w:color w:val="000000" w:themeColor="text1"/>
          <w:sz w:val="24"/>
          <w:szCs w:val="24"/>
          <w:lang w:val="uk-UA" w:eastAsia="ru-RU"/>
        </w:rPr>
        <w:t>Аквафрост</w:t>
      </w:r>
      <w:proofErr w:type="spellEnd"/>
      <w:r w:rsidRPr="00AC0D49">
        <w:rPr>
          <w:rFonts w:ascii="Times New Roman" w:eastAsia="Times New Roman" w:hAnsi="Times New Roman" w:cs="Times New Roman"/>
          <w:bCs/>
          <w:color w:val="000000" w:themeColor="text1"/>
          <w:sz w:val="24"/>
          <w:szCs w:val="24"/>
          <w:lang w:val="uk-UA" w:eastAsia="ru-RU"/>
        </w:rPr>
        <w:t>» (виробництво високоякісної харчової продукції під торговою маркою «Водний світ»), ПрАТ «АДМ Іллічівськ» (виробництво рослинної олії), ТОВ «Українська Чорноморська  індустрія» (виробництво рослинної олії), ТОВ ФІРМА «ЛІМАН» (вилов та переробка риби).</w:t>
      </w:r>
    </w:p>
    <w:p w:rsidR="00381958" w:rsidRPr="00AC0D49" w:rsidRDefault="00381958" w:rsidP="00381958">
      <w:pPr>
        <w:spacing w:before="120" w:after="120" w:line="240" w:lineRule="auto"/>
        <w:ind w:firstLine="567"/>
        <w:contextualSpacing/>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lastRenderedPageBreak/>
        <w:t xml:space="preserve">Всі ці підприємства  за </w:t>
      </w:r>
      <w:r w:rsidR="00B70A02" w:rsidRPr="00AC0D49">
        <w:rPr>
          <w:rFonts w:ascii="Times New Roman" w:eastAsia="Times New Roman" w:hAnsi="Times New Roman" w:cs="Times New Roman"/>
          <w:bCs/>
          <w:color w:val="000000" w:themeColor="text1"/>
          <w:sz w:val="24"/>
          <w:szCs w:val="24"/>
          <w:lang w:val="uk-UA" w:eastAsia="ru-RU"/>
        </w:rPr>
        <w:t>винятком</w:t>
      </w:r>
      <w:r w:rsidRPr="00AC0D49">
        <w:rPr>
          <w:rFonts w:ascii="Times New Roman" w:eastAsia="Times New Roman" w:hAnsi="Times New Roman" w:cs="Times New Roman"/>
          <w:bCs/>
          <w:color w:val="000000" w:themeColor="text1"/>
          <w:sz w:val="24"/>
          <w:szCs w:val="24"/>
          <w:lang w:val="uk-UA" w:eastAsia="ru-RU"/>
        </w:rPr>
        <w:t xml:space="preserve"> ТОВ ФІРМА «ЛІМАН» навіть в період воєнного стану, не одразу, але відновили роботу. </w:t>
      </w:r>
    </w:p>
    <w:p w:rsidR="00381958" w:rsidRPr="00AC0D49" w:rsidRDefault="00381958" w:rsidP="00381958">
      <w:pPr>
        <w:spacing w:before="120" w:after="120" w:line="240" w:lineRule="auto"/>
        <w:ind w:firstLine="567"/>
        <w:contextualSpacing/>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Серед підприємств інших галузей слід відзначити ПрАТ «ІСРЗ» (ремонт суден та виробництво контейнерів), ТОВ «</w:t>
      </w:r>
      <w:proofErr w:type="spellStart"/>
      <w:r w:rsidRPr="00AC0D49">
        <w:rPr>
          <w:rFonts w:ascii="Times New Roman" w:eastAsia="Times New Roman" w:hAnsi="Times New Roman" w:cs="Times New Roman"/>
          <w:bCs/>
          <w:color w:val="000000" w:themeColor="text1"/>
          <w:sz w:val="24"/>
          <w:szCs w:val="24"/>
          <w:lang w:val="uk-UA" w:eastAsia="ru-RU"/>
        </w:rPr>
        <w:t>Люм’єр</w:t>
      </w:r>
      <w:proofErr w:type="spellEnd"/>
      <w:r w:rsidRPr="00AC0D49">
        <w:rPr>
          <w:rFonts w:ascii="Times New Roman" w:eastAsia="Times New Roman" w:hAnsi="Times New Roman" w:cs="Times New Roman"/>
          <w:bCs/>
          <w:color w:val="000000" w:themeColor="text1"/>
          <w:sz w:val="24"/>
          <w:szCs w:val="24"/>
          <w:lang w:val="uk-UA" w:eastAsia="ru-RU"/>
        </w:rPr>
        <w:t xml:space="preserve"> Україна» (виробництво ілюмінації) та                                    ДП «</w:t>
      </w:r>
      <w:proofErr w:type="spellStart"/>
      <w:r w:rsidRPr="00AC0D49">
        <w:rPr>
          <w:rFonts w:ascii="Times New Roman" w:eastAsia="Times New Roman" w:hAnsi="Times New Roman" w:cs="Times New Roman"/>
          <w:bCs/>
          <w:color w:val="000000" w:themeColor="text1"/>
          <w:sz w:val="24"/>
          <w:szCs w:val="24"/>
          <w:lang w:val="uk-UA" w:eastAsia="ru-RU"/>
        </w:rPr>
        <w:t>Тумен-електро</w:t>
      </w:r>
      <w:proofErr w:type="spellEnd"/>
      <w:r w:rsidRPr="00AC0D49">
        <w:rPr>
          <w:rFonts w:ascii="Times New Roman" w:eastAsia="Times New Roman" w:hAnsi="Times New Roman" w:cs="Times New Roman"/>
          <w:bCs/>
          <w:color w:val="000000" w:themeColor="text1"/>
          <w:sz w:val="24"/>
          <w:szCs w:val="24"/>
          <w:lang w:val="uk-UA" w:eastAsia="ru-RU"/>
        </w:rPr>
        <w:t xml:space="preserve">» (виробництво кабельної продукції). </w:t>
      </w:r>
    </w:p>
    <w:p w:rsidR="00381958" w:rsidRPr="00AC0D49" w:rsidRDefault="00381958" w:rsidP="00B70A02">
      <w:pPr>
        <w:spacing w:after="0" w:line="240" w:lineRule="auto"/>
        <w:ind w:firstLine="567"/>
        <w:contextualSpacing/>
        <w:jc w:val="both"/>
        <w:rPr>
          <w:rFonts w:ascii="Times New Roman" w:hAnsi="Times New Roman" w:cs="Times New Roman"/>
          <w:b/>
          <w:color w:val="000000" w:themeColor="text1"/>
          <w:sz w:val="24"/>
          <w:szCs w:val="24"/>
          <w:lang w:val="uk-UA"/>
        </w:rPr>
      </w:pPr>
      <w:r w:rsidRPr="00AC0D49">
        <w:rPr>
          <w:rFonts w:ascii="Times New Roman" w:hAnsi="Times New Roman" w:cs="Times New Roman"/>
          <w:b/>
          <w:color w:val="000000" w:themeColor="text1"/>
          <w:sz w:val="24"/>
          <w:szCs w:val="24"/>
          <w:lang w:val="uk-UA"/>
        </w:rPr>
        <w:t xml:space="preserve">Очікуваний обсяг реалізованої промислової продукції (товарів, послуг) </w:t>
      </w:r>
      <w:r w:rsidR="00B70A02" w:rsidRPr="00AC0D49">
        <w:rPr>
          <w:rFonts w:ascii="Times New Roman" w:hAnsi="Times New Roman" w:cs="Times New Roman"/>
          <w:b/>
          <w:color w:val="000000" w:themeColor="text1"/>
          <w:sz w:val="24"/>
          <w:szCs w:val="24"/>
          <w:lang w:val="uk-UA"/>
        </w:rPr>
        <w:t xml:space="preserve">                                           </w:t>
      </w:r>
      <w:r w:rsidRPr="00AC0D49">
        <w:rPr>
          <w:rFonts w:ascii="Times New Roman" w:hAnsi="Times New Roman" w:cs="Times New Roman"/>
          <w:b/>
          <w:color w:val="000000" w:themeColor="text1"/>
          <w:sz w:val="24"/>
          <w:szCs w:val="24"/>
          <w:lang w:val="uk-UA"/>
        </w:rPr>
        <w:t>за 2023 р</w:t>
      </w:r>
      <w:r w:rsidR="00B70A02" w:rsidRPr="00AC0D49">
        <w:rPr>
          <w:rFonts w:ascii="Times New Roman" w:hAnsi="Times New Roman" w:cs="Times New Roman"/>
          <w:b/>
          <w:color w:val="000000" w:themeColor="text1"/>
          <w:sz w:val="24"/>
          <w:szCs w:val="24"/>
          <w:lang w:val="uk-UA"/>
        </w:rPr>
        <w:t>ік  - 3344,4 млн. гривень</w:t>
      </w:r>
      <w:r w:rsidRPr="00AC0D49">
        <w:rPr>
          <w:rFonts w:ascii="Times New Roman" w:hAnsi="Times New Roman" w:cs="Times New Roman"/>
          <w:b/>
          <w:color w:val="000000" w:themeColor="text1"/>
          <w:sz w:val="24"/>
          <w:szCs w:val="24"/>
          <w:lang w:val="uk-UA"/>
        </w:rPr>
        <w:t>.</w:t>
      </w:r>
      <w:r w:rsidR="00B70A02" w:rsidRPr="00AC0D49">
        <w:rPr>
          <w:rFonts w:ascii="Times New Roman" w:hAnsi="Times New Roman" w:cs="Times New Roman"/>
          <w:b/>
          <w:color w:val="000000" w:themeColor="text1"/>
          <w:sz w:val="24"/>
          <w:szCs w:val="24"/>
          <w:lang w:val="uk-UA"/>
        </w:rPr>
        <w:t xml:space="preserve"> </w:t>
      </w:r>
      <w:r w:rsidRPr="00AC0D49">
        <w:rPr>
          <w:rFonts w:ascii="Times New Roman" w:hAnsi="Times New Roman" w:cs="Times New Roman"/>
          <w:b/>
          <w:color w:val="000000" w:themeColor="text1"/>
          <w:sz w:val="24"/>
          <w:szCs w:val="24"/>
          <w:lang w:val="uk-UA"/>
        </w:rPr>
        <w:t xml:space="preserve"> Прогно</w:t>
      </w:r>
      <w:r w:rsidR="00B70A02" w:rsidRPr="00AC0D49">
        <w:rPr>
          <w:rFonts w:ascii="Times New Roman" w:hAnsi="Times New Roman" w:cs="Times New Roman"/>
          <w:b/>
          <w:color w:val="000000" w:themeColor="text1"/>
          <w:sz w:val="24"/>
          <w:szCs w:val="24"/>
          <w:lang w:val="uk-UA"/>
        </w:rPr>
        <w:t>з на 2024 рік – 3578,51 млн. гривень</w:t>
      </w:r>
      <w:r w:rsidRPr="00AC0D49">
        <w:rPr>
          <w:rFonts w:ascii="Times New Roman" w:hAnsi="Times New Roman" w:cs="Times New Roman"/>
          <w:b/>
          <w:color w:val="000000" w:themeColor="text1"/>
          <w:sz w:val="24"/>
          <w:szCs w:val="24"/>
          <w:lang w:val="uk-UA"/>
        </w:rPr>
        <w:t>.</w:t>
      </w:r>
    </w:p>
    <w:p w:rsidR="00543F1C" w:rsidRPr="00AC0D49" w:rsidRDefault="00543F1C" w:rsidP="00543F1C">
      <w:pPr>
        <w:spacing w:after="0" w:line="240" w:lineRule="auto"/>
        <w:ind w:firstLine="567"/>
        <w:rPr>
          <w:rFonts w:ascii="Times New Roman" w:hAnsi="Times New Roman" w:cs="Times New Roman"/>
          <w:b/>
          <w:color w:val="000000" w:themeColor="text1"/>
          <w:sz w:val="24"/>
          <w:szCs w:val="24"/>
          <w:lang w:val="uk-UA"/>
        </w:rPr>
      </w:pPr>
    </w:p>
    <w:p w:rsidR="00543F1C" w:rsidRPr="00AC0D49" w:rsidRDefault="00543F1C" w:rsidP="00543F1C">
      <w:pPr>
        <w:spacing w:after="0" w:line="240" w:lineRule="auto"/>
        <w:ind w:firstLine="567"/>
        <w:rPr>
          <w:rFonts w:ascii="Times New Roman" w:hAnsi="Times New Roman" w:cs="Times New Roman"/>
          <w:b/>
          <w:color w:val="000000" w:themeColor="text1"/>
          <w:sz w:val="24"/>
          <w:szCs w:val="24"/>
          <w:lang w:val="uk-UA"/>
        </w:rPr>
      </w:pPr>
      <w:r w:rsidRPr="00AC0D49">
        <w:rPr>
          <w:rFonts w:ascii="Times New Roman" w:hAnsi="Times New Roman" w:cs="Times New Roman"/>
          <w:b/>
          <w:color w:val="000000" w:themeColor="text1"/>
          <w:sz w:val="24"/>
          <w:szCs w:val="24"/>
          <w:lang w:val="uk-UA"/>
        </w:rPr>
        <w:t xml:space="preserve">Транспорт </w:t>
      </w:r>
    </w:p>
    <w:p w:rsidR="00543F1C" w:rsidRPr="00AC0D49" w:rsidRDefault="00543F1C" w:rsidP="00543F1C">
      <w:pPr>
        <w:spacing w:after="0" w:line="240" w:lineRule="auto"/>
        <w:ind w:firstLine="567"/>
        <w:jc w:val="both"/>
        <w:rPr>
          <w:rFonts w:ascii="Times New Roman" w:eastAsia="Times New Roman" w:hAnsi="Times New Roman" w:cs="Times New Roman"/>
          <w:color w:val="000000" w:themeColor="text1"/>
          <w:sz w:val="24"/>
          <w:szCs w:val="24"/>
          <w:lang w:val="uk-UA" w:eastAsia="ru-RU"/>
        </w:rPr>
      </w:pPr>
      <w:r w:rsidRPr="00AC0D49">
        <w:rPr>
          <w:rFonts w:ascii="Times New Roman" w:eastAsia="Times New Roman" w:hAnsi="Times New Roman" w:cs="Times New Roman"/>
          <w:b/>
          <w:color w:val="000000" w:themeColor="text1"/>
          <w:sz w:val="24"/>
          <w:szCs w:val="24"/>
          <w:lang w:val="uk-UA" w:eastAsia="ru-RU"/>
        </w:rPr>
        <w:t>Транспортний комплекс</w:t>
      </w:r>
      <w:r w:rsidRPr="00AC0D49">
        <w:rPr>
          <w:rFonts w:ascii="Times New Roman" w:eastAsia="Times New Roman" w:hAnsi="Times New Roman" w:cs="Times New Roman"/>
          <w:color w:val="000000" w:themeColor="text1"/>
          <w:sz w:val="24"/>
          <w:szCs w:val="24"/>
          <w:lang w:val="uk-UA" w:eastAsia="ru-RU"/>
        </w:rPr>
        <w:t xml:space="preserve"> Чорноморської міської територіальної громади був  і залишається важливою складовою в структурі економіки міської громади. </w:t>
      </w:r>
    </w:p>
    <w:p w:rsidR="00543F1C" w:rsidRPr="00AC0D49" w:rsidRDefault="00543F1C" w:rsidP="00543F1C">
      <w:pPr>
        <w:spacing w:after="0" w:line="240" w:lineRule="auto"/>
        <w:ind w:firstLine="567"/>
        <w:jc w:val="both"/>
        <w:rPr>
          <w:rFonts w:ascii="Times New Roman" w:eastAsia="Calibri" w:hAnsi="Times New Roman" w:cs="Times New Roman"/>
          <w:color w:val="000000" w:themeColor="text1"/>
          <w:sz w:val="24"/>
          <w:szCs w:val="24"/>
          <w:lang w:val="uk-UA" w:eastAsia="ru-RU"/>
        </w:rPr>
      </w:pPr>
      <w:r w:rsidRPr="00AC0D49">
        <w:rPr>
          <w:rFonts w:ascii="Times New Roman" w:eastAsia="Calibri" w:hAnsi="Times New Roman" w:cs="Times New Roman"/>
          <w:color w:val="000000" w:themeColor="text1"/>
          <w:sz w:val="24"/>
          <w:szCs w:val="24"/>
          <w:lang w:val="uk-UA" w:eastAsia="ru-RU"/>
        </w:rPr>
        <w:t xml:space="preserve">Враховуючи поточну складну ситуацію в умовах запровадженого правового режиму воєнного стану на території України відповідно до Указу Президента України від 24 лютого 2022р. № 64 «Про введення воєнного стану в Україні», що призвело до тимчасового припинення торговельного мореплавства в акваторії Чорного та Азовського морів і закриття входу/виходу порту </w:t>
      </w:r>
      <w:proofErr w:type="spellStart"/>
      <w:r w:rsidRPr="00AC0D49">
        <w:rPr>
          <w:rFonts w:ascii="Times New Roman" w:eastAsia="Calibri" w:hAnsi="Times New Roman" w:cs="Times New Roman"/>
          <w:color w:val="000000" w:themeColor="text1"/>
          <w:sz w:val="24"/>
          <w:szCs w:val="24"/>
          <w:lang w:val="uk-UA" w:eastAsia="ru-RU"/>
        </w:rPr>
        <w:t>Чорноморськ</w:t>
      </w:r>
      <w:proofErr w:type="spellEnd"/>
      <w:r w:rsidRPr="00AC0D49">
        <w:rPr>
          <w:rFonts w:ascii="Times New Roman" w:eastAsia="Calibri" w:hAnsi="Times New Roman" w:cs="Times New Roman"/>
          <w:color w:val="000000" w:themeColor="text1"/>
          <w:sz w:val="24"/>
          <w:szCs w:val="24"/>
          <w:lang w:val="uk-UA" w:eastAsia="ru-RU"/>
        </w:rPr>
        <w:t>, неможливості здійснювати обслуговування суден та виконання інших робіт, пов’язаних з цим видом діяльності та  значно вплинуло на підсумки роботи  всіх портових операторів, які проводять діяльність  на території  морського  порту «</w:t>
      </w:r>
      <w:proofErr w:type="spellStart"/>
      <w:r w:rsidRPr="00AC0D49">
        <w:rPr>
          <w:rFonts w:ascii="Times New Roman" w:eastAsia="Calibri" w:hAnsi="Times New Roman" w:cs="Times New Roman"/>
          <w:color w:val="000000" w:themeColor="text1"/>
          <w:sz w:val="24"/>
          <w:szCs w:val="24"/>
          <w:lang w:val="uk-UA" w:eastAsia="ru-RU"/>
        </w:rPr>
        <w:t>Чорноморськ</w:t>
      </w:r>
      <w:proofErr w:type="spellEnd"/>
      <w:r w:rsidRPr="00AC0D49">
        <w:rPr>
          <w:rFonts w:ascii="Times New Roman" w:eastAsia="Calibri" w:hAnsi="Times New Roman" w:cs="Times New Roman"/>
          <w:color w:val="000000" w:themeColor="text1"/>
          <w:sz w:val="24"/>
          <w:szCs w:val="24"/>
          <w:lang w:val="uk-UA" w:eastAsia="ru-RU"/>
        </w:rPr>
        <w:t xml:space="preserve">». </w:t>
      </w:r>
    </w:p>
    <w:p w:rsidR="00543F1C" w:rsidRPr="00AC0D49" w:rsidRDefault="00543F1C" w:rsidP="00543F1C">
      <w:pPr>
        <w:spacing w:after="0" w:line="240" w:lineRule="auto"/>
        <w:ind w:firstLine="567"/>
        <w:jc w:val="both"/>
        <w:rPr>
          <w:rFonts w:ascii="Times New Roman" w:eastAsia="Calibri" w:hAnsi="Times New Roman" w:cs="Times New Roman"/>
          <w:color w:val="000000" w:themeColor="text1"/>
          <w:sz w:val="24"/>
          <w:szCs w:val="24"/>
          <w:lang w:val="uk-UA" w:eastAsia="ru-RU"/>
        </w:rPr>
      </w:pPr>
      <w:r w:rsidRPr="00AC0D49">
        <w:rPr>
          <w:rFonts w:ascii="Times New Roman" w:eastAsia="Calibri" w:hAnsi="Times New Roman" w:cs="Times New Roman"/>
          <w:color w:val="000000" w:themeColor="text1"/>
          <w:sz w:val="24"/>
          <w:szCs w:val="24"/>
          <w:lang w:val="uk-UA" w:eastAsia="ru-RU"/>
        </w:rPr>
        <w:t xml:space="preserve">Внаслідок вищезазначеного портові оператори були позбавлені будь-якої можливості здійснювати виробничу діяльність з обробки експортних та імпортних вантажів, що відповідно, разом з іншими негативними факторами, потягло за собою збитковість цих підприємств в 2022 та поточному році.  Підприємства значно зменшили надходження оборотних коштів для здійснення господарської діяльності, у тому числі для виплати заробітної плати працівникам підприємства. Більшість підприємств портової галузі  перебувають в повному або частковому простої. </w:t>
      </w:r>
    </w:p>
    <w:p w:rsidR="00543F1C" w:rsidRPr="00AC0D49" w:rsidRDefault="00543F1C" w:rsidP="00543F1C">
      <w:pPr>
        <w:spacing w:after="0" w:line="240" w:lineRule="auto"/>
        <w:ind w:firstLine="567"/>
        <w:jc w:val="both"/>
        <w:rPr>
          <w:rFonts w:ascii="Times New Roman" w:eastAsia="Calibri" w:hAnsi="Times New Roman" w:cs="Times New Roman"/>
          <w:color w:val="000000" w:themeColor="text1"/>
          <w:sz w:val="24"/>
          <w:szCs w:val="24"/>
          <w:lang w:val="uk-UA" w:eastAsia="ru-RU"/>
        </w:rPr>
      </w:pPr>
      <w:r w:rsidRPr="00AC0D49">
        <w:rPr>
          <w:rFonts w:ascii="Times New Roman" w:eastAsia="Calibri" w:hAnsi="Times New Roman" w:cs="Times New Roman"/>
          <w:color w:val="000000" w:themeColor="text1"/>
          <w:sz w:val="24"/>
          <w:szCs w:val="24"/>
          <w:lang w:val="uk-UA" w:eastAsia="ru-RU"/>
        </w:rPr>
        <w:t>Наразі, майбутній розвиток військових дій та їх тривалість є єдиним джерелом невизначеності, яке може викликати сумніви щодо здатності транспортних підприємств міста  продовжувати свою діяльність на повну потужність.</w:t>
      </w:r>
    </w:p>
    <w:p w:rsidR="00543F1C" w:rsidRPr="00AC0D49" w:rsidRDefault="00543F1C" w:rsidP="00543F1C">
      <w:pPr>
        <w:spacing w:after="0" w:line="240" w:lineRule="auto"/>
        <w:ind w:firstLine="567"/>
        <w:jc w:val="both"/>
        <w:rPr>
          <w:rFonts w:ascii="Times New Roman" w:eastAsia="Calibri" w:hAnsi="Times New Roman" w:cs="Times New Roman"/>
          <w:b/>
          <w:bCs/>
          <w:color w:val="000000" w:themeColor="text1"/>
          <w:sz w:val="24"/>
          <w:szCs w:val="24"/>
          <w:lang w:val="uk-UA" w:eastAsia="ru-RU"/>
        </w:rPr>
      </w:pPr>
      <w:r w:rsidRPr="00AC0D49">
        <w:rPr>
          <w:rFonts w:ascii="Times New Roman" w:eastAsia="Calibri" w:hAnsi="Times New Roman" w:cs="Times New Roman"/>
          <w:b/>
          <w:bCs/>
          <w:color w:val="000000" w:themeColor="text1"/>
          <w:sz w:val="24"/>
          <w:szCs w:val="24"/>
          <w:lang w:val="uk-UA" w:eastAsia="ru-RU"/>
        </w:rPr>
        <w:t>Таким чином, очікувані обсяги вантажопереробки в 2023 році прогнозуються на рівні 9,94 млн. тон</w:t>
      </w:r>
      <w:r w:rsidR="004A6B29">
        <w:rPr>
          <w:rFonts w:ascii="Times New Roman" w:eastAsia="Calibri" w:hAnsi="Times New Roman" w:cs="Times New Roman"/>
          <w:b/>
          <w:bCs/>
          <w:color w:val="000000" w:themeColor="text1"/>
          <w:sz w:val="24"/>
          <w:szCs w:val="24"/>
          <w:lang w:val="uk-UA" w:eastAsia="ru-RU"/>
        </w:rPr>
        <w:t>,</w:t>
      </w:r>
      <w:r w:rsidRPr="00AC0D49">
        <w:rPr>
          <w:rFonts w:ascii="Times New Roman" w:eastAsia="Calibri" w:hAnsi="Times New Roman" w:cs="Times New Roman"/>
          <w:b/>
          <w:bCs/>
          <w:color w:val="000000" w:themeColor="text1"/>
          <w:sz w:val="24"/>
          <w:szCs w:val="24"/>
          <w:lang w:val="uk-UA" w:eastAsia="ru-RU"/>
        </w:rPr>
        <w:t xml:space="preserve">  що на 20% більше показника 2022 року (2022 рік - 8,26 млн. тон) але в 2,5 рази менше довоєнних показників 2021 року (2021 рік – 25,62 млн.</w:t>
      </w:r>
      <w:r w:rsidR="00C76684" w:rsidRPr="00AC0D49">
        <w:rPr>
          <w:rFonts w:ascii="Times New Roman" w:eastAsia="Calibri" w:hAnsi="Times New Roman" w:cs="Times New Roman"/>
          <w:b/>
          <w:bCs/>
          <w:color w:val="000000" w:themeColor="text1"/>
          <w:sz w:val="24"/>
          <w:szCs w:val="24"/>
          <w:lang w:val="uk-UA" w:eastAsia="ru-RU"/>
        </w:rPr>
        <w:t xml:space="preserve"> </w:t>
      </w:r>
      <w:r w:rsidRPr="00AC0D49">
        <w:rPr>
          <w:rFonts w:ascii="Times New Roman" w:eastAsia="Calibri" w:hAnsi="Times New Roman" w:cs="Times New Roman"/>
          <w:b/>
          <w:bCs/>
          <w:color w:val="000000" w:themeColor="text1"/>
          <w:sz w:val="24"/>
          <w:szCs w:val="24"/>
          <w:lang w:val="uk-UA" w:eastAsia="ru-RU"/>
        </w:rPr>
        <w:t>тон).</w:t>
      </w:r>
      <w:r w:rsidRPr="00AC0D49">
        <w:rPr>
          <w:rFonts w:ascii="Times New Roman" w:eastAsia="Calibri" w:hAnsi="Times New Roman" w:cs="Times New Roman"/>
          <w:color w:val="000000" w:themeColor="text1"/>
          <w:sz w:val="24"/>
          <w:szCs w:val="24"/>
          <w:lang w:val="uk-UA" w:eastAsia="ru-RU"/>
        </w:rPr>
        <w:t xml:space="preserve">                                                        </w:t>
      </w:r>
      <w:r w:rsidRPr="00AC0D49">
        <w:rPr>
          <w:rFonts w:ascii="Times New Roman" w:eastAsia="Calibri" w:hAnsi="Times New Roman" w:cs="Times New Roman"/>
          <w:b/>
          <w:bCs/>
          <w:color w:val="000000" w:themeColor="text1"/>
          <w:sz w:val="24"/>
          <w:szCs w:val="24"/>
          <w:lang w:val="uk-UA" w:eastAsia="ru-RU"/>
        </w:rPr>
        <w:t>Прогноз вантажопереробки на 2024 рік  - 12,75 млн. тон.</w:t>
      </w:r>
    </w:p>
    <w:p w:rsidR="00543F1C" w:rsidRPr="00AC0D49" w:rsidRDefault="00543F1C" w:rsidP="00543F1C">
      <w:pPr>
        <w:spacing w:after="0" w:line="240" w:lineRule="auto"/>
        <w:ind w:firstLine="567"/>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Calibri" w:hAnsi="Times New Roman" w:cs="Times New Roman"/>
          <w:color w:val="000000" w:themeColor="text1"/>
          <w:sz w:val="24"/>
          <w:szCs w:val="24"/>
          <w:lang w:val="uk-UA" w:eastAsia="ru-RU"/>
        </w:rPr>
        <w:t xml:space="preserve">Основні підприємства, які </w:t>
      </w:r>
      <w:r w:rsidR="00C76684" w:rsidRPr="00AC0D49">
        <w:rPr>
          <w:rFonts w:ascii="Times New Roman" w:eastAsia="Calibri" w:hAnsi="Times New Roman" w:cs="Times New Roman"/>
          <w:color w:val="000000" w:themeColor="text1"/>
          <w:sz w:val="24"/>
          <w:szCs w:val="24"/>
          <w:lang w:val="uk-UA" w:eastAsia="ru-RU"/>
        </w:rPr>
        <w:t>здійснюють</w:t>
      </w:r>
      <w:r w:rsidRPr="00AC0D49">
        <w:rPr>
          <w:rFonts w:ascii="Times New Roman" w:eastAsia="Calibri" w:hAnsi="Times New Roman" w:cs="Times New Roman"/>
          <w:color w:val="000000" w:themeColor="text1"/>
          <w:sz w:val="24"/>
          <w:szCs w:val="24"/>
          <w:lang w:val="uk-UA" w:eastAsia="ru-RU"/>
        </w:rPr>
        <w:t xml:space="preserve"> діяльність на  території морського порту «</w:t>
      </w:r>
      <w:proofErr w:type="spellStart"/>
      <w:r w:rsidRPr="00AC0D49">
        <w:rPr>
          <w:rFonts w:ascii="Times New Roman" w:eastAsia="Calibri" w:hAnsi="Times New Roman" w:cs="Times New Roman"/>
          <w:color w:val="000000" w:themeColor="text1"/>
          <w:sz w:val="24"/>
          <w:szCs w:val="24"/>
          <w:lang w:val="uk-UA" w:eastAsia="ru-RU"/>
        </w:rPr>
        <w:t>Чорноморськ</w:t>
      </w:r>
      <w:proofErr w:type="spellEnd"/>
      <w:r w:rsidRPr="00AC0D49">
        <w:rPr>
          <w:rFonts w:ascii="Times New Roman" w:eastAsia="Calibri" w:hAnsi="Times New Roman" w:cs="Times New Roman"/>
          <w:color w:val="000000" w:themeColor="text1"/>
          <w:sz w:val="24"/>
          <w:szCs w:val="24"/>
          <w:lang w:val="uk-UA" w:eastAsia="ru-RU"/>
        </w:rPr>
        <w:t xml:space="preserve">»:  Чорноморська філія ДП «АМПУ»,  </w:t>
      </w:r>
      <w:r w:rsidRPr="00AC0D49">
        <w:rPr>
          <w:rFonts w:ascii="Times New Roman" w:eastAsia="Times New Roman" w:hAnsi="Times New Roman" w:cs="Times New Roman"/>
          <w:bCs/>
          <w:color w:val="000000" w:themeColor="text1"/>
          <w:sz w:val="24"/>
          <w:szCs w:val="24"/>
          <w:lang w:val="uk-UA" w:eastAsia="ru-RU"/>
        </w:rPr>
        <w:t xml:space="preserve">ДП "МТП </w:t>
      </w:r>
      <w:proofErr w:type="spellStart"/>
      <w:r w:rsidRPr="00AC0D49">
        <w:rPr>
          <w:rFonts w:ascii="Times New Roman" w:eastAsia="Times New Roman" w:hAnsi="Times New Roman" w:cs="Times New Roman"/>
          <w:bCs/>
          <w:color w:val="000000" w:themeColor="text1"/>
          <w:sz w:val="24"/>
          <w:szCs w:val="24"/>
          <w:lang w:val="uk-UA" w:eastAsia="ru-RU"/>
        </w:rPr>
        <w:t>Чорноморськ</w:t>
      </w:r>
      <w:proofErr w:type="spellEnd"/>
      <w:r w:rsidRPr="00AC0D49">
        <w:rPr>
          <w:rFonts w:ascii="Times New Roman" w:eastAsia="Times New Roman" w:hAnsi="Times New Roman" w:cs="Times New Roman"/>
          <w:bCs/>
          <w:color w:val="000000" w:themeColor="text1"/>
          <w:sz w:val="24"/>
          <w:szCs w:val="24"/>
          <w:lang w:val="uk-UA" w:eastAsia="ru-RU"/>
        </w:rPr>
        <w:t>", ТОВ "Порт-Сервіс", ТОВ "</w:t>
      </w:r>
      <w:proofErr w:type="spellStart"/>
      <w:r w:rsidRPr="00AC0D49">
        <w:rPr>
          <w:rFonts w:ascii="Times New Roman" w:eastAsia="Times New Roman" w:hAnsi="Times New Roman" w:cs="Times New Roman"/>
          <w:bCs/>
          <w:color w:val="000000" w:themeColor="text1"/>
          <w:sz w:val="24"/>
          <w:szCs w:val="24"/>
          <w:lang w:val="uk-UA" w:eastAsia="ru-RU"/>
        </w:rPr>
        <w:t>Фрам</w:t>
      </w:r>
      <w:proofErr w:type="spellEnd"/>
      <w:r w:rsidRPr="00AC0D49">
        <w:rPr>
          <w:rFonts w:ascii="Times New Roman" w:eastAsia="Times New Roman" w:hAnsi="Times New Roman" w:cs="Times New Roman"/>
          <w:bCs/>
          <w:color w:val="000000" w:themeColor="text1"/>
          <w:sz w:val="24"/>
          <w:szCs w:val="24"/>
          <w:lang w:val="uk-UA" w:eastAsia="ru-RU"/>
        </w:rPr>
        <w:t xml:space="preserve"> </w:t>
      </w:r>
      <w:proofErr w:type="spellStart"/>
      <w:r w:rsidRPr="00AC0D49">
        <w:rPr>
          <w:rFonts w:ascii="Times New Roman" w:eastAsia="Times New Roman" w:hAnsi="Times New Roman" w:cs="Times New Roman"/>
          <w:bCs/>
          <w:color w:val="000000" w:themeColor="text1"/>
          <w:sz w:val="24"/>
          <w:szCs w:val="24"/>
          <w:lang w:val="uk-UA" w:eastAsia="ru-RU"/>
        </w:rPr>
        <w:t>Шиппінг</w:t>
      </w:r>
      <w:proofErr w:type="spellEnd"/>
      <w:r w:rsidRPr="00AC0D49">
        <w:rPr>
          <w:rFonts w:ascii="Times New Roman" w:eastAsia="Times New Roman" w:hAnsi="Times New Roman" w:cs="Times New Roman"/>
          <w:bCs/>
          <w:color w:val="000000" w:themeColor="text1"/>
          <w:sz w:val="24"/>
          <w:szCs w:val="24"/>
          <w:lang w:val="uk-UA" w:eastAsia="ru-RU"/>
        </w:rPr>
        <w:t xml:space="preserve"> </w:t>
      </w:r>
      <w:proofErr w:type="spellStart"/>
      <w:r w:rsidRPr="00AC0D49">
        <w:rPr>
          <w:rFonts w:ascii="Times New Roman" w:eastAsia="Times New Roman" w:hAnsi="Times New Roman" w:cs="Times New Roman"/>
          <w:bCs/>
          <w:color w:val="000000" w:themeColor="text1"/>
          <w:sz w:val="24"/>
          <w:szCs w:val="24"/>
          <w:lang w:val="uk-UA" w:eastAsia="ru-RU"/>
        </w:rPr>
        <w:t>Едженсі</w:t>
      </w:r>
      <w:proofErr w:type="spellEnd"/>
      <w:r w:rsidRPr="00AC0D49">
        <w:rPr>
          <w:rFonts w:ascii="Times New Roman" w:eastAsia="Times New Roman" w:hAnsi="Times New Roman" w:cs="Times New Roman"/>
          <w:bCs/>
          <w:color w:val="000000" w:themeColor="text1"/>
          <w:sz w:val="24"/>
          <w:szCs w:val="24"/>
          <w:lang w:val="uk-UA" w:eastAsia="ru-RU"/>
        </w:rPr>
        <w:t>", ТОВ "Транс-Сервіс", ТОВ "ТЕК-Транс Груп Форвард", ТОВ "</w:t>
      </w:r>
      <w:proofErr w:type="spellStart"/>
      <w:r w:rsidRPr="00AC0D49">
        <w:rPr>
          <w:rFonts w:ascii="Times New Roman" w:eastAsia="Times New Roman" w:hAnsi="Times New Roman" w:cs="Times New Roman"/>
          <w:bCs/>
          <w:color w:val="000000" w:themeColor="text1"/>
          <w:sz w:val="24"/>
          <w:szCs w:val="24"/>
          <w:lang w:val="uk-UA" w:eastAsia="ru-RU"/>
        </w:rPr>
        <w:t>Олір</w:t>
      </w:r>
      <w:proofErr w:type="spellEnd"/>
      <w:r w:rsidRPr="00AC0D49">
        <w:rPr>
          <w:rFonts w:ascii="Times New Roman" w:eastAsia="Times New Roman" w:hAnsi="Times New Roman" w:cs="Times New Roman"/>
          <w:bCs/>
          <w:color w:val="000000" w:themeColor="text1"/>
          <w:sz w:val="24"/>
          <w:szCs w:val="24"/>
          <w:lang w:val="uk-UA" w:eastAsia="ru-RU"/>
        </w:rPr>
        <w:t xml:space="preserve"> </w:t>
      </w:r>
      <w:proofErr w:type="spellStart"/>
      <w:r w:rsidRPr="00AC0D49">
        <w:rPr>
          <w:rFonts w:ascii="Times New Roman" w:eastAsia="Times New Roman" w:hAnsi="Times New Roman" w:cs="Times New Roman"/>
          <w:bCs/>
          <w:color w:val="000000" w:themeColor="text1"/>
          <w:sz w:val="24"/>
          <w:szCs w:val="24"/>
          <w:lang w:val="uk-UA" w:eastAsia="ru-RU"/>
        </w:rPr>
        <w:t>Ресорсі</w:t>
      </w:r>
      <w:r w:rsidR="00A06467" w:rsidRPr="00AC0D49">
        <w:rPr>
          <w:rFonts w:ascii="Times New Roman" w:eastAsia="Times New Roman" w:hAnsi="Times New Roman" w:cs="Times New Roman"/>
          <w:bCs/>
          <w:color w:val="000000" w:themeColor="text1"/>
          <w:sz w:val="24"/>
          <w:szCs w:val="24"/>
          <w:lang w:val="uk-UA" w:eastAsia="ru-RU"/>
        </w:rPr>
        <w:t>з</w:t>
      </w:r>
      <w:proofErr w:type="spellEnd"/>
      <w:r w:rsidR="00A06467" w:rsidRPr="00AC0D49">
        <w:rPr>
          <w:rFonts w:ascii="Times New Roman" w:eastAsia="Times New Roman" w:hAnsi="Times New Roman" w:cs="Times New Roman"/>
          <w:bCs/>
          <w:color w:val="000000" w:themeColor="text1"/>
          <w:sz w:val="24"/>
          <w:szCs w:val="24"/>
          <w:lang w:val="uk-UA" w:eastAsia="ru-RU"/>
        </w:rPr>
        <w:t xml:space="preserve">", ТОВ "Еко-Ресурс-Холдинг", </w:t>
      </w:r>
      <w:r w:rsidRPr="00AC0D49">
        <w:rPr>
          <w:rFonts w:ascii="Times New Roman" w:eastAsia="Times New Roman" w:hAnsi="Times New Roman" w:cs="Times New Roman"/>
          <w:bCs/>
          <w:color w:val="000000" w:themeColor="text1"/>
          <w:sz w:val="24"/>
          <w:szCs w:val="24"/>
          <w:lang w:val="uk-UA" w:eastAsia="ru-RU"/>
        </w:rPr>
        <w:t>ТОВ "</w:t>
      </w:r>
      <w:proofErr w:type="spellStart"/>
      <w:r w:rsidRPr="00AC0D49">
        <w:rPr>
          <w:rFonts w:ascii="Times New Roman" w:eastAsia="Times New Roman" w:hAnsi="Times New Roman" w:cs="Times New Roman"/>
          <w:bCs/>
          <w:color w:val="000000" w:themeColor="text1"/>
          <w:sz w:val="24"/>
          <w:szCs w:val="24"/>
          <w:lang w:val="uk-UA" w:eastAsia="ru-RU"/>
        </w:rPr>
        <w:t>ТрансБалкТермінал</w:t>
      </w:r>
      <w:proofErr w:type="spellEnd"/>
      <w:r w:rsidRPr="00AC0D49">
        <w:rPr>
          <w:rFonts w:ascii="Times New Roman" w:eastAsia="Times New Roman" w:hAnsi="Times New Roman" w:cs="Times New Roman"/>
          <w:bCs/>
          <w:color w:val="000000" w:themeColor="text1"/>
          <w:sz w:val="24"/>
          <w:szCs w:val="24"/>
          <w:lang w:val="uk-UA" w:eastAsia="ru-RU"/>
        </w:rPr>
        <w:t xml:space="preserve">",  ТОВ "СП </w:t>
      </w:r>
      <w:proofErr w:type="spellStart"/>
      <w:r w:rsidRPr="00AC0D49">
        <w:rPr>
          <w:rFonts w:ascii="Times New Roman" w:eastAsia="Times New Roman" w:hAnsi="Times New Roman" w:cs="Times New Roman"/>
          <w:bCs/>
          <w:color w:val="000000" w:themeColor="text1"/>
          <w:sz w:val="24"/>
          <w:szCs w:val="24"/>
          <w:lang w:val="uk-UA" w:eastAsia="ru-RU"/>
        </w:rPr>
        <w:t>Рисоіл</w:t>
      </w:r>
      <w:proofErr w:type="spellEnd"/>
      <w:r w:rsidRPr="00AC0D49">
        <w:rPr>
          <w:rFonts w:ascii="Times New Roman" w:eastAsia="Times New Roman" w:hAnsi="Times New Roman" w:cs="Times New Roman"/>
          <w:bCs/>
          <w:color w:val="000000" w:themeColor="text1"/>
          <w:sz w:val="24"/>
          <w:szCs w:val="24"/>
          <w:lang w:val="uk-UA" w:eastAsia="ru-RU"/>
        </w:rPr>
        <w:t xml:space="preserve"> Термінал", ТОВ "Спеціалізований зерновий термінал "</w:t>
      </w:r>
      <w:proofErr w:type="spellStart"/>
      <w:r w:rsidRPr="00AC0D49">
        <w:rPr>
          <w:rFonts w:ascii="Times New Roman" w:eastAsia="Times New Roman" w:hAnsi="Times New Roman" w:cs="Times New Roman"/>
          <w:bCs/>
          <w:color w:val="000000" w:themeColor="text1"/>
          <w:sz w:val="24"/>
          <w:szCs w:val="24"/>
          <w:lang w:val="uk-UA" w:eastAsia="ru-RU"/>
        </w:rPr>
        <w:t>Чорноморськ</w:t>
      </w:r>
      <w:proofErr w:type="spellEnd"/>
      <w:r w:rsidRPr="00AC0D49">
        <w:rPr>
          <w:rFonts w:ascii="Times New Roman" w:eastAsia="Times New Roman" w:hAnsi="Times New Roman" w:cs="Times New Roman"/>
          <w:bCs/>
          <w:color w:val="000000" w:themeColor="text1"/>
          <w:sz w:val="24"/>
          <w:szCs w:val="24"/>
          <w:lang w:val="uk-UA" w:eastAsia="ru-RU"/>
        </w:rPr>
        <w:t xml:space="preserve">", ТОВ "Компанія </w:t>
      </w:r>
      <w:proofErr w:type="spellStart"/>
      <w:r w:rsidRPr="00AC0D49">
        <w:rPr>
          <w:rFonts w:ascii="Times New Roman" w:eastAsia="Times New Roman" w:hAnsi="Times New Roman" w:cs="Times New Roman"/>
          <w:bCs/>
          <w:color w:val="000000" w:themeColor="text1"/>
          <w:sz w:val="24"/>
          <w:szCs w:val="24"/>
          <w:lang w:val="uk-UA" w:eastAsia="ru-RU"/>
        </w:rPr>
        <w:t>Крентон</w:t>
      </w:r>
      <w:proofErr w:type="spellEnd"/>
      <w:r w:rsidRPr="00AC0D49">
        <w:rPr>
          <w:rFonts w:ascii="Times New Roman" w:eastAsia="Times New Roman" w:hAnsi="Times New Roman" w:cs="Times New Roman"/>
          <w:bCs/>
          <w:color w:val="000000" w:themeColor="text1"/>
          <w:sz w:val="24"/>
          <w:szCs w:val="24"/>
          <w:lang w:val="uk-UA" w:eastAsia="ru-RU"/>
        </w:rPr>
        <w:t xml:space="preserve"> Україна", ТОВ «Універсальний термінал </w:t>
      </w:r>
      <w:proofErr w:type="spellStart"/>
      <w:r w:rsidRPr="00AC0D49">
        <w:rPr>
          <w:rFonts w:ascii="Times New Roman" w:eastAsia="Times New Roman" w:hAnsi="Times New Roman" w:cs="Times New Roman"/>
          <w:bCs/>
          <w:color w:val="000000" w:themeColor="text1"/>
          <w:sz w:val="24"/>
          <w:szCs w:val="24"/>
          <w:lang w:val="uk-UA" w:eastAsia="ru-RU"/>
        </w:rPr>
        <w:t>Рисоіл</w:t>
      </w:r>
      <w:proofErr w:type="spellEnd"/>
      <w:r w:rsidRPr="00AC0D49">
        <w:rPr>
          <w:rFonts w:ascii="Times New Roman" w:eastAsia="Times New Roman" w:hAnsi="Times New Roman" w:cs="Times New Roman"/>
          <w:bCs/>
          <w:color w:val="000000" w:themeColor="text1"/>
          <w:sz w:val="24"/>
          <w:szCs w:val="24"/>
          <w:lang w:val="uk-UA" w:eastAsia="ru-RU"/>
        </w:rPr>
        <w:t>» (ТОВ "</w:t>
      </w:r>
      <w:proofErr w:type="spellStart"/>
      <w:r w:rsidRPr="00AC0D49">
        <w:rPr>
          <w:rFonts w:ascii="Times New Roman" w:eastAsia="Times New Roman" w:hAnsi="Times New Roman" w:cs="Times New Roman"/>
          <w:bCs/>
          <w:color w:val="000000" w:themeColor="text1"/>
          <w:sz w:val="24"/>
          <w:szCs w:val="24"/>
          <w:lang w:val="uk-UA" w:eastAsia="ru-RU"/>
        </w:rPr>
        <w:t>Рисоіл</w:t>
      </w:r>
      <w:proofErr w:type="spellEnd"/>
      <w:r w:rsidRPr="00AC0D49">
        <w:rPr>
          <w:rFonts w:ascii="Times New Roman" w:eastAsia="Times New Roman" w:hAnsi="Times New Roman" w:cs="Times New Roman"/>
          <w:bCs/>
          <w:color w:val="000000" w:themeColor="text1"/>
          <w:sz w:val="24"/>
          <w:szCs w:val="24"/>
          <w:lang w:val="uk-UA" w:eastAsia="ru-RU"/>
        </w:rPr>
        <w:t xml:space="preserve"> Руда"), СВ ПП,  ТОВ "</w:t>
      </w:r>
      <w:proofErr w:type="spellStart"/>
      <w:r w:rsidRPr="00AC0D49">
        <w:rPr>
          <w:rFonts w:ascii="Times New Roman" w:eastAsia="Times New Roman" w:hAnsi="Times New Roman" w:cs="Times New Roman"/>
          <w:bCs/>
          <w:color w:val="000000" w:themeColor="text1"/>
          <w:sz w:val="24"/>
          <w:szCs w:val="24"/>
          <w:lang w:val="uk-UA" w:eastAsia="ru-RU"/>
        </w:rPr>
        <w:t>Іл</w:t>
      </w:r>
      <w:r w:rsidR="00A06467" w:rsidRPr="00AC0D49">
        <w:rPr>
          <w:rFonts w:ascii="Times New Roman" w:eastAsia="Times New Roman" w:hAnsi="Times New Roman" w:cs="Times New Roman"/>
          <w:bCs/>
          <w:color w:val="000000" w:themeColor="text1"/>
          <w:sz w:val="24"/>
          <w:szCs w:val="24"/>
          <w:lang w:val="uk-UA" w:eastAsia="ru-RU"/>
        </w:rPr>
        <w:t>лічівський</w:t>
      </w:r>
      <w:proofErr w:type="spellEnd"/>
      <w:r w:rsidR="00A06467" w:rsidRPr="00AC0D49">
        <w:rPr>
          <w:rFonts w:ascii="Times New Roman" w:eastAsia="Times New Roman" w:hAnsi="Times New Roman" w:cs="Times New Roman"/>
          <w:bCs/>
          <w:color w:val="000000" w:themeColor="text1"/>
          <w:sz w:val="24"/>
          <w:szCs w:val="24"/>
          <w:lang w:val="uk-UA" w:eastAsia="ru-RU"/>
        </w:rPr>
        <w:t xml:space="preserve"> зерновий термінал", </w:t>
      </w:r>
      <w:r w:rsidRPr="00AC0D49">
        <w:rPr>
          <w:rFonts w:ascii="Times New Roman" w:eastAsia="Times New Roman" w:hAnsi="Times New Roman" w:cs="Times New Roman"/>
          <w:bCs/>
          <w:color w:val="000000" w:themeColor="text1"/>
          <w:sz w:val="24"/>
          <w:szCs w:val="24"/>
          <w:lang w:val="uk-UA" w:eastAsia="ru-RU"/>
        </w:rPr>
        <w:t>ТОВ "Чорноморський рибний порт".</w:t>
      </w:r>
    </w:p>
    <w:p w:rsidR="00C76684" w:rsidRPr="00AC0D49" w:rsidRDefault="00C76684" w:rsidP="00543F1C">
      <w:pPr>
        <w:spacing w:after="0" w:line="240" w:lineRule="auto"/>
        <w:ind w:firstLine="567"/>
        <w:jc w:val="both"/>
        <w:rPr>
          <w:rFonts w:ascii="Times New Roman" w:eastAsia="Times New Roman" w:hAnsi="Times New Roman" w:cs="Times New Roman"/>
          <w:bCs/>
          <w:color w:val="000000" w:themeColor="text1"/>
          <w:sz w:val="24"/>
          <w:szCs w:val="24"/>
          <w:lang w:val="uk-UA" w:eastAsia="ru-RU"/>
        </w:rPr>
      </w:pPr>
    </w:p>
    <w:p w:rsidR="00543F1C" w:rsidRPr="00AC0D49" w:rsidRDefault="00543F1C" w:rsidP="003726EE">
      <w:pPr>
        <w:keepLines/>
        <w:spacing w:after="0" w:line="240" w:lineRule="auto"/>
        <w:jc w:val="both"/>
        <w:rPr>
          <w:rFonts w:ascii="Times New Roman" w:eastAsia="Times New Roman" w:hAnsi="Times New Roman" w:cs="Times New Roman"/>
          <w:b/>
          <w:color w:val="000000" w:themeColor="text1"/>
          <w:sz w:val="28"/>
          <w:szCs w:val="28"/>
          <w:vertAlign w:val="superscript"/>
          <w:lang w:val="uk-UA" w:eastAsia="ru-RU"/>
        </w:rPr>
      </w:pPr>
      <w:r w:rsidRPr="00AC0D49">
        <w:rPr>
          <w:rFonts w:ascii="Times New Roman" w:eastAsia="Times New Roman" w:hAnsi="Times New Roman" w:cs="Times New Roman"/>
          <w:b/>
          <w:color w:val="000000" w:themeColor="text1"/>
          <w:sz w:val="24"/>
          <w:szCs w:val="24"/>
          <w:lang w:val="uk-UA" w:eastAsia="ru-RU"/>
        </w:rPr>
        <w:t>Вантажні перевезення автомобільним транспортом</w:t>
      </w:r>
      <w:r w:rsidRPr="00AC0D49">
        <w:rPr>
          <w:rFonts w:ascii="Times New Roman" w:eastAsia="Times New Roman" w:hAnsi="Times New Roman" w:cs="Times New Roman"/>
          <w:b/>
          <w:color w:val="000000" w:themeColor="text1"/>
          <w:sz w:val="24"/>
          <w:szCs w:val="24"/>
          <w:vertAlign w:val="superscript"/>
          <w:lang w:val="uk-UA"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5"/>
        <w:gridCol w:w="4200"/>
      </w:tblGrid>
      <w:tr w:rsidR="00543F1C" w:rsidRPr="00AC0D49" w:rsidTr="00A06467">
        <w:trPr>
          <w:trHeight w:val="369"/>
        </w:trPr>
        <w:tc>
          <w:tcPr>
            <w:tcW w:w="2786" w:type="pct"/>
            <w:shd w:val="clear" w:color="FFFFFF" w:fill="FFFFFF"/>
            <w:noWrap/>
            <w:vAlign w:val="center"/>
            <w:hideMark/>
          </w:tcPr>
          <w:p w:rsidR="00543F1C" w:rsidRPr="00AC0D49" w:rsidRDefault="008A22EE" w:rsidP="00543F1C">
            <w:pPr>
              <w:spacing w:after="0" w:line="400" w:lineRule="exact"/>
              <w:jc w:val="center"/>
              <w:rPr>
                <w:rFonts w:ascii="Times New Roman" w:eastAsia="Times New Roman" w:hAnsi="Times New Roman" w:cs="Times New Roman"/>
                <w:color w:val="000000" w:themeColor="text1"/>
                <w:sz w:val="24"/>
                <w:szCs w:val="24"/>
                <w:lang w:val="uk-UA" w:eastAsia="uk-UA"/>
              </w:rPr>
            </w:pPr>
            <w:r>
              <w:rPr>
                <w:rFonts w:ascii="Times New Roman" w:eastAsia="Times New Roman" w:hAnsi="Times New Roman" w:cs="Times New Roman"/>
                <w:color w:val="000000" w:themeColor="text1"/>
                <w:sz w:val="24"/>
                <w:szCs w:val="24"/>
                <w:lang w:val="uk-UA" w:eastAsia="uk-UA"/>
              </w:rPr>
              <w:t>Показники</w:t>
            </w:r>
          </w:p>
        </w:tc>
        <w:tc>
          <w:tcPr>
            <w:tcW w:w="2214" w:type="pct"/>
            <w:shd w:val="clear" w:color="FFFFFF" w:fill="FFFFFF"/>
          </w:tcPr>
          <w:p w:rsidR="00543F1C" w:rsidRPr="00AC0D49" w:rsidRDefault="00543F1C" w:rsidP="00543F1C">
            <w:pPr>
              <w:keepLines/>
              <w:spacing w:after="0" w:line="400" w:lineRule="exact"/>
              <w:jc w:val="center"/>
              <w:rPr>
                <w:rFonts w:ascii="Times New Roman" w:eastAsia="Times New Roman" w:hAnsi="Times New Roman" w:cs="Times New Roman"/>
                <w:color w:val="000000" w:themeColor="text1"/>
                <w:sz w:val="24"/>
                <w:szCs w:val="24"/>
                <w:lang w:val="uk-UA" w:eastAsia="uk-UA"/>
              </w:rPr>
            </w:pPr>
            <w:r w:rsidRPr="00AC0D49">
              <w:rPr>
                <w:rFonts w:ascii="Times New Roman" w:eastAsia="Times New Roman" w:hAnsi="Times New Roman" w:cs="Times New Roman"/>
                <w:color w:val="000000" w:themeColor="text1"/>
                <w:sz w:val="24"/>
                <w:szCs w:val="24"/>
                <w:lang w:val="uk-UA" w:eastAsia="uk-UA"/>
              </w:rPr>
              <w:t>Січень–липень 2023р.</w:t>
            </w:r>
          </w:p>
        </w:tc>
      </w:tr>
      <w:tr w:rsidR="00543F1C" w:rsidRPr="00AC0D49" w:rsidTr="00A06467">
        <w:trPr>
          <w:trHeight w:val="394"/>
        </w:trPr>
        <w:tc>
          <w:tcPr>
            <w:tcW w:w="2786" w:type="pct"/>
            <w:shd w:val="clear" w:color="auto" w:fill="auto"/>
            <w:vAlign w:val="bottom"/>
            <w:hideMark/>
          </w:tcPr>
          <w:p w:rsidR="00543F1C" w:rsidRPr="00AC0D49" w:rsidRDefault="00543F1C" w:rsidP="00543F1C">
            <w:pPr>
              <w:spacing w:after="0" w:line="400" w:lineRule="exact"/>
              <w:rPr>
                <w:rFonts w:ascii="Times New Roman" w:eastAsia="Times New Roman" w:hAnsi="Times New Roman" w:cs="Times New Roman"/>
                <w:color w:val="000000" w:themeColor="text1"/>
                <w:sz w:val="24"/>
                <w:szCs w:val="24"/>
                <w:lang w:val="uk-UA" w:eastAsia="uk-UA"/>
              </w:rPr>
            </w:pPr>
            <w:r w:rsidRPr="00AC0D49">
              <w:rPr>
                <w:rFonts w:ascii="Times New Roman" w:eastAsia="Times New Roman" w:hAnsi="Times New Roman" w:cs="Times New Roman"/>
                <w:color w:val="000000" w:themeColor="text1"/>
                <w:sz w:val="24"/>
                <w:szCs w:val="24"/>
                <w:lang w:val="uk-UA" w:eastAsia="uk-UA"/>
              </w:rPr>
              <w:t>Обсяг перевезених вантажів, тис.</w:t>
            </w:r>
            <w:r w:rsidR="0073546C" w:rsidRPr="00AC0D49">
              <w:rPr>
                <w:rFonts w:ascii="Times New Roman" w:eastAsia="Times New Roman" w:hAnsi="Times New Roman" w:cs="Times New Roman"/>
                <w:color w:val="000000" w:themeColor="text1"/>
                <w:sz w:val="24"/>
                <w:szCs w:val="24"/>
                <w:lang w:val="uk-UA" w:eastAsia="uk-UA"/>
              </w:rPr>
              <w:t xml:space="preserve"> </w:t>
            </w:r>
            <w:r w:rsidRPr="00AC0D49">
              <w:rPr>
                <w:rFonts w:ascii="Times New Roman" w:eastAsia="Times New Roman" w:hAnsi="Times New Roman" w:cs="Times New Roman"/>
                <w:color w:val="000000" w:themeColor="text1"/>
                <w:sz w:val="24"/>
                <w:szCs w:val="24"/>
                <w:lang w:val="uk-UA" w:eastAsia="uk-UA"/>
              </w:rPr>
              <w:t>т</w:t>
            </w:r>
            <w:r w:rsidR="0073546C" w:rsidRPr="00AC0D49">
              <w:rPr>
                <w:rFonts w:ascii="Times New Roman" w:eastAsia="Times New Roman" w:hAnsi="Times New Roman" w:cs="Times New Roman"/>
                <w:color w:val="000000" w:themeColor="text1"/>
                <w:sz w:val="24"/>
                <w:szCs w:val="24"/>
                <w:lang w:val="uk-UA" w:eastAsia="uk-UA"/>
              </w:rPr>
              <w:t>он</w:t>
            </w:r>
          </w:p>
        </w:tc>
        <w:tc>
          <w:tcPr>
            <w:tcW w:w="2214" w:type="pct"/>
          </w:tcPr>
          <w:p w:rsidR="00543F1C" w:rsidRPr="00AC0D49" w:rsidRDefault="00543F1C" w:rsidP="00543F1C">
            <w:pPr>
              <w:spacing w:after="0" w:line="400" w:lineRule="exact"/>
              <w:jc w:val="right"/>
              <w:rPr>
                <w:rFonts w:ascii="Times New Roman" w:eastAsia="Times New Roman" w:hAnsi="Times New Roman" w:cs="Times New Roman"/>
                <w:color w:val="000000" w:themeColor="text1"/>
                <w:sz w:val="24"/>
                <w:szCs w:val="24"/>
                <w:lang w:val="uk-UA" w:eastAsia="uk-UA"/>
              </w:rPr>
            </w:pPr>
            <w:r w:rsidRPr="00AC0D49">
              <w:rPr>
                <w:rFonts w:ascii="Times New Roman" w:eastAsia="Times New Roman" w:hAnsi="Times New Roman" w:cs="Times New Roman"/>
                <w:color w:val="000000" w:themeColor="text1"/>
                <w:sz w:val="24"/>
                <w:szCs w:val="24"/>
                <w:lang w:val="uk-UA" w:eastAsia="uk-UA"/>
              </w:rPr>
              <w:t>323,3</w:t>
            </w:r>
          </w:p>
        </w:tc>
      </w:tr>
      <w:tr w:rsidR="00543F1C" w:rsidRPr="00AC0D49" w:rsidTr="00A06467">
        <w:trPr>
          <w:trHeight w:val="190"/>
        </w:trPr>
        <w:tc>
          <w:tcPr>
            <w:tcW w:w="2786" w:type="pct"/>
            <w:shd w:val="clear" w:color="auto" w:fill="auto"/>
            <w:vAlign w:val="bottom"/>
            <w:hideMark/>
          </w:tcPr>
          <w:p w:rsidR="00543F1C" w:rsidRPr="00AC0D49" w:rsidRDefault="00543F1C" w:rsidP="00543F1C">
            <w:pPr>
              <w:spacing w:after="0" w:line="400" w:lineRule="exact"/>
              <w:rPr>
                <w:rFonts w:ascii="Times New Roman" w:eastAsia="Times New Roman" w:hAnsi="Times New Roman" w:cs="Times New Roman"/>
                <w:color w:val="000000" w:themeColor="text1"/>
                <w:sz w:val="24"/>
                <w:szCs w:val="24"/>
                <w:lang w:val="uk-UA" w:eastAsia="uk-UA"/>
              </w:rPr>
            </w:pPr>
            <w:r w:rsidRPr="00AC0D49">
              <w:rPr>
                <w:rFonts w:ascii="Times New Roman" w:eastAsia="Times New Roman" w:hAnsi="Times New Roman" w:cs="Times New Roman"/>
                <w:color w:val="000000" w:themeColor="text1"/>
                <w:sz w:val="24"/>
                <w:szCs w:val="24"/>
                <w:lang w:val="uk-UA" w:eastAsia="uk-UA"/>
              </w:rPr>
              <w:t>Вантажообіг, тис.</w:t>
            </w:r>
            <w:r w:rsidR="0073546C" w:rsidRPr="00AC0D49">
              <w:rPr>
                <w:rFonts w:ascii="Times New Roman" w:eastAsia="Times New Roman" w:hAnsi="Times New Roman" w:cs="Times New Roman"/>
                <w:color w:val="000000" w:themeColor="text1"/>
                <w:sz w:val="24"/>
                <w:szCs w:val="24"/>
                <w:lang w:val="uk-UA" w:eastAsia="uk-UA"/>
              </w:rPr>
              <w:t xml:space="preserve"> </w:t>
            </w:r>
            <w:proofErr w:type="spellStart"/>
            <w:r w:rsidRPr="00AC0D49">
              <w:rPr>
                <w:rFonts w:ascii="Times New Roman" w:eastAsia="Times New Roman" w:hAnsi="Times New Roman" w:cs="Times New Roman"/>
                <w:color w:val="000000" w:themeColor="text1"/>
                <w:sz w:val="24"/>
                <w:szCs w:val="24"/>
                <w:lang w:val="uk-UA" w:eastAsia="uk-UA"/>
              </w:rPr>
              <w:t>ткм</w:t>
            </w:r>
            <w:proofErr w:type="spellEnd"/>
          </w:p>
        </w:tc>
        <w:tc>
          <w:tcPr>
            <w:tcW w:w="2214" w:type="pct"/>
          </w:tcPr>
          <w:p w:rsidR="00543F1C" w:rsidRPr="00AC0D49" w:rsidRDefault="00543F1C" w:rsidP="00543F1C">
            <w:pPr>
              <w:spacing w:after="0" w:line="400" w:lineRule="exact"/>
              <w:jc w:val="right"/>
              <w:rPr>
                <w:rFonts w:ascii="Times New Roman" w:eastAsia="Times New Roman" w:hAnsi="Times New Roman" w:cs="Times New Roman"/>
                <w:color w:val="000000" w:themeColor="text1"/>
                <w:sz w:val="24"/>
                <w:szCs w:val="24"/>
                <w:lang w:val="uk-UA" w:eastAsia="uk-UA"/>
              </w:rPr>
            </w:pPr>
            <w:r w:rsidRPr="00AC0D49">
              <w:rPr>
                <w:rFonts w:ascii="Times New Roman" w:eastAsia="Times New Roman" w:hAnsi="Times New Roman" w:cs="Times New Roman"/>
                <w:color w:val="000000" w:themeColor="text1"/>
                <w:sz w:val="24"/>
                <w:szCs w:val="24"/>
                <w:lang w:val="uk-UA" w:eastAsia="uk-UA"/>
              </w:rPr>
              <w:t>11</w:t>
            </w:r>
            <w:r w:rsidR="004617D2" w:rsidRPr="00AC0D49">
              <w:rPr>
                <w:rFonts w:ascii="Times New Roman" w:eastAsia="Times New Roman" w:hAnsi="Times New Roman" w:cs="Times New Roman"/>
                <w:color w:val="000000" w:themeColor="text1"/>
                <w:sz w:val="24"/>
                <w:szCs w:val="24"/>
                <w:lang w:val="uk-UA" w:eastAsia="uk-UA"/>
              </w:rPr>
              <w:t xml:space="preserve"> </w:t>
            </w:r>
            <w:r w:rsidRPr="00AC0D49">
              <w:rPr>
                <w:rFonts w:ascii="Times New Roman" w:eastAsia="Times New Roman" w:hAnsi="Times New Roman" w:cs="Times New Roman"/>
                <w:color w:val="000000" w:themeColor="text1"/>
                <w:sz w:val="24"/>
                <w:szCs w:val="24"/>
                <w:lang w:val="uk-UA" w:eastAsia="uk-UA"/>
              </w:rPr>
              <w:t>700,5</w:t>
            </w:r>
          </w:p>
        </w:tc>
      </w:tr>
    </w:tbl>
    <w:p w:rsidR="00543F1C" w:rsidRPr="00AC0D49" w:rsidRDefault="00543F1C" w:rsidP="0073546C">
      <w:pPr>
        <w:spacing w:after="0" w:line="240" w:lineRule="auto"/>
        <w:jc w:val="both"/>
        <w:rPr>
          <w:rFonts w:ascii="Times New Roman" w:eastAsia="Times New Roman" w:hAnsi="Times New Roman" w:cs="Times New Roman"/>
          <w:b/>
          <w:color w:val="000000" w:themeColor="text1"/>
          <w:sz w:val="24"/>
          <w:szCs w:val="24"/>
          <w:lang w:val="uk-UA" w:eastAsia="ru-RU"/>
        </w:rPr>
      </w:pPr>
    </w:p>
    <w:p w:rsidR="00543F1C" w:rsidRPr="00AC0D49" w:rsidRDefault="00543F1C" w:rsidP="00543F1C">
      <w:pPr>
        <w:spacing w:after="0" w:line="240" w:lineRule="auto"/>
        <w:ind w:firstLine="567"/>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
          <w:color w:val="000000" w:themeColor="text1"/>
          <w:sz w:val="24"/>
          <w:szCs w:val="24"/>
          <w:lang w:val="uk-UA" w:eastAsia="ru-RU"/>
        </w:rPr>
        <w:t>Капітальні інвестиції</w:t>
      </w:r>
    </w:p>
    <w:p w:rsidR="00543F1C" w:rsidRPr="00AC0D49" w:rsidRDefault="00543F1C" w:rsidP="00543F1C">
      <w:pPr>
        <w:spacing w:after="0" w:line="240" w:lineRule="auto"/>
        <w:ind w:firstLine="567"/>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За січень–червень  2023р. підприємствами та організаціями територіальної громади за рахунок усіх джерел фінансування освоєно 241,97 млн.</w:t>
      </w:r>
      <w:r w:rsidR="0073546C" w:rsidRPr="00AC0D49">
        <w:rPr>
          <w:rFonts w:ascii="Times New Roman" w:eastAsia="Times New Roman" w:hAnsi="Times New Roman" w:cs="Times New Roman"/>
          <w:bCs/>
          <w:color w:val="000000" w:themeColor="text1"/>
          <w:sz w:val="24"/>
          <w:szCs w:val="24"/>
          <w:lang w:val="uk-UA" w:eastAsia="ru-RU"/>
        </w:rPr>
        <w:t xml:space="preserve"> </w:t>
      </w:r>
      <w:r w:rsidRPr="00AC0D49">
        <w:rPr>
          <w:rFonts w:ascii="Times New Roman" w:eastAsia="Times New Roman" w:hAnsi="Times New Roman" w:cs="Times New Roman"/>
          <w:bCs/>
          <w:color w:val="000000" w:themeColor="text1"/>
          <w:sz w:val="24"/>
          <w:szCs w:val="24"/>
          <w:lang w:val="uk-UA" w:eastAsia="ru-RU"/>
        </w:rPr>
        <w:t>грн капітальних інвестицій.</w:t>
      </w:r>
    </w:p>
    <w:p w:rsidR="00543F1C" w:rsidRPr="00AC0D49" w:rsidRDefault="00543F1C" w:rsidP="00543F1C">
      <w:pPr>
        <w:spacing w:after="0" w:line="240" w:lineRule="auto"/>
        <w:ind w:firstLine="567"/>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 xml:space="preserve">Найвагомішу частку капітальних інвестицій (91,5% загального обсягу) спрямовано у матеріальні активи, у тому числі у житлові та  нежитлові будівлі – 33,6% усіх інвестицій та 25,7% – в інженерні споруди. Інвестиції у придбання машин, обладнання, інвентарю та транспортних засобів 36,3 % загального обсягу капітальних інвестицій,  придбання та </w:t>
      </w:r>
      <w:r w:rsidRPr="00AC0D49">
        <w:rPr>
          <w:rFonts w:ascii="Times New Roman" w:eastAsia="Times New Roman" w:hAnsi="Times New Roman" w:cs="Times New Roman"/>
          <w:bCs/>
          <w:color w:val="000000" w:themeColor="text1"/>
          <w:sz w:val="24"/>
          <w:szCs w:val="24"/>
          <w:lang w:val="uk-UA" w:eastAsia="ru-RU"/>
        </w:rPr>
        <w:lastRenderedPageBreak/>
        <w:t>створення інших матеріальних активів – 5,9%. У нематеріальні активи вкладено 8,5% загального обсягу капітальних інвестицій.</w:t>
      </w:r>
    </w:p>
    <w:p w:rsidR="00543F1C" w:rsidRPr="00AC0D49" w:rsidRDefault="00543F1C" w:rsidP="00543F1C">
      <w:pPr>
        <w:spacing w:after="0" w:line="240" w:lineRule="auto"/>
        <w:ind w:firstLine="567"/>
        <w:jc w:val="both"/>
        <w:rPr>
          <w:rFonts w:ascii="Times New Roman" w:eastAsia="Times New Roman" w:hAnsi="Times New Roman" w:cs="Times New Roman"/>
          <w:bCs/>
          <w:color w:val="000000" w:themeColor="text1"/>
          <w:sz w:val="24"/>
          <w:szCs w:val="24"/>
          <w:lang w:val="uk-UA" w:eastAsia="ru-RU"/>
        </w:rPr>
      </w:pPr>
      <w:r w:rsidRPr="00AC0D49">
        <w:rPr>
          <w:rFonts w:ascii="Times New Roman" w:eastAsia="Times New Roman" w:hAnsi="Times New Roman" w:cs="Times New Roman"/>
          <w:bCs/>
          <w:color w:val="000000" w:themeColor="text1"/>
          <w:sz w:val="24"/>
          <w:szCs w:val="24"/>
          <w:lang w:val="uk-UA" w:eastAsia="ru-RU"/>
        </w:rPr>
        <w:t xml:space="preserve">Головним джерелом фінансування капітальних інвестицій, як і раніше, залишаються власні кошти підприємств та організацій, за рахунок яких освоєно 85,5% усіх коштів. За рахунок державного та місцевих бюджетів освоєно 0,5% усіх вкладень. </w:t>
      </w:r>
    </w:p>
    <w:p w:rsidR="00543F1C" w:rsidRPr="00AC0D49" w:rsidRDefault="00543F1C" w:rsidP="00B70A02">
      <w:pPr>
        <w:spacing w:after="0" w:line="240" w:lineRule="auto"/>
        <w:ind w:firstLine="567"/>
        <w:jc w:val="both"/>
        <w:rPr>
          <w:rFonts w:ascii="Times New Roman" w:hAnsi="Times New Roman" w:cs="Times New Roman"/>
          <w:b/>
          <w:color w:val="000000" w:themeColor="text1"/>
          <w:sz w:val="24"/>
          <w:szCs w:val="24"/>
          <w:lang w:val="uk-UA"/>
        </w:rPr>
      </w:pPr>
      <w:r w:rsidRPr="00AC0D49">
        <w:rPr>
          <w:rFonts w:ascii="Times New Roman" w:eastAsia="Times New Roman" w:hAnsi="Times New Roman" w:cs="Times New Roman"/>
          <w:bCs/>
          <w:color w:val="000000" w:themeColor="text1"/>
          <w:sz w:val="24"/>
          <w:szCs w:val="24"/>
          <w:lang w:val="uk-UA" w:eastAsia="ru-RU"/>
        </w:rPr>
        <w:t xml:space="preserve"> </w:t>
      </w:r>
      <w:r w:rsidRPr="00AC0D49">
        <w:rPr>
          <w:rFonts w:ascii="Times New Roman" w:eastAsia="Times New Roman" w:hAnsi="Times New Roman" w:cs="Times New Roman"/>
          <w:b/>
          <w:bCs/>
          <w:color w:val="000000" w:themeColor="text1"/>
          <w:sz w:val="24"/>
          <w:szCs w:val="24"/>
          <w:lang w:val="uk-UA" w:eastAsia="uk-UA"/>
        </w:rPr>
        <w:t>Очікуваний показник капітальних інвестицій за 2023 рік – 483,9 млн грн. Прогноз на 2024 рік – 517,8 млн грн.</w:t>
      </w:r>
    </w:p>
    <w:p w:rsidR="00B70A02" w:rsidRDefault="00B70A02" w:rsidP="00B70A02">
      <w:pPr>
        <w:spacing w:after="0" w:line="240" w:lineRule="auto"/>
        <w:ind w:firstLine="567"/>
        <w:contextualSpacing/>
        <w:jc w:val="both"/>
        <w:rPr>
          <w:rFonts w:ascii="Times New Roman" w:hAnsi="Times New Roman" w:cs="Times New Roman"/>
          <w:b/>
          <w:color w:val="000000" w:themeColor="text1"/>
          <w:sz w:val="24"/>
          <w:szCs w:val="24"/>
          <w:lang w:val="uk-UA"/>
        </w:rPr>
      </w:pPr>
    </w:p>
    <w:p w:rsidR="00143C1C" w:rsidRPr="00AC0D49" w:rsidRDefault="00143C1C" w:rsidP="00143C1C">
      <w:pPr>
        <w:tabs>
          <w:tab w:val="left" w:pos="3540"/>
        </w:tabs>
        <w:spacing w:after="0" w:line="280" w:lineRule="exact"/>
        <w:jc w:val="both"/>
        <w:outlineLvl w:val="0"/>
        <w:rPr>
          <w:rFonts w:ascii="Times New Roman" w:eastAsia="Calibri" w:hAnsi="Times New Roman" w:cs="Times New Roman"/>
          <w:b/>
          <w:bCs/>
          <w:color w:val="000000" w:themeColor="text1"/>
          <w:kern w:val="28"/>
          <w:sz w:val="24"/>
          <w:szCs w:val="24"/>
          <w:lang w:val="uk-UA" w:eastAsia="ru-RU"/>
        </w:rPr>
      </w:pPr>
      <w:r w:rsidRPr="00AC0D49">
        <w:rPr>
          <w:rFonts w:ascii="Times New Roman" w:eastAsia="Calibri" w:hAnsi="Times New Roman" w:cs="Times New Roman"/>
          <w:b/>
          <w:bCs/>
          <w:color w:val="000000" w:themeColor="text1"/>
          <w:kern w:val="28"/>
          <w:sz w:val="24"/>
          <w:szCs w:val="24"/>
          <w:lang w:val="uk-UA" w:eastAsia="ru-RU"/>
        </w:rPr>
        <w:t xml:space="preserve">        Будівництво</w:t>
      </w:r>
    </w:p>
    <w:p w:rsidR="00143C1C" w:rsidRPr="00AC0D49" w:rsidRDefault="00143C1C" w:rsidP="00143C1C">
      <w:pPr>
        <w:tabs>
          <w:tab w:val="left" w:pos="5280"/>
          <w:tab w:val="left" w:pos="5385"/>
        </w:tabs>
        <w:spacing w:after="0" w:line="280" w:lineRule="exact"/>
        <w:ind w:firstLine="567"/>
        <w:jc w:val="both"/>
        <w:outlineLvl w:val="0"/>
        <w:rPr>
          <w:rFonts w:ascii="Times New Roman" w:eastAsia="Calibri" w:hAnsi="Times New Roman" w:cs="Times New Roman"/>
          <w:color w:val="000000" w:themeColor="text1"/>
          <w:kern w:val="28"/>
          <w:sz w:val="24"/>
          <w:szCs w:val="24"/>
          <w:lang w:val="uk-UA" w:eastAsia="ru-RU"/>
        </w:rPr>
      </w:pPr>
      <w:r w:rsidRPr="00AC0D49">
        <w:rPr>
          <w:rFonts w:ascii="Times New Roman" w:eastAsia="Calibri" w:hAnsi="Times New Roman" w:cs="Times New Roman"/>
          <w:color w:val="000000" w:themeColor="text1"/>
          <w:kern w:val="28"/>
          <w:sz w:val="24"/>
          <w:szCs w:val="24"/>
          <w:lang w:val="uk-UA" w:eastAsia="ru-RU"/>
        </w:rPr>
        <w:t xml:space="preserve">За січень – липень  2023 року підприємствами територіальної громади, що працювали за будівельними контрактами, виконано будівельних робіт  на 9,74 млн гривень.  </w:t>
      </w:r>
    </w:p>
    <w:p w:rsidR="00143C1C" w:rsidRPr="00AC0D49" w:rsidRDefault="00143C1C" w:rsidP="00143C1C">
      <w:pPr>
        <w:tabs>
          <w:tab w:val="left" w:pos="5280"/>
          <w:tab w:val="left" w:pos="5385"/>
        </w:tabs>
        <w:spacing w:after="0" w:line="280" w:lineRule="exact"/>
        <w:ind w:firstLine="567"/>
        <w:jc w:val="both"/>
        <w:outlineLvl w:val="0"/>
        <w:rPr>
          <w:rFonts w:ascii="Times New Roman" w:eastAsia="Calibri" w:hAnsi="Times New Roman" w:cs="Times New Roman"/>
          <w:color w:val="000000" w:themeColor="text1"/>
          <w:kern w:val="28"/>
          <w:sz w:val="24"/>
          <w:szCs w:val="24"/>
          <w:lang w:val="uk-UA" w:eastAsia="ru-RU"/>
        </w:rPr>
      </w:pPr>
      <w:r w:rsidRPr="00AC0D49">
        <w:rPr>
          <w:rFonts w:ascii="Times New Roman" w:eastAsia="Calibri" w:hAnsi="Times New Roman" w:cs="Times New Roman"/>
          <w:color w:val="000000" w:themeColor="text1"/>
          <w:kern w:val="28"/>
          <w:sz w:val="24"/>
          <w:szCs w:val="24"/>
          <w:lang w:val="uk-UA" w:eastAsia="ru-RU"/>
        </w:rPr>
        <w:t xml:space="preserve"> За видами будівельних робіт  обсяги будівництва розподілились таким чином: на будівництві будівель виконано робіт на 2,47 млн.</w:t>
      </w:r>
      <w:r w:rsidR="003B788F" w:rsidRPr="00AC0D49">
        <w:rPr>
          <w:rFonts w:ascii="Times New Roman" w:eastAsia="Calibri" w:hAnsi="Times New Roman" w:cs="Times New Roman"/>
          <w:color w:val="000000" w:themeColor="text1"/>
          <w:kern w:val="28"/>
          <w:sz w:val="24"/>
          <w:szCs w:val="24"/>
          <w:lang w:val="uk-UA" w:eastAsia="ru-RU"/>
        </w:rPr>
        <w:t xml:space="preserve"> </w:t>
      </w:r>
      <w:r w:rsidRPr="00AC0D49">
        <w:rPr>
          <w:rFonts w:ascii="Times New Roman" w:eastAsia="Calibri" w:hAnsi="Times New Roman" w:cs="Times New Roman"/>
          <w:color w:val="000000" w:themeColor="text1"/>
          <w:kern w:val="28"/>
          <w:sz w:val="24"/>
          <w:szCs w:val="24"/>
          <w:lang w:val="uk-UA" w:eastAsia="ru-RU"/>
        </w:rPr>
        <w:t>гр</w:t>
      </w:r>
      <w:r w:rsidR="003B788F" w:rsidRPr="00AC0D49">
        <w:rPr>
          <w:rFonts w:ascii="Times New Roman" w:eastAsia="Calibri" w:hAnsi="Times New Roman" w:cs="Times New Roman"/>
          <w:color w:val="000000" w:themeColor="text1"/>
          <w:kern w:val="28"/>
          <w:sz w:val="24"/>
          <w:szCs w:val="24"/>
          <w:lang w:val="uk-UA" w:eastAsia="ru-RU"/>
        </w:rPr>
        <w:t>ивень</w:t>
      </w:r>
      <w:r w:rsidRPr="00AC0D49">
        <w:rPr>
          <w:rFonts w:ascii="Times New Roman" w:eastAsia="Calibri" w:hAnsi="Times New Roman" w:cs="Times New Roman"/>
          <w:color w:val="000000" w:themeColor="text1"/>
          <w:kern w:val="28"/>
          <w:sz w:val="24"/>
          <w:szCs w:val="24"/>
          <w:lang w:val="uk-UA" w:eastAsia="ru-RU"/>
        </w:rPr>
        <w:t>, частка яких у загальному обсязі будівництва по громаді становила 25,4 %; на будівництві інженерних споруд виконано робіт на 7,27 млн.</w:t>
      </w:r>
      <w:r w:rsidR="003B788F" w:rsidRPr="00AC0D49">
        <w:rPr>
          <w:rFonts w:ascii="Times New Roman" w:eastAsia="Calibri" w:hAnsi="Times New Roman" w:cs="Times New Roman"/>
          <w:color w:val="000000" w:themeColor="text1"/>
          <w:kern w:val="28"/>
          <w:sz w:val="24"/>
          <w:szCs w:val="24"/>
          <w:lang w:val="uk-UA" w:eastAsia="ru-RU"/>
        </w:rPr>
        <w:t xml:space="preserve"> </w:t>
      </w:r>
      <w:r w:rsidRPr="00AC0D49">
        <w:rPr>
          <w:rFonts w:ascii="Times New Roman" w:eastAsia="Calibri" w:hAnsi="Times New Roman" w:cs="Times New Roman"/>
          <w:color w:val="000000" w:themeColor="text1"/>
          <w:kern w:val="28"/>
          <w:sz w:val="24"/>
          <w:szCs w:val="24"/>
          <w:lang w:val="uk-UA" w:eastAsia="ru-RU"/>
        </w:rPr>
        <w:t>гр</w:t>
      </w:r>
      <w:r w:rsidR="003B788F" w:rsidRPr="00AC0D49">
        <w:rPr>
          <w:rFonts w:ascii="Times New Roman" w:eastAsia="Calibri" w:hAnsi="Times New Roman" w:cs="Times New Roman"/>
          <w:color w:val="000000" w:themeColor="text1"/>
          <w:kern w:val="28"/>
          <w:sz w:val="24"/>
          <w:szCs w:val="24"/>
          <w:lang w:val="uk-UA" w:eastAsia="ru-RU"/>
        </w:rPr>
        <w:t>ивень</w:t>
      </w:r>
      <w:r w:rsidRPr="00AC0D49">
        <w:rPr>
          <w:rFonts w:ascii="Times New Roman" w:eastAsia="Calibri" w:hAnsi="Times New Roman" w:cs="Times New Roman"/>
          <w:color w:val="000000" w:themeColor="text1"/>
          <w:kern w:val="28"/>
          <w:sz w:val="24"/>
          <w:szCs w:val="24"/>
          <w:lang w:val="uk-UA" w:eastAsia="ru-RU"/>
        </w:rPr>
        <w:t>, їх частка у загальному обсязі становила 74,6%.</w:t>
      </w:r>
    </w:p>
    <w:p w:rsidR="00EE3EDA" w:rsidRPr="00AC0D49" w:rsidRDefault="003B788F" w:rsidP="00AC0D49">
      <w:pPr>
        <w:tabs>
          <w:tab w:val="left" w:pos="5280"/>
          <w:tab w:val="left" w:pos="5385"/>
        </w:tabs>
        <w:spacing w:after="0" w:line="280" w:lineRule="exact"/>
        <w:ind w:firstLine="567"/>
        <w:jc w:val="both"/>
        <w:outlineLvl w:val="0"/>
        <w:rPr>
          <w:rFonts w:ascii="Times New Roman" w:eastAsia="Calibri" w:hAnsi="Times New Roman" w:cs="Times New Roman"/>
          <w:color w:val="000000" w:themeColor="text1"/>
          <w:kern w:val="28"/>
          <w:sz w:val="24"/>
          <w:szCs w:val="24"/>
          <w:lang w:val="uk-UA" w:eastAsia="ru-RU"/>
        </w:rPr>
      </w:pPr>
      <w:r w:rsidRPr="00AC0D49">
        <w:rPr>
          <w:rFonts w:ascii="Times New Roman" w:eastAsia="Calibri" w:hAnsi="Times New Roman" w:cs="Times New Roman"/>
          <w:color w:val="000000" w:themeColor="text1"/>
          <w:kern w:val="28"/>
          <w:sz w:val="24"/>
          <w:szCs w:val="24"/>
          <w:lang w:val="uk-UA" w:eastAsia="ru-RU"/>
        </w:rPr>
        <w:t xml:space="preserve">За січень–червень </w:t>
      </w:r>
      <w:r w:rsidR="00143C1C" w:rsidRPr="00AC0D49">
        <w:rPr>
          <w:rFonts w:ascii="Times New Roman" w:eastAsia="Calibri" w:hAnsi="Times New Roman" w:cs="Times New Roman"/>
          <w:color w:val="000000" w:themeColor="text1"/>
          <w:kern w:val="28"/>
          <w:sz w:val="24"/>
          <w:szCs w:val="24"/>
          <w:lang w:val="uk-UA" w:eastAsia="ru-RU"/>
        </w:rPr>
        <w:t>2023 року на території Чорноморської міської територіальної громади прийнято в експлуатацію 1291 м2 житла, що на 80,8 %  більше аналогічного показника минулого року. Все житло було прийнято в експлуатацію в одноквартирних будинках.</w:t>
      </w:r>
    </w:p>
    <w:p w:rsidR="00AC0D49" w:rsidRDefault="00AC0D49" w:rsidP="00AC0D49">
      <w:pPr>
        <w:tabs>
          <w:tab w:val="left" w:pos="5280"/>
          <w:tab w:val="left" w:pos="5385"/>
        </w:tabs>
        <w:spacing w:after="0" w:line="280" w:lineRule="exact"/>
        <w:ind w:firstLine="567"/>
        <w:jc w:val="both"/>
        <w:outlineLvl w:val="0"/>
        <w:rPr>
          <w:rFonts w:ascii="Times New Roman" w:eastAsia="Calibri" w:hAnsi="Times New Roman" w:cs="Times New Roman"/>
          <w:color w:val="002060"/>
          <w:kern w:val="28"/>
          <w:sz w:val="24"/>
          <w:szCs w:val="24"/>
          <w:lang w:val="uk-UA" w:eastAsia="ru-RU"/>
        </w:rPr>
      </w:pPr>
    </w:p>
    <w:p w:rsidR="00B150F3" w:rsidRPr="00B150F3" w:rsidRDefault="00B150F3" w:rsidP="00B150F3">
      <w:pPr>
        <w:widowControl w:val="0"/>
        <w:tabs>
          <w:tab w:val="left" w:pos="709"/>
          <w:tab w:val="left" w:pos="1276"/>
        </w:tabs>
        <w:autoSpaceDE w:val="0"/>
        <w:autoSpaceDN w:val="0"/>
        <w:adjustRightInd w:val="0"/>
        <w:spacing w:after="0" w:line="240" w:lineRule="auto"/>
        <w:ind w:firstLine="360"/>
        <w:jc w:val="center"/>
        <w:rPr>
          <w:rFonts w:ascii="Times New Roman" w:eastAsia="Times New Roman" w:hAnsi="Times New Roman" w:cs="Times New Roman"/>
          <w:b/>
          <w:bCs/>
          <w:color w:val="000000"/>
          <w:sz w:val="24"/>
          <w:szCs w:val="24"/>
          <w:lang w:val="uk-UA" w:eastAsia="ru-RU"/>
        </w:rPr>
      </w:pPr>
      <w:r w:rsidRPr="00B150F3">
        <w:rPr>
          <w:rFonts w:ascii="Times New Roman" w:eastAsia="Times New Roman" w:hAnsi="Times New Roman" w:cs="Times New Roman"/>
          <w:b/>
          <w:bCs/>
          <w:color w:val="000000"/>
          <w:sz w:val="24"/>
          <w:szCs w:val="24"/>
          <w:lang w:val="uk-UA" w:eastAsia="ru-RU"/>
        </w:rPr>
        <w:t xml:space="preserve">Інформація щодо питомої ваги бюджетоутворюючих підприємств в  надходженнях до загального фонду бюджету Чорноморської міської територіальної громади                                      за </w:t>
      </w:r>
      <w:r w:rsidRPr="00B150F3">
        <w:rPr>
          <w:rFonts w:ascii="Times New Roman" w:eastAsia="Times New Roman" w:hAnsi="Times New Roman" w:cs="Times New Roman"/>
          <w:b/>
          <w:sz w:val="24"/>
          <w:szCs w:val="24"/>
          <w:lang w:val="uk-UA" w:eastAsia="ru-RU"/>
        </w:rPr>
        <w:t>9 місяців 2023</w:t>
      </w:r>
      <w:r w:rsidRPr="00B150F3">
        <w:rPr>
          <w:rFonts w:ascii="Times New Roman" w:eastAsia="Times New Roman" w:hAnsi="Times New Roman" w:cs="Times New Roman"/>
          <w:sz w:val="24"/>
          <w:szCs w:val="24"/>
          <w:lang w:val="uk-UA" w:eastAsia="ru-RU"/>
        </w:rPr>
        <w:t xml:space="preserve">  </w:t>
      </w:r>
      <w:r w:rsidRPr="00B150F3">
        <w:rPr>
          <w:rFonts w:ascii="Times New Roman" w:eastAsia="Times New Roman" w:hAnsi="Times New Roman" w:cs="Times New Roman"/>
          <w:b/>
          <w:bCs/>
          <w:color w:val="000000"/>
          <w:sz w:val="24"/>
          <w:szCs w:val="24"/>
          <w:lang w:val="uk-UA" w:eastAsia="ru-RU"/>
        </w:rPr>
        <w:t>року</w:t>
      </w:r>
    </w:p>
    <w:p w:rsidR="00B150F3" w:rsidRPr="00B150F3" w:rsidRDefault="00B150F3" w:rsidP="00B150F3">
      <w:pPr>
        <w:widowControl w:val="0"/>
        <w:tabs>
          <w:tab w:val="left" w:pos="709"/>
          <w:tab w:val="left" w:pos="1276"/>
        </w:tabs>
        <w:autoSpaceDE w:val="0"/>
        <w:autoSpaceDN w:val="0"/>
        <w:adjustRightInd w:val="0"/>
        <w:spacing w:after="0" w:line="240" w:lineRule="auto"/>
        <w:ind w:firstLine="360"/>
        <w:jc w:val="center"/>
        <w:rPr>
          <w:rFonts w:ascii="Times New Roman" w:eastAsia="Times New Roman" w:hAnsi="Times New Roman" w:cs="Times New Roman"/>
          <w:b/>
          <w:bCs/>
          <w:color w:val="000000"/>
          <w:sz w:val="24"/>
          <w:szCs w:val="24"/>
          <w:highlight w:val="yellow"/>
          <w:lang w:val="uk-UA" w:eastAsia="ru-RU"/>
        </w:rPr>
      </w:pPr>
    </w:p>
    <w:tbl>
      <w:tblPr>
        <w:tblW w:w="960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2"/>
        <w:gridCol w:w="2268"/>
        <w:gridCol w:w="1701"/>
      </w:tblGrid>
      <w:tr w:rsidR="00B150F3" w:rsidRPr="00B150F3" w:rsidTr="004718D3">
        <w:tc>
          <w:tcPr>
            <w:tcW w:w="5632" w:type="dxa"/>
            <w:vAlign w:val="center"/>
          </w:tcPr>
          <w:p w:rsidR="00B150F3" w:rsidRPr="00B150F3" w:rsidRDefault="00B150F3" w:rsidP="00B150F3">
            <w:pPr>
              <w:spacing w:after="0" w:line="240" w:lineRule="auto"/>
              <w:ind w:firstLine="360"/>
              <w:jc w:val="center"/>
              <w:rPr>
                <w:rFonts w:ascii="Times New Roman" w:eastAsia="SimSun" w:hAnsi="Times New Roman" w:cs="Times New Roman"/>
                <w:b/>
                <w:bCs/>
                <w:sz w:val="20"/>
                <w:szCs w:val="20"/>
                <w:lang w:val="uk-UA" w:eastAsia="ru-RU"/>
              </w:rPr>
            </w:pPr>
            <w:r w:rsidRPr="00B150F3">
              <w:rPr>
                <w:rFonts w:ascii="Times New Roman" w:eastAsia="SimSun" w:hAnsi="Times New Roman" w:cs="Times New Roman"/>
                <w:b/>
                <w:bCs/>
                <w:sz w:val="20"/>
                <w:szCs w:val="20"/>
                <w:lang w:val="uk-UA" w:eastAsia="ru-RU"/>
              </w:rPr>
              <w:t>Назва платника</w:t>
            </w:r>
          </w:p>
        </w:tc>
        <w:tc>
          <w:tcPr>
            <w:tcW w:w="2268" w:type="dxa"/>
            <w:vAlign w:val="center"/>
          </w:tcPr>
          <w:p w:rsidR="00B150F3" w:rsidRPr="00B150F3" w:rsidRDefault="00B150F3" w:rsidP="00B150F3">
            <w:pPr>
              <w:spacing w:after="0" w:line="240" w:lineRule="auto"/>
              <w:jc w:val="center"/>
              <w:rPr>
                <w:rFonts w:ascii="Times New Roman" w:eastAsia="SimSun" w:hAnsi="Times New Roman" w:cs="Times New Roman"/>
                <w:b/>
                <w:bCs/>
                <w:sz w:val="20"/>
                <w:szCs w:val="20"/>
                <w:lang w:val="uk-UA" w:eastAsia="ru-RU"/>
              </w:rPr>
            </w:pPr>
            <w:r w:rsidRPr="00B150F3">
              <w:rPr>
                <w:rFonts w:ascii="Times New Roman" w:eastAsia="SimSun" w:hAnsi="Times New Roman" w:cs="Times New Roman"/>
                <w:b/>
                <w:bCs/>
                <w:sz w:val="20"/>
                <w:szCs w:val="20"/>
                <w:lang w:val="uk-UA" w:eastAsia="ru-RU"/>
              </w:rPr>
              <w:t>Сума податків, сплачених платником до загального фонду, тис. грн</w:t>
            </w:r>
          </w:p>
        </w:tc>
        <w:tc>
          <w:tcPr>
            <w:tcW w:w="1701" w:type="dxa"/>
            <w:vAlign w:val="center"/>
          </w:tcPr>
          <w:p w:rsidR="00B150F3" w:rsidRPr="00B150F3" w:rsidRDefault="00B150F3" w:rsidP="00B150F3">
            <w:pPr>
              <w:spacing w:after="0" w:line="240" w:lineRule="auto"/>
              <w:jc w:val="center"/>
              <w:rPr>
                <w:rFonts w:ascii="Times New Roman" w:eastAsia="SimSun" w:hAnsi="Times New Roman" w:cs="Times New Roman"/>
                <w:b/>
                <w:bCs/>
                <w:sz w:val="20"/>
                <w:szCs w:val="20"/>
                <w:lang w:val="uk-UA" w:eastAsia="ru-RU"/>
              </w:rPr>
            </w:pPr>
            <w:r w:rsidRPr="00B150F3">
              <w:rPr>
                <w:rFonts w:ascii="Times New Roman" w:eastAsia="SimSun" w:hAnsi="Times New Roman" w:cs="Times New Roman"/>
                <w:b/>
                <w:bCs/>
                <w:sz w:val="20"/>
                <w:szCs w:val="20"/>
                <w:lang w:val="uk-UA" w:eastAsia="ru-RU"/>
              </w:rPr>
              <w:t>Питома вага  сплаченого платником в загальній сумі по громаді, %</w:t>
            </w:r>
          </w:p>
        </w:tc>
      </w:tr>
      <w:tr w:rsidR="00B150F3" w:rsidRPr="00B150F3" w:rsidTr="004718D3">
        <w:trPr>
          <w:trHeight w:val="299"/>
        </w:trPr>
        <w:tc>
          <w:tcPr>
            <w:tcW w:w="5632" w:type="dxa"/>
            <w:vAlign w:val="center"/>
          </w:tcPr>
          <w:p w:rsidR="00B150F3" w:rsidRPr="00B150F3" w:rsidRDefault="00B150F3" w:rsidP="00B150F3">
            <w:pPr>
              <w:spacing w:after="0" w:line="240" w:lineRule="auto"/>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ДП МТП "</w:t>
            </w:r>
            <w:proofErr w:type="spellStart"/>
            <w:r w:rsidRPr="00B150F3">
              <w:rPr>
                <w:rFonts w:ascii="Times New Roman" w:eastAsia="Times New Roman" w:hAnsi="Times New Roman" w:cs="Times New Roman"/>
                <w:lang w:val="uk-UA" w:eastAsia="ru-RU"/>
              </w:rPr>
              <w:t>Чорноморськ</w:t>
            </w:r>
            <w:proofErr w:type="spellEnd"/>
            <w:r w:rsidRPr="00B150F3">
              <w:rPr>
                <w:rFonts w:ascii="Times New Roman" w:eastAsia="Times New Roman" w:hAnsi="Times New Roman" w:cs="Times New Roman"/>
                <w:lang w:val="uk-UA" w:eastAsia="ru-RU"/>
              </w:rPr>
              <w:t>"</w:t>
            </w:r>
          </w:p>
        </w:tc>
        <w:tc>
          <w:tcPr>
            <w:tcW w:w="2268"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37 442,2</w:t>
            </w:r>
          </w:p>
        </w:tc>
        <w:tc>
          <w:tcPr>
            <w:tcW w:w="1701"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5,1</w:t>
            </w:r>
          </w:p>
        </w:tc>
      </w:tr>
      <w:tr w:rsidR="00B150F3" w:rsidRPr="00B150F3" w:rsidTr="004718D3">
        <w:trPr>
          <w:trHeight w:val="299"/>
        </w:trPr>
        <w:tc>
          <w:tcPr>
            <w:tcW w:w="5632" w:type="dxa"/>
            <w:vAlign w:val="center"/>
          </w:tcPr>
          <w:p w:rsidR="00B150F3" w:rsidRPr="00B150F3" w:rsidRDefault="00B150F3" w:rsidP="00B150F3">
            <w:pPr>
              <w:spacing w:after="0" w:line="240" w:lineRule="auto"/>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Чорноморська філія ДП АМПУ (Адміністрація морських портів України)</w:t>
            </w:r>
          </w:p>
        </w:tc>
        <w:tc>
          <w:tcPr>
            <w:tcW w:w="2268"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20 358,3</w:t>
            </w:r>
          </w:p>
        </w:tc>
        <w:tc>
          <w:tcPr>
            <w:tcW w:w="1701"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2,8</w:t>
            </w:r>
          </w:p>
        </w:tc>
      </w:tr>
      <w:tr w:rsidR="00B150F3" w:rsidRPr="00B150F3" w:rsidTr="004718D3">
        <w:trPr>
          <w:trHeight w:val="299"/>
        </w:trPr>
        <w:tc>
          <w:tcPr>
            <w:tcW w:w="5632" w:type="dxa"/>
            <w:vAlign w:val="center"/>
          </w:tcPr>
          <w:p w:rsidR="00B150F3" w:rsidRPr="00B150F3" w:rsidRDefault="00B150F3" w:rsidP="00B150F3">
            <w:pPr>
              <w:spacing w:after="0" w:line="240" w:lineRule="auto"/>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СП ТОВ "</w:t>
            </w:r>
            <w:proofErr w:type="spellStart"/>
            <w:r w:rsidRPr="00B150F3">
              <w:rPr>
                <w:rFonts w:ascii="Times New Roman" w:eastAsia="Times New Roman" w:hAnsi="Times New Roman" w:cs="Times New Roman"/>
                <w:lang w:val="uk-UA" w:eastAsia="ru-RU"/>
              </w:rPr>
              <w:t>Трансбалктермінал</w:t>
            </w:r>
            <w:proofErr w:type="spellEnd"/>
            <w:r w:rsidRPr="00B150F3">
              <w:rPr>
                <w:rFonts w:ascii="Times New Roman" w:eastAsia="Times New Roman" w:hAnsi="Times New Roman" w:cs="Times New Roman"/>
                <w:lang w:val="uk-UA" w:eastAsia="ru-RU"/>
              </w:rPr>
              <w:t>"</w:t>
            </w:r>
          </w:p>
        </w:tc>
        <w:tc>
          <w:tcPr>
            <w:tcW w:w="2268"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14 557,0</w:t>
            </w:r>
          </w:p>
        </w:tc>
        <w:tc>
          <w:tcPr>
            <w:tcW w:w="1701"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1,9</w:t>
            </w:r>
          </w:p>
        </w:tc>
      </w:tr>
      <w:tr w:rsidR="00B150F3" w:rsidRPr="00B150F3" w:rsidTr="004718D3">
        <w:trPr>
          <w:trHeight w:val="299"/>
        </w:trPr>
        <w:tc>
          <w:tcPr>
            <w:tcW w:w="5632" w:type="dxa"/>
            <w:vAlign w:val="center"/>
          </w:tcPr>
          <w:p w:rsidR="00B150F3" w:rsidRPr="00B150F3" w:rsidRDefault="00B150F3" w:rsidP="00B150F3">
            <w:pPr>
              <w:spacing w:after="0" w:line="240" w:lineRule="auto"/>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ТОВ  "Чорноморський рибний порт"</w:t>
            </w:r>
          </w:p>
        </w:tc>
        <w:tc>
          <w:tcPr>
            <w:tcW w:w="2268"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12 758,0</w:t>
            </w:r>
          </w:p>
        </w:tc>
        <w:tc>
          <w:tcPr>
            <w:tcW w:w="1701"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1,7</w:t>
            </w:r>
          </w:p>
        </w:tc>
      </w:tr>
      <w:tr w:rsidR="00B150F3" w:rsidRPr="00B150F3" w:rsidTr="004718D3">
        <w:trPr>
          <w:trHeight w:val="299"/>
        </w:trPr>
        <w:tc>
          <w:tcPr>
            <w:tcW w:w="5632" w:type="dxa"/>
            <w:vAlign w:val="center"/>
          </w:tcPr>
          <w:p w:rsidR="00B150F3" w:rsidRPr="00B150F3" w:rsidRDefault="00B150F3" w:rsidP="00B150F3">
            <w:pPr>
              <w:spacing w:after="0" w:line="240" w:lineRule="auto"/>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ТОВ "ІЗТ"</w:t>
            </w:r>
          </w:p>
        </w:tc>
        <w:tc>
          <w:tcPr>
            <w:tcW w:w="2268"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11 450,6</w:t>
            </w:r>
          </w:p>
        </w:tc>
        <w:tc>
          <w:tcPr>
            <w:tcW w:w="1701"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1,6</w:t>
            </w:r>
          </w:p>
        </w:tc>
      </w:tr>
      <w:tr w:rsidR="00B150F3" w:rsidRPr="00B150F3" w:rsidTr="004718D3">
        <w:trPr>
          <w:trHeight w:val="299"/>
        </w:trPr>
        <w:tc>
          <w:tcPr>
            <w:tcW w:w="5632" w:type="dxa"/>
            <w:vAlign w:val="center"/>
          </w:tcPr>
          <w:p w:rsidR="00B150F3" w:rsidRPr="00B150F3" w:rsidRDefault="00B150F3" w:rsidP="00B150F3">
            <w:pPr>
              <w:spacing w:after="0" w:line="240" w:lineRule="auto"/>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ПРАТ "АДМ Іллічівськ"</w:t>
            </w:r>
          </w:p>
        </w:tc>
        <w:tc>
          <w:tcPr>
            <w:tcW w:w="2268"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10 508,1</w:t>
            </w:r>
          </w:p>
        </w:tc>
        <w:tc>
          <w:tcPr>
            <w:tcW w:w="1701"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1,4</w:t>
            </w:r>
          </w:p>
        </w:tc>
      </w:tr>
      <w:tr w:rsidR="00B150F3" w:rsidRPr="00B150F3" w:rsidTr="004718D3">
        <w:trPr>
          <w:trHeight w:val="299"/>
        </w:trPr>
        <w:tc>
          <w:tcPr>
            <w:tcW w:w="5632" w:type="dxa"/>
            <w:vAlign w:val="center"/>
          </w:tcPr>
          <w:p w:rsidR="00B150F3" w:rsidRPr="00B150F3" w:rsidRDefault="00B150F3" w:rsidP="00B150F3">
            <w:pPr>
              <w:spacing w:after="0" w:line="240" w:lineRule="auto"/>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ПРАТ "Синтез ОЙЛ"</w:t>
            </w:r>
          </w:p>
        </w:tc>
        <w:tc>
          <w:tcPr>
            <w:tcW w:w="2268"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9 761,6</w:t>
            </w:r>
          </w:p>
        </w:tc>
        <w:tc>
          <w:tcPr>
            <w:tcW w:w="1701"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1,3</w:t>
            </w:r>
          </w:p>
        </w:tc>
      </w:tr>
      <w:tr w:rsidR="00B150F3" w:rsidRPr="00B150F3" w:rsidTr="004718D3">
        <w:trPr>
          <w:trHeight w:val="299"/>
        </w:trPr>
        <w:tc>
          <w:tcPr>
            <w:tcW w:w="5632" w:type="dxa"/>
            <w:vAlign w:val="center"/>
          </w:tcPr>
          <w:p w:rsidR="00B150F3" w:rsidRPr="00B150F3" w:rsidRDefault="00B150F3" w:rsidP="00B150F3">
            <w:pPr>
              <w:spacing w:after="0" w:line="240" w:lineRule="auto"/>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 xml:space="preserve">ТОВ "СП </w:t>
            </w:r>
            <w:proofErr w:type="spellStart"/>
            <w:r w:rsidRPr="00B150F3">
              <w:rPr>
                <w:rFonts w:ascii="Times New Roman" w:eastAsia="Times New Roman" w:hAnsi="Times New Roman" w:cs="Times New Roman"/>
                <w:lang w:val="uk-UA" w:eastAsia="ru-RU"/>
              </w:rPr>
              <w:t>Рисоіл</w:t>
            </w:r>
            <w:proofErr w:type="spellEnd"/>
            <w:r w:rsidRPr="00B150F3">
              <w:rPr>
                <w:rFonts w:ascii="Times New Roman" w:eastAsia="Times New Roman" w:hAnsi="Times New Roman" w:cs="Times New Roman"/>
                <w:lang w:val="uk-UA" w:eastAsia="ru-RU"/>
              </w:rPr>
              <w:t xml:space="preserve"> Термінал"</w:t>
            </w:r>
          </w:p>
        </w:tc>
        <w:tc>
          <w:tcPr>
            <w:tcW w:w="2268"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9 421,5</w:t>
            </w:r>
          </w:p>
        </w:tc>
        <w:tc>
          <w:tcPr>
            <w:tcW w:w="1701"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1,3</w:t>
            </w:r>
          </w:p>
        </w:tc>
      </w:tr>
      <w:tr w:rsidR="00B150F3" w:rsidRPr="00B150F3" w:rsidTr="004718D3">
        <w:trPr>
          <w:trHeight w:val="299"/>
        </w:trPr>
        <w:tc>
          <w:tcPr>
            <w:tcW w:w="5632" w:type="dxa"/>
            <w:vAlign w:val="center"/>
          </w:tcPr>
          <w:p w:rsidR="00B150F3" w:rsidRPr="00B150F3" w:rsidRDefault="00B150F3" w:rsidP="00B150F3">
            <w:pPr>
              <w:spacing w:after="0" w:line="240" w:lineRule="auto"/>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ПрАТ "</w:t>
            </w:r>
            <w:proofErr w:type="spellStart"/>
            <w:r w:rsidRPr="00B150F3">
              <w:rPr>
                <w:rFonts w:ascii="Times New Roman" w:eastAsia="Times New Roman" w:hAnsi="Times New Roman" w:cs="Times New Roman"/>
                <w:lang w:val="uk-UA" w:eastAsia="ru-RU"/>
              </w:rPr>
              <w:t>Іллічівський</w:t>
            </w:r>
            <w:proofErr w:type="spellEnd"/>
            <w:r w:rsidRPr="00B150F3">
              <w:rPr>
                <w:rFonts w:ascii="Times New Roman" w:eastAsia="Times New Roman" w:hAnsi="Times New Roman" w:cs="Times New Roman"/>
                <w:lang w:val="uk-UA" w:eastAsia="ru-RU"/>
              </w:rPr>
              <w:t xml:space="preserve"> судноремонтний завод"</w:t>
            </w:r>
          </w:p>
        </w:tc>
        <w:tc>
          <w:tcPr>
            <w:tcW w:w="2268"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6 835,9</w:t>
            </w:r>
          </w:p>
        </w:tc>
        <w:tc>
          <w:tcPr>
            <w:tcW w:w="1701"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0,9</w:t>
            </w:r>
          </w:p>
        </w:tc>
      </w:tr>
      <w:tr w:rsidR="00B150F3" w:rsidRPr="00B150F3" w:rsidTr="004718D3">
        <w:trPr>
          <w:trHeight w:val="299"/>
        </w:trPr>
        <w:tc>
          <w:tcPr>
            <w:tcW w:w="5632" w:type="dxa"/>
            <w:vAlign w:val="center"/>
          </w:tcPr>
          <w:p w:rsidR="00B150F3" w:rsidRPr="00B150F3" w:rsidRDefault="00B150F3" w:rsidP="00B150F3">
            <w:pPr>
              <w:spacing w:after="0" w:line="240" w:lineRule="auto"/>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ТОВ "</w:t>
            </w:r>
            <w:proofErr w:type="spellStart"/>
            <w:r w:rsidRPr="00B150F3">
              <w:rPr>
                <w:rFonts w:ascii="Times New Roman" w:eastAsia="Times New Roman" w:hAnsi="Times New Roman" w:cs="Times New Roman"/>
                <w:lang w:val="uk-UA" w:eastAsia="ru-RU"/>
              </w:rPr>
              <w:t>Аквафрост</w:t>
            </w:r>
            <w:proofErr w:type="spellEnd"/>
            <w:r w:rsidRPr="00B150F3">
              <w:rPr>
                <w:rFonts w:ascii="Times New Roman" w:eastAsia="Times New Roman" w:hAnsi="Times New Roman" w:cs="Times New Roman"/>
                <w:lang w:val="uk-UA" w:eastAsia="ru-RU"/>
              </w:rPr>
              <w:t>"</w:t>
            </w:r>
          </w:p>
        </w:tc>
        <w:tc>
          <w:tcPr>
            <w:tcW w:w="2268"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6 642,5</w:t>
            </w:r>
          </w:p>
        </w:tc>
        <w:tc>
          <w:tcPr>
            <w:tcW w:w="1701"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0,9</w:t>
            </w:r>
          </w:p>
        </w:tc>
      </w:tr>
      <w:tr w:rsidR="00B150F3" w:rsidRPr="00B150F3" w:rsidTr="004718D3">
        <w:trPr>
          <w:trHeight w:val="299"/>
        </w:trPr>
        <w:tc>
          <w:tcPr>
            <w:tcW w:w="5632" w:type="dxa"/>
            <w:vAlign w:val="center"/>
          </w:tcPr>
          <w:p w:rsidR="00B150F3" w:rsidRPr="00B150F3" w:rsidRDefault="00B150F3" w:rsidP="00B150F3">
            <w:pPr>
              <w:spacing w:after="0" w:line="240" w:lineRule="auto"/>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ТОВ "Транс-Сервіс"</w:t>
            </w:r>
          </w:p>
        </w:tc>
        <w:tc>
          <w:tcPr>
            <w:tcW w:w="2268"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4 147,2</w:t>
            </w:r>
          </w:p>
        </w:tc>
        <w:tc>
          <w:tcPr>
            <w:tcW w:w="1701"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0,6</w:t>
            </w:r>
          </w:p>
        </w:tc>
      </w:tr>
      <w:tr w:rsidR="00B150F3" w:rsidRPr="00B150F3" w:rsidTr="004718D3">
        <w:trPr>
          <w:trHeight w:val="299"/>
        </w:trPr>
        <w:tc>
          <w:tcPr>
            <w:tcW w:w="5632" w:type="dxa"/>
            <w:vAlign w:val="center"/>
          </w:tcPr>
          <w:p w:rsidR="00B150F3" w:rsidRPr="00B150F3" w:rsidRDefault="00B150F3" w:rsidP="00B150F3">
            <w:pPr>
              <w:spacing w:after="0" w:line="240" w:lineRule="auto"/>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ТОВ "</w:t>
            </w:r>
            <w:proofErr w:type="spellStart"/>
            <w:r w:rsidRPr="00B150F3">
              <w:rPr>
                <w:rFonts w:ascii="Times New Roman" w:eastAsia="Times New Roman" w:hAnsi="Times New Roman" w:cs="Times New Roman"/>
                <w:lang w:val="uk-UA" w:eastAsia="ru-RU"/>
              </w:rPr>
              <w:t>Портінвест</w:t>
            </w:r>
            <w:proofErr w:type="spellEnd"/>
            <w:r w:rsidRPr="00B150F3">
              <w:rPr>
                <w:rFonts w:ascii="Times New Roman" w:eastAsia="Times New Roman" w:hAnsi="Times New Roman" w:cs="Times New Roman"/>
                <w:lang w:val="uk-UA" w:eastAsia="ru-RU"/>
              </w:rPr>
              <w:t xml:space="preserve"> </w:t>
            </w:r>
            <w:proofErr w:type="spellStart"/>
            <w:r w:rsidRPr="00B150F3">
              <w:rPr>
                <w:rFonts w:ascii="Times New Roman" w:eastAsia="Times New Roman" w:hAnsi="Times New Roman" w:cs="Times New Roman"/>
                <w:lang w:val="uk-UA" w:eastAsia="ru-RU"/>
              </w:rPr>
              <w:t>Лоджистік</w:t>
            </w:r>
            <w:proofErr w:type="spellEnd"/>
            <w:r w:rsidRPr="00B150F3">
              <w:rPr>
                <w:rFonts w:ascii="Times New Roman" w:eastAsia="Times New Roman" w:hAnsi="Times New Roman" w:cs="Times New Roman"/>
                <w:lang w:val="uk-UA" w:eastAsia="ru-RU"/>
              </w:rPr>
              <w:t>"</w:t>
            </w:r>
          </w:p>
        </w:tc>
        <w:tc>
          <w:tcPr>
            <w:tcW w:w="2268"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1 758,6</w:t>
            </w:r>
          </w:p>
        </w:tc>
        <w:tc>
          <w:tcPr>
            <w:tcW w:w="1701" w:type="dxa"/>
            <w:vAlign w:val="bottom"/>
          </w:tcPr>
          <w:p w:rsidR="00B150F3" w:rsidRPr="00B150F3" w:rsidRDefault="00B150F3" w:rsidP="00B150F3">
            <w:pPr>
              <w:spacing w:after="0" w:line="240" w:lineRule="auto"/>
              <w:jc w:val="center"/>
              <w:rPr>
                <w:rFonts w:ascii="Times New Roman" w:eastAsia="Times New Roman" w:hAnsi="Times New Roman" w:cs="Times New Roman"/>
                <w:lang w:val="uk-UA" w:eastAsia="ru-RU"/>
              </w:rPr>
            </w:pPr>
            <w:r w:rsidRPr="00B150F3">
              <w:rPr>
                <w:rFonts w:ascii="Times New Roman" w:eastAsia="Times New Roman" w:hAnsi="Times New Roman" w:cs="Times New Roman"/>
                <w:lang w:val="uk-UA" w:eastAsia="ru-RU"/>
              </w:rPr>
              <w:t>0,2</w:t>
            </w:r>
          </w:p>
        </w:tc>
      </w:tr>
      <w:tr w:rsidR="00B150F3" w:rsidRPr="00B150F3" w:rsidTr="004718D3">
        <w:tc>
          <w:tcPr>
            <w:tcW w:w="5632" w:type="dxa"/>
            <w:vAlign w:val="center"/>
          </w:tcPr>
          <w:p w:rsidR="00B150F3" w:rsidRPr="00B150F3" w:rsidRDefault="00B150F3" w:rsidP="00B150F3">
            <w:pPr>
              <w:spacing w:after="0" w:line="240" w:lineRule="auto"/>
              <w:rPr>
                <w:rFonts w:ascii="Times New Roman" w:eastAsia="Times New Roman" w:hAnsi="Times New Roman" w:cs="Times New Roman"/>
                <w:b/>
                <w:bCs/>
                <w:lang w:val="uk-UA" w:eastAsia="ru-RU"/>
              </w:rPr>
            </w:pPr>
            <w:r w:rsidRPr="00B150F3">
              <w:rPr>
                <w:rFonts w:ascii="Times New Roman" w:eastAsia="Times New Roman" w:hAnsi="Times New Roman" w:cs="Times New Roman"/>
                <w:b/>
                <w:bCs/>
                <w:lang w:val="uk-UA" w:eastAsia="ru-RU"/>
              </w:rPr>
              <w:t>Разом по зазначених підприємствах</w:t>
            </w:r>
          </w:p>
        </w:tc>
        <w:tc>
          <w:tcPr>
            <w:tcW w:w="2268" w:type="dxa"/>
            <w:vAlign w:val="bottom"/>
          </w:tcPr>
          <w:p w:rsidR="00B150F3" w:rsidRPr="00B150F3" w:rsidRDefault="00B150F3" w:rsidP="00B150F3">
            <w:pPr>
              <w:spacing w:after="0" w:line="240" w:lineRule="auto"/>
              <w:jc w:val="center"/>
              <w:rPr>
                <w:rFonts w:ascii="Times New Roman" w:eastAsia="Times New Roman" w:hAnsi="Times New Roman" w:cs="Times New Roman"/>
                <w:b/>
                <w:bCs/>
                <w:lang w:val="uk-UA" w:eastAsia="ru-RU"/>
              </w:rPr>
            </w:pPr>
            <w:r w:rsidRPr="00B150F3">
              <w:rPr>
                <w:rFonts w:ascii="Times New Roman" w:eastAsia="Times New Roman" w:hAnsi="Times New Roman" w:cs="Times New Roman"/>
                <w:b/>
                <w:bCs/>
                <w:lang w:val="uk-UA" w:eastAsia="ru-RU"/>
              </w:rPr>
              <w:t>145 641,5</w:t>
            </w:r>
          </w:p>
        </w:tc>
        <w:tc>
          <w:tcPr>
            <w:tcW w:w="1701" w:type="dxa"/>
            <w:vAlign w:val="bottom"/>
          </w:tcPr>
          <w:p w:rsidR="00B150F3" w:rsidRPr="00B150F3" w:rsidRDefault="00B150F3" w:rsidP="00B150F3">
            <w:pPr>
              <w:spacing w:after="0" w:line="240" w:lineRule="auto"/>
              <w:jc w:val="center"/>
              <w:rPr>
                <w:rFonts w:ascii="Times New Roman" w:eastAsia="Times New Roman" w:hAnsi="Times New Roman" w:cs="Times New Roman"/>
                <w:b/>
                <w:bCs/>
                <w:lang w:val="uk-UA" w:eastAsia="ru-RU"/>
              </w:rPr>
            </w:pPr>
            <w:r w:rsidRPr="00B150F3">
              <w:rPr>
                <w:rFonts w:ascii="Times New Roman" w:eastAsia="Times New Roman" w:hAnsi="Times New Roman" w:cs="Times New Roman"/>
                <w:b/>
                <w:bCs/>
                <w:lang w:val="uk-UA" w:eastAsia="ru-RU"/>
              </w:rPr>
              <w:t>19,7</w:t>
            </w:r>
          </w:p>
        </w:tc>
      </w:tr>
      <w:tr w:rsidR="00B150F3" w:rsidRPr="00B150F3" w:rsidTr="004718D3">
        <w:trPr>
          <w:trHeight w:val="789"/>
        </w:trPr>
        <w:tc>
          <w:tcPr>
            <w:tcW w:w="5632" w:type="dxa"/>
            <w:vAlign w:val="center"/>
          </w:tcPr>
          <w:p w:rsidR="00B150F3" w:rsidRPr="00B150F3" w:rsidRDefault="00B150F3" w:rsidP="00B150F3">
            <w:pPr>
              <w:spacing w:after="0" w:line="240" w:lineRule="auto"/>
              <w:rPr>
                <w:rFonts w:ascii="Times New Roman" w:eastAsia="Times New Roman" w:hAnsi="Times New Roman" w:cs="Times New Roman"/>
                <w:b/>
                <w:lang w:val="uk-UA" w:eastAsia="ru-RU"/>
              </w:rPr>
            </w:pPr>
            <w:r w:rsidRPr="00B150F3">
              <w:rPr>
                <w:rFonts w:ascii="Times New Roman" w:eastAsia="Times New Roman" w:hAnsi="Times New Roman" w:cs="Times New Roman"/>
                <w:b/>
                <w:lang w:val="uk-UA" w:eastAsia="ru-RU"/>
              </w:rPr>
              <w:t xml:space="preserve">Всього надійшло до загального фонду бюджету Чорноморської міської територіальної громади </w:t>
            </w:r>
          </w:p>
          <w:p w:rsidR="00B150F3" w:rsidRPr="00B150F3" w:rsidRDefault="00B150F3" w:rsidP="00B150F3">
            <w:pPr>
              <w:spacing w:after="0" w:line="240" w:lineRule="auto"/>
              <w:rPr>
                <w:rFonts w:ascii="Times New Roman" w:eastAsia="Times New Roman" w:hAnsi="Times New Roman" w:cs="Times New Roman"/>
                <w:b/>
                <w:lang w:val="uk-UA" w:eastAsia="ru-RU"/>
              </w:rPr>
            </w:pPr>
            <w:r w:rsidRPr="00B150F3">
              <w:rPr>
                <w:rFonts w:ascii="Times New Roman" w:eastAsia="Times New Roman" w:hAnsi="Times New Roman" w:cs="Times New Roman"/>
                <w:b/>
                <w:lang w:val="uk-UA" w:eastAsia="ru-RU"/>
              </w:rPr>
              <w:t>(без врахування міжбюджетних трансфертів)</w:t>
            </w:r>
          </w:p>
        </w:tc>
        <w:tc>
          <w:tcPr>
            <w:tcW w:w="2268" w:type="dxa"/>
            <w:vAlign w:val="bottom"/>
          </w:tcPr>
          <w:p w:rsidR="00B150F3" w:rsidRPr="00B150F3" w:rsidRDefault="00B150F3" w:rsidP="00B150F3">
            <w:pPr>
              <w:spacing w:after="0" w:line="240" w:lineRule="auto"/>
              <w:jc w:val="center"/>
              <w:rPr>
                <w:rFonts w:ascii="Times New Roman" w:eastAsia="Times New Roman" w:hAnsi="Times New Roman" w:cs="Times New Roman"/>
                <w:b/>
                <w:lang w:val="uk-UA" w:eastAsia="ru-RU"/>
              </w:rPr>
            </w:pPr>
          </w:p>
          <w:p w:rsidR="00B150F3" w:rsidRPr="00B150F3" w:rsidRDefault="00B150F3" w:rsidP="00B150F3">
            <w:pPr>
              <w:spacing w:after="0" w:line="240" w:lineRule="auto"/>
              <w:jc w:val="center"/>
              <w:rPr>
                <w:rFonts w:ascii="Times New Roman" w:eastAsia="Times New Roman" w:hAnsi="Times New Roman" w:cs="Times New Roman"/>
                <w:b/>
                <w:lang w:val="uk-UA" w:eastAsia="ru-RU"/>
              </w:rPr>
            </w:pPr>
            <w:r w:rsidRPr="00B150F3">
              <w:rPr>
                <w:rFonts w:ascii="Times New Roman" w:eastAsia="Times New Roman" w:hAnsi="Times New Roman" w:cs="Times New Roman"/>
                <w:b/>
                <w:lang w:val="uk-UA" w:eastAsia="ru-RU"/>
              </w:rPr>
              <w:t>737 761,5</w:t>
            </w:r>
          </w:p>
          <w:p w:rsidR="00B150F3" w:rsidRPr="00B150F3" w:rsidRDefault="00B150F3" w:rsidP="00B150F3">
            <w:pPr>
              <w:spacing w:after="0" w:line="240" w:lineRule="auto"/>
              <w:jc w:val="center"/>
              <w:rPr>
                <w:rFonts w:ascii="Times New Roman" w:eastAsia="Times New Roman" w:hAnsi="Times New Roman" w:cs="Times New Roman"/>
                <w:b/>
                <w:lang w:val="uk-UA" w:eastAsia="ru-RU"/>
              </w:rPr>
            </w:pPr>
          </w:p>
        </w:tc>
        <w:tc>
          <w:tcPr>
            <w:tcW w:w="1701" w:type="dxa"/>
            <w:vAlign w:val="bottom"/>
          </w:tcPr>
          <w:p w:rsidR="00B150F3" w:rsidRPr="00B150F3" w:rsidRDefault="00B150F3" w:rsidP="00B150F3">
            <w:pPr>
              <w:spacing w:after="0" w:line="240" w:lineRule="auto"/>
              <w:jc w:val="center"/>
              <w:rPr>
                <w:rFonts w:ascii="Times New Roman" w:eastAsia="Times New Roman" w:hAnsi="Times New Roman" w:cs="Times New Roman"/>
                <w:b/>
                <w:lang w:val="uk-UA" w:eastAsia="ru-RU"/>
              </w:rPr>
            </w:pPr>
            <w:r w:rsidRPr="00B150F3">
              <w:rPr>
                <w:rFonts w:ascii="Times New Roman" w:eastAsia="Times New Roman" w:hAnsi="Times New Roman" w:cs="Times New Roman"/>
                <w:b/>
                <w:lang w:val="uk-UA" w:eastAsia="ru-RU"/>
              </w:rPr>
              <w:t>100,0</w:t>
            </w:r>
          </w:p>
          <w:p w:rsidR="00B150F3" w:rsidRPr="00B150F3" w:rsidRDefault="00B150F3" w:rsidP="00B150F3">
            <w:pPr>
              <w:spacing w:after="0" w:line="240" w:lineRule="auto"/>
              <w:jc w:val="center"/>
              <w:rPr>
                <w:rFonts w:ascii="Times New Roman" w:eastAsia="Times New Roman" w:hAnsi="Times New Roman" w:cs="Times New Roman"/>
                <w:b/>
                <w:lang w:val="uk-UA" w:eastAsia="ru-RU"/>
              </w:rPr>
            </w:pPr>
          </w:p>
        </w:tc>
      </w:tr>
    </w:tbl>
    <w:p w:rsidR="002B6327" w:rsidRDefault="002B6327" w:rsidP="00EE3EDA">
      <w:pPr>
        <w:spacing w:after="0" w:line="240" w:lineRule="auto"/>
        <w:jc w:val="both"/>
        <w:rPr>
          <w:rFonts w:ascii="Times New Roman" w:hAnsi="Times New Roman" w:cs="Times New Roman"/>
          <w:b/>
          <w:sz w:val="24"/>
          <w:szCs w:val="24"/>
          <w:highlight w:val="yellow"/>
          <w:lang w:val="uk-UA"/>
        </w:rPr>
      </w:pPr>
    </w:p>
    <w:p w:rsidR="00B661EC" w:rsidRPr="00274385" w:rsidRDefault="000247B8" w:rsidP="004A6B29">
      <w:pPr>
        <w:spacing w:line="240" w:lineRule="auto"/>
        <w:contextualSpacing/>
        <w:jc w:val="center"/>
        <w:rPr>
          <w:rFonts w:ascii="Times New Roman" w:hAnsi="Times New Roman" w:cs="Times New Roman"/>
          <w:b/>
          <w:sz w:val="28"/>
          <w:szCs w:val="28"/>
          <w:lang w:val="uk-UA"/>
        </w:rPr>
      </w:pPr>
      <w:r w:rsidRPr="00274385">
        <w:rPr>
          <w:rFonts w:ascii="Times New Roman" w:hAnsi="Times New Roman" w:cs="Times New Roman"/>
          <w:b/>
          <w:sz w:val="28"/>
          <w:szCs w:val="28"/>
          <w:lang w:val="uk-UA"/>
        </w:rPr>
        <w:t>3</w:t>
      </w:r>
      <w:r w:rsidR="0030619C" w:rsidRPr="00274385">
        <w:rPr>
          <w:rFonts w:ascii="Times New Roman" w:hAnsi="Times New Roman" w:cs="Times New Roman"/>
          <w:b/>
          <w:sz w:val="28"/>
          <w:szCs w:val="28"/>
          <w:lang w:val="uk-UA"/>
        </w:rPr>
        <w:t>.</w:t>
      </w:r>
      <w:r w:rsidR="003F77A9" w:rsidRPr="00274385">
        <w:rPr>
          <w:rFonts w:ascii="Times New Roman" w:hAnsi="Times New Roman" w:cs="Times New Roman"/>
          <w:b/>
          <w:sz w:val="28"/>
          <w:szCs w:val="28"/>
          <w:lang w:val="uk-UA"/>
        </w:rPr>
        <w:t xml:space="preserve"> Інформація про хід виконання</w:t>
      </w:r>
      <w:r w:rsidR="00B661EC" w:rsidRPr="00274385">
        <w:rPr>
          <w:rFonts w:ascii="Times New Roman" w:hAnsi="Times New Roman" w:cs="Times New Roman"/>
          <w:b/>
          <w:sz w:val="28"/>
          <w:szCs w:val="28"/>
          <w:lang w:val="uk-UA"/>
        </w:rPr>
        <w:t xml:space="preserve">  бюджету Чорноморськ</w:t>
      </w:r>
      <w:r w:rsidR="001B7BB8" w:rsidRPr="00274385">
        <w:rPr>
          <w:rFonts w:ascii="Times New Roman" w:hAnsi="Times New Roman" w:cs="Times New Roman"/>
          <w:b/>
          <w:sz w:val="28"/>
          <w:szCs w:val="28"/>
          <w:lang w:val="uk-UA"/>
        </w:rPr>
        <w:t xml:space="preserve">ої міської територіальної громади </w:t>
      </w:r>
      <w:r w:rsidR="00B9472B" w:rsidRPr="00274385">
        <w:rPr>
          <w:rFonts w:ascii="Times New Roman" w:hAnsi="Times New Roman" w:cs="Times New Roman"/>
          <w:b/>
          <w:sz w:val="28"/>
          <w:szCs w:val="28"/>
          <w:lang w:val="uk-UA"/>
        </w:rPr>
        <w:t>за  січень</w:t>
      </w:r>
      <w:r w:rsidR="001B7BB8" w:rsidRPr="00274385">
        <w:rPr>
          <w:rFonts w:ascii="Times New Roman" w:hAnsi="Times New Roman" w:cs="Times New Roman"/>
          <w:b/>
          <w:sz w:val="28"/>
          <w:szCs w:val="28"/>
          <w:lang w:val="uk-UA"/>
        </w:rPr>
        <w:t xml:space="preserve"> </w:t>
      </w:r>
      <w:r w:rsidR="00B9472B" w:rsidRPr="00274385">
        <w:rPr>
          <w:rFonts w:ascii="Times New Roman" w:hAnsi="Times New Roman" w:cs="Times New Roman"/>
          <w:b/>
          <w:sz w:val="28"/>
          <w:szCs w:val="28"/>
          <w:lang w:val="uk-UA"/>
        </w:rPr>
        <w:t>-</w:t>
      </w:r>
      <w:r w:rsidR="001B7BB8" w:rsidRPr="00274385">
        <w:rPr>
          <w:rFonts w:ascii="Times New Roman" w:hAnsi="Times New Roman" w:cs="Times New Roman"/>
          <w:b/>
          <w:sz w:val="28"/>
          <w:szCs w:val="28"/>
          <w:lang w:val="uk-UA"/>
        </w:rPr>
        <w:t xml:space="preserve"> вересень</w:t>
      </w:r>
      <w:r w:rsidR="00274385" w:rsidRPr="00274385">
        <w:rPr>
          <w:rFonts w:ascii="Times New Roman" w:hAnsi="Times New Roman" w:cs="Times New Roman"/>
          <w:b/>
          <w:sz w:val="28"/>
          <w:szCs w:val="28"/>
          <w:lang w:val="uk-UA"/>
        </w:rPr>
        <w:t xml:space="preserve"> 202</w:t>
      </w:r>
      <w:r w:rsidR="008B562A">
        <w:rPr>
          <w:rFonts w:ascii="Times New Roman" w:hAnsi="Times New Roman" w:cs="Times New Roman"/>
          <w:b/>
          <w:sz w:val="28"/>
          <w:szCs w:val="28"/>
          <w:lang w:val="uk-UA"/>
        </w:rPr>
        <w:t>3</w:t>
      </w:r>
      <w:r w:rsidR="00B661EC" w:rsidRPr="00274385">
        <w:rPr>
          <w:rFonts w:ascii="Times New Roman" w:hAnsi="Times New Roman" w:cs="Times New Roman"/>
          <w:b/>
          <w:sz w:val="28"/>
          <w:szCs w:val="28"/>
          <w:lang w:val="uk-UA"/>
        </w:rPr>
        <w:t xml:space="preserve"> року</w:t>
      </w:r>
    </w:p>
    <w:p w:rsidR="00B661EC" w:rsidRPr="00545127" w:rsidRDefault="00B661EC" w:rsidP="001B7BB8">
      <w:pPr>
        <w:spacing w:line="240" w:lineRule="auto"/>
        <w:contextualSpacing/>
        <w:jc w:val="center"/>
        <w:rPr>
          <w:rFonts w:ascii="Times New Roman" w:hAnsi="Times New Roman" w:cs="Times New Roman"/>
          <w:b/>
          <w:sz w:val="24"/>
          <w:szCs w:val="24"/>
          <w:highlight w:val="yellow"/>
          <w:lang w:val="uk-UA"/>
        </w:rPr>
      </w:pPr>
    </w:p>
    <w:p w:rsidR="00AD55F6" w:rsidRPr="009E3E55" w:rsidRDefault="00AD55F6" w:rsidP="00AD55F6">
      <w:pPr>
        <w:spacing w:after="0" w:line="240" w:lineRule="auto"/>
        <w:ind w:firstLine="567"/>
        <w:jc w:val="both"/>
        <w:rPr>
          <w:rFonts w:ascii="Times New Roman" w:eastAsia="Times New Roman" w:hAnsi="Times New Roman" w:cs="Times New Roman"/>
          <w:sz w:val="24"/>
          <w:szCs w:val="24"/>
          <w:lang w:val="uk-UA" w:eastAsia="ru-RU"/>
        </w:rPr>
      </w:pPr>
      <w:r w:rsidRPr="009E3E55">
        <w:rPr>
          <w:rFonts w:ascii="Times New Roman" w:eastAsia="Times New Roman" w:hAnsi="Times New Roman" w:cs="Times New Roman"/>
          <w:b/>
          <w:sz w:val="24"/>
          <w:szCs w:val="24"/>
          <w:lang w:val="uk-UA" w:eastAsia="ru-RU"/>
        </w:rPr>
        <w:t xml:space="preserve">Планові показники доходів бюджету Чорноморської міської територіальної громади, </w:t>
      </w:r>
      <w:r w:rsidRPr="009E3E55">
        <w:rPr>
          <w:rFonts w:ascii="Times New Roman" w:eastAsia="Times New Roman" w:hAnsi="Times New Roman" w:cs="Times New Roman"/>
          <w:sz w:val="24"/>
          <w:szCs w:val="24"/>
          <w:lang w:val="uk-UA" w:eastAsia="ru-RU"/>
        </w:rPr>
        <w:t>які затверджені в розписі бюджету громади на січень-вересень 202</w:t>
      </w:r>
      <w:r w:rsidR="00A1217C" w:rsidRPr="009E3E55">
        <w:rPr>
          <w:rFonts w:ascii="Times New Roman" w:eastAsia="Times New Roman" w:hAnsi="Times New Roman" w:cs="Times New Roman"/>
          <w:sz w:val="24"/>
          <w:szCs w:val="24"/>
          <w:lang w:val="uk-UA" w:eastAsia="ru-RU"/>
        </w:rPr>
        <w:t>3</w:t>
      </w:r>
      <w:r w:rsidRPr="009E3E55">
        <w:rPr>
          <w:rFonts w:ascii="Times New Roman" w:eastAsia="Times New Roman" w:hAnsi="Times New Roman" w:cs="Times New Roman"/>
          <w:sz w:val="24"/>
          <w:szCs w:val="24"/>
          <w:lang w:val="uk-UA" w:eastAsia="ru-RU"/>
        </w:rPr>
        <w:t xml:space="preserve"> року, виконані на </w:t>
      </w:r>
      <w:r w:rsidR="00A1217C" w:rsidRPr="009E3E55">
        <w:rPr>
          <w:rFonts w:ascii="Times New Roman" w:eastAsia="Times New Roman" w:hAnsi="Times New Roman" w:cs="Times New Roman"/>
          <w:sz w:val="24"/>
          <w:szCs w:val="24"/>
          <w:lang w:val="uk-UA" w:eastAsia="ru-RU"/>
        </w:rPr>
        <w:t>111,4</w:t>
      </w:r>
      <w:r w:rsidRPr="009E3E55">
        <w:rPr>
          <w:rFonts w:ascii="Times New Roman" w:eastAsia="Times New Roman" w:hAnsi="Times New Roman" w:cs="Times New Roman"/>
          <w:sz w:val="24"/>
          <w:szCs w:val="24"/>
          <w:lang w:val="uk-UA" w:eastAsia="ru-RU"/>
        </w:rPr>
        <w:t xml:space="preserve"> %, тобто при плані на зазначений період </w:t>
      </w:r>
      <w:r w:rsidR="000A060C" w:rsidRPr="009E3E55">
        <w:rPr>
          <w:rFonts w:ascii="Times New Roman" w:eastAsia="Times New Roman" w:hAnsi="Times New Roman" w:cs="Times New Roman"/>
          <w:sz w:val="24"/>
          <w:szCs w:val="24"/>
          <w:lang w:val="uk-UA" w:eastAsia="ru-RU"/>
        </w:rPr>
        <w:t>778</w:t>
      </w:r>
      <w:r w:rsidR="004617D2" w:rsidRPr="009E3E55">
        <w:rPr>
          <w:rFonts w:ascii="Times New Roman" w:eastAsia="Times New Roman" w:hAnsi="Times New Roman" w:cs="Times New Roman"/>
          <w:sz w:val="24"/>
          <w:szCs w:val="24"/>
          <w:lang w:val="uk-UA" w:eastAsia="ru-RU"/>
        </w:rPr>
        <w:t> </w:t>
      </w:r>
      <w:r w:rsidR="000A060C" w:rsidRPr="009E3E55">
        <w:rPr>
          <w:rFonts w:ascii="Times New Roman" w:eastAsia="Times New Roman" w:hAnsi="Times New Roman" w:cs="Times New Roman"/>
          <w:sz w:val="24"/>
          <w:szCs w:val="24"/>
          <w:lang w:val="uk-UA" w:eastAsia="ru-RU"/>
        </w:rPr>
        <w:t>452</w:t>
      </w:r>
      <w:r w:rsidR="004617D2" w:rsidRPr="009E3E55">
        <w:rPr>
          <w:rFonts w:ascii="Times New Roman" w:eastAsia="Times New Roman" w:hAnsi="Times New Roman" w:cs="Times New Roman"/>
          <w:sz w:val="24"/>
          <w:szCs w:val="24"/>
          <w:lang w:val="uk-UA" w:eastAsia="ru-RU"/>
        </w:rPr>
        <w:t>,7 тис.</w:t>
      </w:r>
      <w:r w:rsidRPr="009E3E55">
        <w:rPr>
          <w:rFonts w:ascii="Times New Roman" w:eastAsia="Times New Roman" w:hAnsi="Times New Roman" w:cs="Times New Roman"/>
          <w:sz w:val="24"/>
          <w:szCs w:val="24"/>
          <w:lang w:val="uk-UA" w:eastAsia="ru-RU"/>
        </w:rPr>
        <w:t xml:space="preserve"> грн, фактично надійшло – </w:t>
      </w:r>
      <w:r w:rsidR="000A060C" w:rsidRPr="009E3E55">
        <w:rPr>
          <w:rFonts w:ascii="Times New Roman" w:eastAsia="Times New Roman" w:hAnsi="Times New Roman" w:cs="Times New Roman"/>
          <w:sz w:val="24"/>
          <w:szCs w:val="24"/>
          <w:lang w:val="uk-UA" w:eastAsia="ru-RU"/>
        </w:rPr>
        <w:t>866</w:t>
      </w:r>
      <w:r w:rsidR="004617D2" w:rsidRPr="009E3E55">
        <w:rPr>
          <w:rFonts w:ascii="Times New Roman" w:eastAsia="Times New Roman" w:hAnsi="Times New Roman" w:cs="Times New Roman"/>
          <w:sz w:val="24"/>
          <w:szCs w:val="24"/>
          <w:lang w:val="uk-UA" w:eastAsia="ru-RU"/>
        </w:rPr>
        <w:t> </w:t>
      </w:r>
      <w:r w:rsidR="000A060C" w:rsidRPr="009E3E55">
        <w:rPr>
          <w:rFonts w:ascii="Times New Roman" w:eastAsia="Times New Roman" w:hAnsi="Times New Roman" w:cs="Times New Roman"/>
          <w:sz w:val="24"/>
          <w:szCs w:val="24"/>
          <w:lang w:val="uk-UA" w:eastAsia="ru-RU"/>
        </w:rPr>
        <w:t>906</w:t>
      </w:r>
      <w:r w:rsidR="004617D2" w:rsidRPr="009E3E55">
        <w:rPr>
          <w:rFonts w:ascii="Times New Roman" w:eastAsia="Times New Roman" w:hAnsi="Times New Roman" w:cs="Times New Roman"/>
          <w:sz w:val="24"/>
          <w:szCs w:val="24"/>
          <w:lang w:val="uk-UA" w:eastAsia="ru-RU"/>
        </w:rPr>
        <w:t xml:space="preserve">,1 тис. </w:t>
      </w:r>
      <w:r w:rsidRPr="009E3E55">
        <w:rPr>
          <w:rFonts w:ascii="Times New Roman" w:eastAsia="Times New Roman" w:hAnsi="Times New Roman" w:cs="Times New Roman"/>
          <w:sz w:val="24"/>
          <w:szCs w:val="24"/>
          <w:lang w:val="uk-UA" w:eastAsia="ru-RU"/>
        </w:rPr>
        <w:t xml:space="preserve">грн. В порівнянні з аналогічним періодом минулого року надходження до бюджету міської громади </w:t>
      </w:r>
      <w:r w:rsidR="004617D2" w:rsidRPr="009E3E55">
        <w:rPr>
          <w:rFonts w:ascii="Times New Roman" w:eastAsia="Times New Roman" w:hAnsi="Times New Roman" w:cs="Times New Roman"/>
          <w:sz w:val="24"/>
          <w:szCs w:val="24"/>
          <w:lang w:val="uk-UA" w:eastAsia="ru-RU"/>
        </w:rPr>
        <w:t>збільшились</w:t>
      </w:r>
      <w:r w:rsidRPr="009E3E55">
        <w:rPr>
          <w:rFonts w:ascii="Times New Roman" w:eastAsia="Times New Roman" w:hAnsi="Times New Roman" w:cs="Times New Roman"/>
          <w:sz w:val="24"/>
          <w:szCs w:val="24"/>
          <w:lang w:val="uk-UA" w:eastAsia="ru-RU"/>
        </w:rPr>
        <w:t xml:space="preserve"> на </w:t>
      </w:r>
      <w:r w:rsidR="004617D2" w:rsidRPr="009E3E55">
        <w:rPr>
          <w:rFonts w:ascii="Times New Roman" w:eastAsia="Times New Roman" w:hAnsi="Times New Roman" w:cs="Times New Roman"/>
          <w:sz w:val="24"/>
          <w:szCs w:val="24"/>
          <w:lang w:val="uk-UA" w:eastAsia="ru-RU"/>
        </w:rPr>
        <w:t>36,3</w:t>
      </w:r>
      <w:r w:rsidRPr="009E3E55">
        <w:rPr>
          <w:rFonts w:ascii="Times New Roman" w:eastAsia="Times New Roman" w:hAnsi="Times New Roman" w:cs="Times New Roman"/>
          <w:sz w:val="24"/>
          <w:szCs w:val="24"/>
          <w:lang w:val="uk-UA" w:eastAsia="ru-RU"/>
        </w:rPr>
        <w:t xml:space="preserve"> % або на </w:t>
      </w:r>
      <w:r w:rsidR="009E3E55" w:rsidRPr="009E3E55">
        <w:rPr>
          <w:rFonts w:ascii="Times New Roman" w:eastAsia="Times New Roman" w:hAnsi="Times New Roman" w:cs="Times New Roman"/>
          <w:sz w:val="24"/>
          <w:szCs w:val="24"/>
          <w:lang w:val="uk-UA" w:eastAsia="ru-RU"/>
        </w:rPr>
        <w:t>23</w:t>
      </w:r>
      <w:r w:rsidR="005754EE">
        <w:rPr>
          <w:rFonts w:ascii="Times New Roman" w:eastAsia="Times New Roman" w:hAnsi="Times New Roman" w:cs="Times New Roman"/>
          <w:sz w:val="24"/>
          <w:szCs w:val="24"/>
          <w:lang w:val="uk-UA" w:eastAsia="ru-RU"/>
        </w:rPr>
        <w:t>0</w:t>
      </w:r>
      <w:r w:rsidR="009E3E55" w:rsidRPr="009E3E55">
        <w:rPr>
          <w:rFonts w:ascii="Times New Roman" w:eastAsia="Times New Roman" w:hAnsi="Times New Roman" w:cs="Times New Roman"/>
          <w:sz w:val="24"/>
          <w:szCs w:val="24"/>
          <w:lang w:val="uk-UA" w:eastAsia="ru-RU"/>
        </w:rPr>
        <w:t> 971,1 тис</w:t>
      </w:r>
      <w:r w:rsidRPr="009E3E55">
        <w:rPr>
          <w:rFonts w:ascii="Times New Roman" w:eastAsia="Times New Roman" w:hAnsi="Times New Roman" w:cs="Times New Roman"/>
          <w:sz w:val="24"/>
          <w:szCs w:val="24"/>
          <w:lang w:val="uk-UA" w:eastAsia="ru-RU"/>
        </w:rPr>
        <w:t xml:space="preserve"> гр</w:t>
      </w:r>
      <w:r w:rsidR="009E3E55" w:rsidRPr="009E3E55">
        <w:rPr>
          <w:rFonts w:ascii="Times New Roman" w:eastAsia="Times New Roman" w:hAnsi="Times New Roman" w:cs="Times New Roman"/>
          <w:sz w:val="24"/>
          <w:szCs w:val="24"/>
          <w:lang w:val="uk-UA" w:eastAsia="ru-RU"/>
        </w:rPr>
        <w:t>н</w:t>
      </w:r>
      <w:r w:rsidRPr="009E3E55">
        <w:rPr>
          <w:rFonts w:ascii="Times New Roman" w:eastAsia="Times New Roman" w:hAnsi="Times New Roman" w:cs="Times New Roman"/>
          <w:sz w:val="24"/>
          <w:szCs w:val="24"/>
          <w:lang w:val="uk-UA" w:eastAsia="ru-RU"/>
        </w:rPr>
        <w:t>.</w:t>
      </w:r>
    </w:p>
    <w:p w:rsidR="00AD55F6" w:rsidRDefault="009E3E55" w:rsidP="009E3E55">
      <w:pPr>
        <w:spacing w:after="0" w:line="240" w:lineRule="auto"/>
        <w:ind w:firstLine="567"/>
        <w:jc w:val="both"/>
        <w:rPr>
          <w:rFonts w:ascii="Times New Roman" w:eastAsia="Times New Roman" w:hAnsi="Times New Roman" w:cs="Times New Roman"/>
          <w:sz w:val="24"/>
          <w:szCs w:val="24"/>
          <w:lang w:val="uk-UA" w:eastAsia="ru-RU"/>
        </w:rPr>
      </w:pPr>
      <w:r w:rsidRPr="009E3E55">
        <w:rPr>
          <w:rFonts w:ascii="Times New Roman" w:eastAsia="Times New Roman" w:hAnsi="Times New Roman" w:cs="Times New Roman"/>
          <w:sz w:val="24"/>
          <w:szCs w:val="24"/>
          <w:lang w:val="uk-UA" w:eastAsia="ru-RU"/>
        </w:rPr>
        <w:lastRenderedPageBreak/>
        <w:t>Власних доходів (без урахування міжбюджетних трансфертів) надійшло у сумі                             756</w:t>
      </w:r>
      <w:r>
        <w:rPr>
          <w:rFonts w:ascii="Times New Roman" w:eastAsia="Times New Roman" w:hAnsi="Times New Roman" w:cs="Times New Roman"/>
          <w:sz w:val="24"/>
          <w:szCs w:val="24"/>
          <w:lang w:val="uk-UA" w:eastAsia="ru-RU"/>
        </w:rPr>
        <w:t> </w:t>
      </w:r>
      <w:r w:rsidRPr="009E3E55">
        <w:rPr>
          <w:rFonts w:ascii="Times New Roman" w:eastAsia="Times New Roman" w:hAnsi="Times New Roman" w:cs="Times New Roman"/>
          <w:sz w:val="24"/>
          <w:szCs w:val="24"/>
          <w:lang w:val="uk-UA" w:eastAsia="ru-RU"/>
        </w:rPr>
        <w:t>729</w:t>
      </w:r>
      <w:r>
        <w:rPr>
          <w:rFonts w:ascii="Times New Roman" w:eastAsia="Times New Roman" w:hAnsi="Times New Roman" w:cs="Times New Roman"/>
          <w:sz w:val="24"/>
          <w:szCs w:val="24"/>
          <w:lang w:val="uk-UA" w:eastAsia="ru-RU"/>
        </w:rPr>
        <w:t>,</w:t>
      </w:r>
      <w:r w:rsidRPr="009E3E55">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тис. грн</w:t>
      </w:r>
      <w:r w:rsidRPr="009E3E55">
        <w:rPr>
          <w:rFonts w:ascii="Times New Roman" w:eastAsia="Times New Roman" w:hAnsi="Times New Roman" w:cs="Times New Roman"/>
          <w:sz w:val="24"/>
          <w:szCs w:val="24"/>
          <w:lang w:val="uk-UA" w:eastAsia="ru-RU"/>
        </w:rPr>
        <w:t>, що становить 113,6 % уточненого планового показника на відповідний період, який затверджено в розписі бюджету міської громади у сумі 666</w:t>
      </w:r>
      <w:r>
        <w:rPr>
          <w:rFonts w:ascii="Times New Roman" w:eastAsia="Times New Roman" w:hAnsi="Times New Roman" w:cs="Times New Roman"/>
          <w:sz w:val="24"/>
          <w:szCs w:val="24"/>
          <w:lang w:val="uk-UA" w:eastAsia="ru-RU"/>
        </w:rPr>
        <w:t> </w:t>
      </w:r>
      <w:r w:rsidRPr="009E3E55">
        <w:rPr>
          <w:rFonts w:ascii="Times New Roman" w:eastAsia="Times New Roman" w:hAnsi="Times New Roman" w:cs="Times New Roman"/>
          <w:sz w:val="24"/>
          <w:szCs w:val="24"/>
          <w:lang w:val="uk-UA" w:eastAsia="ru-RU"/>
        </w:rPr>
        <w:t>342</w:t>
      </w:r>
      <w:r>
        <w:rPr>
          <w:rFonts w:ascii="Times New Roman" w:eastAsia="Times New Roman" w:hAnsi="Times New Roman" w:cs="Times New Roman"/>
          <w:sz w:val="24"/>
          <w:szCs w:val="24"/>
          <w:lang w:val="uk-UA" w:eastAsia="ru-RU"/>
        </w:rPr>
        <w:t>,5 тис.</w:t>
      </w:r>
      <w:r w:rsidRPr="009E3E55">
        <w:rPr>
          <w:rFonts w:ascii="Times New Roman" w:eastAsia="Times New Roman" w:hAnsi="Times New Roman" w:cs="Times New Roman"/>
          <w:sz w:val="24"/>
          <w:szCs w:val="24"/>
          <w:lang w:val="uk-UA" w:eastAsia="ru-RU"/>
        </w:rPr>
        <w:t xml:space="preserve"> гр</w:t>
      </w:r>
      <w:r>
        <w:rPr>
          <w:rFonts w:ascii="Times New Roman" w:eastAsia="Times New Roman" w:hAnsi="Times New Roman" w:cs="Times New Roman"/>
          <w:sz w:val="24"/>
          <w:szCs w:val="24"/>
          <w:lang w:val="uk-UA" w:eastAsia="ru-RU"/>
        </w:rPr>
        <w:t>н</w:t>
      </w:r>
      <w:r w:rsidRPr="009E3E55">
        <w:rPr>
          <w:rFonts w:ascii="Times New Roman" w:eastAsia="Times New Roman" w:hAnsi="Times New Roman" w:cs="Times New Roman"/>
          <w:sz w:val="24"/>
          <w:szCs w:val="24"/>
          <w:lang w:val="uk-UA" w:eastAsia="ru-RU"/>
        </w:rPr>
        <w:t>. В порівнянні з аналогічним періодом минулого року надходження власних доходів збільшилось на 239</w:t>
      </w:r>
      <w:r>
        <w:rPr>
          <w:rFonts w:ascii="Times New Roman" w:eastAsia="Times New Roman" w:hAnsi="Times New Roman" w:cs="Times New Roman"/>
          <w:sz w:val="24"/>
          <w:szCs w:val="24"/>
          <w:lang w:val="uk-UA" w:eastAsia="ru-RU"/>
        </w:rPr>
        <w:t> </w:t>
      </w:r>
      <w:r w:rsidRPr="009E3E55">
        <w:rPr>
          <w:rFonts w:ascii="Times New Roman" w:eastAsia="Times New Roman" w:hAnsi="Times New Roman" w:cs="Times New Roman"/>
          <w:sz w:val="24"/>
          <w:szCs w:val="24"/>
          <w:lang w:val="uk-UA" w:eastAsia="ru-RU"/>
        </w:rPr>
        <w:t>126</w:t>
      </w:r>
      <w:r>
        <w:rPr>
          <w:rFonts w:ascii="Times New Roman" w:eastAsia="Times New Roman" w:hAnsi="Times New Roman" w:cs="Times New Roman"/>
          <w:sz w:val="24"/>
          <w:szCs w:val="24"/>
          <w:lang w:val="uk-UA" w:eastAsia="ru-RU"/>
        </w:rPr>
        <w:t>,8</w:t>
      </w:r>
      <w:r w:rsidRPr="009E3E5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тис. </w:t>
      </w:r>
      <w:r w:rsidRPr="009E3E55">
        <w:rPr>
          <w:rFonts w:ascii="Times New Roman" w:eastAsia="Times New Roman" w:hAnsi="Times New Roman" w:cs="Times New Roman"/>
          <w:sz w:val="24"/>
          <w:szCs w:val="24"/>
          <w:lang w:val="uk-UA" w:eastAsia="ru-RU"/>
        </w:rPr>
        <w:t>грн, або на 46,2 %.</w:t>
      </w:r>
    </w:p>
    <w:p w:rsidR="00EA3B96" w:rsidRDefault="00EA3B96" w:rsidP="009E3E55">
      <w:pPr>
        <w:spacing w:after="0" w:line="240" w:lineRule="auto"/>
        <w:ind w:firstLine="567"/>
        <w:jc w:val="both"/>
        <w:rPr>
          <w:rFonts w:ascii="Times New Roman" w:eastAsia="Times New Roman" w:hAnsi="Times New Roman" w:cs="Times New Roman"/>
          <w:sz w:val="24"/>
          <w:szCs w:val="24"/>
          <w:lang w:val="uk-UA" w:eastAsia="ru-RU"/>
        </w:rPr>
      </w:pPr>
    </w:p>
    <w:p w:rsidR="00EA3B96" w:rsidRDefault="00EA3B96" w:rsidP="00EA3B96">
      <w:pPr>
        <w:spacing w:after="0" w:line="240" w:lineRule="auto"/>
        <w:jc w:val="both"/>
        <w:rPr>
          <w:rFonts w:ascii="Times New Roman" w:eastAsia="Times New Roman" w:hAnsi="Times New Roman" w:cs="Times New Roman"/>
          <w:sz w:val="24"/>
          <w:szCs w:val="24"/>
          <w:lang w:val="uk-UA" w:eastAsia="ru-RU"/>
        </w:rPr>
      </w:pPr>
      <w:r w:rsidRPr="00495C2D">
        <w:rPr>
          <w:noProof/>
          <w:sz w:val="26"/>
          <w:szCs w:val="26"/>
          <w:lang w:val="uk-UA" w:eastAsia="uk-UA"/>
        </w:rPr>
        <w:drawing>
          <wp:inline distT="0" distB="0" distL="0" distR="0" wp14:anchorId="5E934021" wp14:editId="521029F3">
            <wp:extent cx="6029325" cy="3262622"/>
            <wp:effectExtent l="0" t="0" r="9525" b="14605"/>
            <wp:docPr id="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A3B96" w:rsidRDefault="00EA3B96" w:rsidP="009E3E55">
      <w:pPr>
        <w:spacing w:after="0" w:line="240" w:lineRule="auto"/>
        <w:ind w:firstLine="567"/>
        <w:jc w:val="both"/>
        <w:rPr>
          <w:rFonts w:ascii="Times New Roman" w:eastAsia="Times New Roman" w:hAnsi="Times New Roman" w:cs="Times New Roman"/>
          <w:sz w:val="24"/>
          <w:szCs w:val="24"/>
          <w:lang w:val="uk-UA" w:eastAsia="ru-RU"/>
        </w:rPr>
      </w:pPr>
    </w:p>
    <w:p w:rsidR="00EA3B96" w:rsidRPr="00545127" w:rsidRDefault="00EA3B96" w:rsidP="009E3E55">
      <w:pPr>
        <w:spacing w:after="0" w:line="240" w:lineRule="auto"/>
        <w:ind w:firstLine="567"/>
        <w:jc w:val="both"/>
        <w:rPr>
          <w:rFonts w:ascii="Times New Roman" w:eastAsia="Times New Roman" w:hAnsi="Times New Roman" w:cs="Times New Roman"/>
          <w:sz w:val="12"/>
          <w:szCs w:val="12"/>
          <w:highlight w:val="yellow"/>
          <w:lang w:val="uk-UA" w:eastAsia="ru-RU"/>
        </w:rPr>
      </w:pPr>
    </w:p>
    <w:p w:rsidR="00FE4F00" w:rsidRPr="00FE4F00" w:rsidRDefault="00FE4F00" w:rsidP="00FE4F00">
      <w:pPr>
        <w:tabs>
          <w:tab w:val="left" w:pos="567"/>
        </w:tabs>
        <w:spacing w:after="0" w:line="240" w:lineRule="auto"/>
        <w:ind w:firstLine="567"/>
        <w:jc w:val="both"/>
        <w:rPr>
          <w:rFonts w:ascii="Times New Roman" w:eastAsia="Times New Roman" w:hAnsi="Times New Roman" w:cs="Times New Roman"/>
          <w:b/>
          <w:sz w:val="24"/>
          <w:szCs w:val="24"/>
          <w:lang w:val="uk-UA" w:eastAsia="ru-RU"/>
        </w:rPr>
      </w:pPr>
      <w:r w:rsidRPr="00FE4F00">
        <w:rPr>
          <w:rFonts w:ascii="Times New Roman" w:eastAsia="Times New Roman" w:hAnsi="Times New Roman" w:cs="Times New Roman"/>
          <w:b/>
          <w:sz w:val="24"/>
          <w:szCs w:val="24"/>
          <w:lang w:val="uk-UA" w:eastAsia="ru-RU"/>
        </w:rPr>
        <w:t>В загальних обсягах надходжень до бюджету міської громади у звітному періоді                 12,7 % або 110</w:t>
      </w:r>
      <w:r>
        <w:rPr>
          <w:rFonts w:ascii="Times New Roman" w:eastAsia="Times New Roman" w:hAnsi="Times New Roman" w:cs="Times New Roman"/>
          <w:b/>
          <w:sz w:val="24"/>
          <w:szCs w:val="24"/>
          <w:lang w:val="uk-UA" w:eastAsia="ru-RU"/>
        </w:rPr>
        <w:t> </w:t>
      </w:r>
      <w:r w:rsidRPr="00FE4F00">
        <w:rPr>
          <w:rFonts w:ascii="Times New Roman" w:eastAsia="Times New Roman" w:hAnsi="Times New Roman" w:cs="Times New Roman"/>
          <w:b/>
          <w:sz w:val="24"/>
          <w:szCs w:val="24"/>
          <w:lang w:val="uk-UA" w:eastAsia="ru-RU"/>
        </w:rPr>
        <w:t>176</w:t>
      </w:r>
      <w:r>
        <w:rPr>
          <w:rFonts w:ascii="Times New Roman" w:eastAsia="Times New Roman" w:hAnsi="Times New Roman" w:cs="Times New Roman"/>
          <w:b/>
          <w:sz w:val="24"/>
          <w:szCs w:val="24"/>
          <w:lang w:val="uk-UA" w:eastAsia="ru-RU"/>
        </w:rPr>
        <w:t>,</w:t>
      </w:r>
      <w:r w:rsidRPr="00FE4F00">
        <w:rPr>
          <w:rFonts w:ascii="Times New Roman" w:eastAsia="Times New Roman" w:hAnsi="Times New Roman" w:cs="Times New Roman"/>
          <w:b/>
          <w:sz w:val="24"/>
          <w:szCs w:val="24"/>
          <w:lang w:val="uk-UA" w:eastAsia="ru-RU"/>
        </w:rPr>
        <w:t>5</w:t>
      </w:r>
      <w:r>
        <w:rPr>
          <w:rFonts w:ascii="Times New Roman" w:eastAsia="Times New Roman" w:hAnsi="Times New Roman" w:cs="Times New Roman"/>
          <w:b/>
          <w:sz w:val="24"/>
          <w:szCs w:val="24"/>
          <w:lang w:val="uk-UA" w:eastAsia="ru-RU"/>
        </w:rPr>
        <w:t xml:space="preserve"> тис. </w:t>
      </w:r>
      <w:r w:rsidRPr="00FE4F00">
        <w:rPr>
          <w:rFonts w:ascii="Times New Roman" w:eastAsia="Times New Roman" w:hAnsi="Times New Roman" w:cs="Times New Roman"/>
          <w:b/>
          <w:sz w:val="24"/>
          <w:szCs w:val="24"/>
          <w:lang w:val="uk-UA" w:eastAsia="ru-RU"/>
        </w:rPr>
        <w:t>г</w:t>
      </w:r>
      <w:r>
        <w:rPr>
          <w:rFonts w:ascii="Times New Roman" w:eastAsia="Times New Roman" w:hAnsi="Times New Roman" w:cs="Times New Roman"/>
          <w:b/>
          <w:sz w:val="24"/>
          <w:szCs w:val="24"/>
          <w:lang w:val="uk-UA" w:eastAsia="ru-RU"/>
        </w:rPr>
        <w:t>рн</w:t>
      </w:r>
      <w:r w:rsidRPr="00FE4F00">
        <w:rPr>
          <w:rFonts w:ascii="Times New Roman" w:eastAsia="Times New Roman" w:hAnsi="Times New Roman" w:cs="Times New Roman"/>
          <w:b/>
          <w:sz w:val="24"/>
          <w:szCs w:val="24"/>
          <w:lang w:val="uk-UA" w:eastAsia="ru-RU"/>
        </w:rPr>
        <w:t xml:space="preserve"> складають надходження офіційних трансфертів від органів державного управління та гранти, що надійшли із бюджетів різних рівнів, а саме: </w:t>
      </w:r>
    </w:p>
    <w:p w:rsidR="00FE4F00" w:rsidRPr="00FE4F00" w:rsidRDefault="00FE4F00" w:rsidP="00141DB6">
      <w:pPr>
        <w:numPr>
          <w:ilvl w:val="0"/>
          <w:numId w:val="7"/>
        </w:numPr>
        <w:tabs>
          <w:tab w:val="left" w:pos="284"/>
        </w:tabs>
        <w:spacing w:after="0" w:line="240" w:lineRule="auto"/>
        <w:ind w:left="0" w:firstLine="567"/>
        <w:contextualSpacing/>
        <w:jc w:val="both"/>
        <w:rPr>
          <w:rFonts w:ascii="Times New Roman" w:eastAsia="Times New Roman" w:hAnsi="Times New Roman" w:cs="Times New Roman"/>
          <w:sz w:val="24"/>
          <w:szCs w:val="24"/>
          <w:lang w:val="uk-UA" w:eastAsia="ru-RU"/>
        </w:rPr>
      </w:pPr>
      <w:r w:rsidRPr="00FE4F00">
        <w:rPr>
          <w:rFonts w:ascii="Times New Roman" w:eastAsia="Times New Roman" w:hAnsi="Times New Roman" w:cs="Times New Roman"/>
          <w:sz w:val="24"/>
          <w:szCs w:val="24"/>
          <w:lang w:val="uk-UA" w:eastAsia="ru-RU"/>
        </w:rPr>
        <w:t xml:space="preserve"> 99</w:t>
      </w:r>
      <w:r>
        <w:rPr>
          <w:rFonts w:ascii="Times New Roman" w:eastAsia="Times New Roman" w:hAnsi="Times New Roman" w:cs="Times New Roman"/>
          <w:sz w:val="24"/>
          <w:szCs w:val="24"/>
          <w:lang w:val="uk-UA" w:eastAsia="ru-RU"/>
        </w:rPr>
        <w:t> </w:t>
      </w:r>
      <w:r w:rsidRPr="00FE4F00">
        <w:rPr>
          <w:rFonts w:ascii="Times New Roman" w:eastAsia="Times New Roman" w:hAnsi="Times New Roman" w:cs="Times New Roman"/>
          <w:sz w:val="24"/>
          <w:szCs w:val="24"/>
          <w:lang w:val="uk-UA" w:eastAsia="ru-RU"/>
        </w:rPr>
        <w:t>516</w:t>
      </w:r>
      <w:r>
        <w:rPr>
          <w:rFonts w:ascii="Times New Roman" w:eastAsia="Times New Roman" w:hAnsi="Times New Roman" w:cs="Times New Roman"/>
          <w:sz w:val="24"/>
          <w:szCs w:val="24"/>
          <w:lang w:val="uk-UA" w:eastAsia="ru-RU"/>
        </w:rPr>
        <w:t>,</w:t>
      </w:r>
      <w:r w:rsidRPr="00FE4F00">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 xml:space="preserve"> тис.</w:t>
      </w:r>
      <w:r w:rsidRPr="00FE4F00">
        <w:rPr>
          <w:rFonts w:ascii="Times New Roman" w:eastAsia="Times New Roman" w:hAnsi="Times New Roman" w:cs="Times New Roman"/>
          <w:sz w:val="24"/>
          <w:szCs w:val="24"/>
          <w:lang w:val="uk-UA" w:eastAsia="ru-RU"/>
        </w:rPr>
        <w:t xml:space="preserve"> грн -  субвенції освітньої галузі; </w:t>
      </w:r>
    </w:p>
    <w:p w:rsidR="00FE4F00" w:rsidRPr="00FE4F00" w:rsidRDefault="00FE4F00" w:rsidP="00141DB6">
      <w:pPr>
        <w:numPr>
          <w:ilvl w:val="0"/>
          <w:numId w:val="7"/>
        </w:numPr>
        <w:tabs>
          <w:tab w:val="left" w:pos="284"/>
        </w:tabs>
        <w:spacing w:after="0" w:line="240" w:lineRule="auto"/>
        <w:ind w:left="0" w:firstLine="567"/>
        <w:contextualSpacing/>
        <w:jc w:val="both"/>
        <w:rPr>
          <w:rFonts w:ascii="Times New Roman" w:eastAsia="Times New Roman" w:hAnsi="Times New Roman" w:cs="Times New Roman"/>
          <w:sz w:val="24"/>
          <w:szCs w:val="24"/>
          <w:lang w:val="uk-UA" w:eastAsia="ru-RU"/>
        </w:rPr>
      </w:pPr>
      <w:r w:rsidRPr="00FE4F00">
        <w:rPr>
          <w:rFonts w:ascii="Times New Roman" w:eastAsia="Times New Roman" w:hAnsi="Times New Roman" w:cs="Times New Roman"/>
          <w:sz w:val="24"/>
          <w:szCs w:val="24"/>
          <w:lang w:val="uk-UA" w:eastAsia="ru-RU"/>
        </w:rPr>
        <w:t xml:space="preserve"> 2</w:t>
      </w:r>
      <w:r>
        <w:rPr>
          <w:rFonts w:ascii="Times New Roman" w:eastAsia="Times New Roman" w:hAnsi="Times New Roman" w:cs="Times New Roman"/>
          <w:sz w:val="24"/>
          <w:szCs w:val="24"/>
          <w:lang w:val="uk-UA" w:eastAsia="ru-RU"/>
        </w:rPr>
        <w:t> </w:t>
      </w:r>
      <w:r w:rsidRPr="00FE4F00">
        <w:rPr>
          <w:rFonts w:ascii="Times New Roman" w:eastAsia="Times New Roman" w:hAnsi="Times New Roman" w:cs="Times New Roman"/>
          <w:sz w:val="24"/>
          <w:szCs w:val="24"/>
          <w:lang w:val="uk-UA" w:eastAsia="ru-RU"/>
        </w:rPr>
        <w:t>240</w:t>
      </w:r>
      <w:r>
        <w:rPr>
          <w:rFonts w:ascii="Times New Roman" w:eastAsia="Times New Roman" w:hAnsi="Times New Roman" w:cs="Times New Roman"/>
          <w:sz w:val="24"/>
          <w:szCs w:val="24"/>
          <w:lang w:val="uk-UA" w:eastAsia="ru-RU"/>
        </w:rPr>
        <w:t>,</w:t>
      </w:r>
      <w:r w:rsidRPr="00FE4F00">
        <w:rPr>
          <w:rFonts w:ascii="Times New Roman" w:eastAsia="Times New Roman" w:hAnsi="Times New Roman" w:cs="Times New Roman"/>
          <w:sz w:val="24"/>
          <w:szCs w:val="24"/>
          <w:lang w:val="uk-UA" w:eastAsia="ru-RU"/>
        </w:rPr>
        <w:t>5</w:t>
      </w:r>
      <w:r w:rsidR="00AC0D49">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тис. </w:t>
      </w:r>
      <w:r w:rsidRPr="00FE4F00">
        <w:rPr>
          <w:rFonts w:ascii="Times New Roman" w:eastAsia="Times New Roman" w:hAnsi="Times New Roman" w:cs="Times New Roman"/>
          <w:sz w:val="24"/>
          <w:szCs w:val="24"/>
          <w:lang w:val="uk-UA" w:eastAsia="ru-RU"/>
        </w:rPr>
        <w:t>грн - субвенція з місцевого бюджету на виплату грошової компенсації за належні для отримання жилі приміщення для сімей учасників бойових дій на території інших держав, визначених у </w:t>
      </w:r>
      <w:hyperlink r:id="rId11" w:anchor="n149" w:tgtFrame="_blank" w:history="1">
        <w:r w:rsidRPr="00FE4F00">
          <w:rPr>
            <w:rFonts w:ascii="Times New Roman" w:eastAsia="Times New Roman" w:hAnsi="Times New Roman" w:cs="Times New Roman"/>
            <w:sz w:val="24"/>
            <w:szCs w:val="24"/>
            <w:lang w:val="uk-UA" w:eastAsia="ru-RU"/>
          </w:rPr>
          <w:t>абзаці першому</w:t>
        </w:r>
      </w:hyperlink>
      <w:r w:rsidRPr="00FE4F00">
        <w:rPr>
          <w:rFonts w:ascii="Times New Roman" w:eastAsia="Times New Roman" w:hAnsi="Times New Roman" w:cs="Times New Roman"/>
          <w:sz w:val="24"/>
          <w:szCs w:val="24"/>
          <w:lang w:val="uk-UA" w:eastAsia="ru-RU"/>
        </w:rPr>
        <w:t> пункту 1 статті 10 Закону України "Про статус ветеранів війни, гарантії їх соціального захисту", для осіб з інвалідністю I - II групи з числа учасників бойових дій на території інших держав, інвалідність яких настала внаслідок поранення, контузії, каліцтва або захворювання, пов'язаних з перебуванням у цих державах, визначених </w:t>
      </w:r>
      <w:hyperlink r:id="rId12" w:anchor="n92" w:tgtFrame="_blank" w:history="1">
        <w:r w:rsidRPr="00FE4F00">
          <w:rPr>
            <w:rFonts w:ascii="Times New Roman" w:eastAsia="Times New Roman" w:hAnsi="Times New Roman" w:cs="Times New Roman"/>
            <w:sz w:val="24"/>
            <w:szCs w:val="24"/>
            <w:lang w:val="uk-UA" w:eastAsia="ru-RU"/>
          </w:rPr>
          <w:t>пунктом 7</w:t>
        </w:r>
      </w:hyperlink>
      <w:r w:rsidRPr="00FE4F00">
        <w:rPr>
          <w:rFonts w:ascii="Times New Roman" w:eastAsia="Times New Roman" w:hAnsi="Times New Roman" w:cs="Times New Roman"/>
          <w:sz w:val="24"/>
          <w:szCs w:val="24"/>
          <w:lang w:val="uk-UA" w:eastAsia="ru-RU"/>
        </w:rPr>
        <w:t>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p>
    <w:p w:rsidR="00FE4F00" w:rsidRPr="00FE4F00" w:rsidRDefault="00FE4F00" w:rsidP="00141DB6">
      <w:pPr>
        <w:numPr>
          <w:ilvl w:val="0"/>
          <w:numId w:val="7"/>
        </w:numPr>
        <w:tabs>
          <w:tab w:val="left" w:pos="0"/>
        </w:tabs>
        <w:spacing w:after="0" w:line="240" w:lineRule="auto"/>
        <w:ind w:left="0" w:firstLine="567"/>
        <w:contextualSpacing/>
        <w:jc w:val="both"/>
        <w:rPr>
          <w:rFonts w:ascii="Times New Roman" w:eastAsia="Times New Roman" w:hAnsi="Times New Roman" w:cs="Times New Roman"/>
          <w:sz w:val="24"/>
          <w:szCs w:val="24"/>
          <w:lang w:val="uk-UA" w:eastAsia="ru-RU"/>
        </w:rPr>
      </w:pPr>
      <w:r w:rsidRPr="00FE4F00">
        <w:rPr>
          <w:rFonts w:ascii="Times New Roman" w:eastAsia="Times New Roman" w:hAnsi="Times New Roman" w:cs="Times New Roman"/>
          <w:sz w:val="24"/>
          <w:szCs w:val="24"/>
          <w:lang w:val="uk-UA" w:eastAsia="ru-RU"/>
        </w:rPr>
        <w:t>2</w:t>
      </w:r>
      <w:r>
        <w:rPr>
          <w:rFonts w:ascii="Times New Roman" w:eastAsia="Times New Roman" w:hAnsi="Times New Roman" w:cs="Times New Roman"/>
          <w:sz w:val="24"/>
          <w:szCs w:val="24"/>
          <w:lang w:val="uk-UA" w:eastAsia="ru-RU"/>
        </w:rPr>
        <w:t> </w:t>
      </w:r>
      <w:r w:rsidRPr="00FE4F00">
        <w:rPr>
          <w:rFonts w:ascii="Times New Roman" w:eastAsia="Times New Roman" w:hAnsi="Times New Roman" w:cs="Times New Roman"/>
          <w:sz w:val="24"/>
          <w:szCs w:val="24"/>
          <w:lang w:val="uk-UA" w:eastAsia="ru-RU"/>
        </w:rPr>
        <w:t>353</w:t>
      </w:r>
      <w:r>
        <w:rPr>
          <w:rFonts w:ascii="Times New Roman" w:eastAsia="Times New Roman" w:hAnsi="Times New Roman" w:cs="Times New Roman"/>
          <w:sz w:val="24"/>
          <w:szCs w:val="24"/>
          <w:lang w:val="uk-UA" w:eastAsia="ru-RU"/>
        </w:rPr>
        <w:t>,</w:t>
      </w:r>
      <w:r w:rsidRPr="00FE4F00">
        <w:rPr>
          <w:rFonts w:ascii="Times New Roman" w:eastAsia="Times New Roman" w:hAnsi="Times New Roman" w:cs="Times New Roman"/>
          <w:sz w:val="24"/>
          <w:szCs w:val="24"/>
          <w:lang w:val="uk-UA" w:eastAsia="ru-RU"/>
        </w:rPr>
        <w:t>3</w:t>
      </w:r>
      <w:r>
        <w:rPr>
          <w:rFonts w:ascii="Times New Roman" w:eastAsia="Times New Roman" w:hAnsi="Times New Roman" w:cs="Times New Roman"/>
          <w:sz w:val="24"/>
          <w:szCs w:val="24"/>
          <w:lang w:val="uk-UA" w:eastAsia="ru-RU"/>
        </w:rPr>
        <w:t xml:space="preserve"> тис.</w:t>
      </w:r>
      <w:r w:rsidRPr="00FE4F00">
        <w:rPr>
          <w:rFonts w:ascii="Times New Roman" w:eastAsia="Times New Roman" w:hAnsi="Times New Roman" w:cs="Times New Roman"/>
          <w:sz w:val="24"/>
          <w:szCs w:val="24"/>
          <w:lang w:val="uk-UA" w:eastAsia="ru-RU"/>
        </w:rPr>
        <w:t xml:space="preserve"> грн - субвенція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 пунктів 11 - 14 частини другої статті 7 або учасниками бойових дій відповідно до пунктів 19 - 20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p>
    <w:p w:rsidR="00FE4F00" w:rsidRPr="00FE4F00" w:rsidRDefault="00FE4F00" w:rsidP="00141DB6">
      <w:pPr>
        <w:numPr>
          <w:ilvl w:val="0"/>
          <w:numId w:val="7"/>
        </w:numPr>
        <w:tabs>
          <w:tab w:val="left" w:pos="284"/>
        </w:tabs>
        <w:spacing w:after="0" w:line="240" w:lineRule="auto"/>
        <w:ind w:left="0" w:firstLine="567"/>
        <w:contextualSpacing/>
        <w:jc w:val="both"/>
        <w:rPr>
          <w:rFonts w:ascii="Times New Roman" w:eastAsia="Times New Roman" w:hAnsi="Times New Roman" w:cs="Times New Roman"/>
          <w:sz w:val="24"/>
          <w:szCs w:val="24"/>
          <w:lang w:val="uk-UA" w:eastAsia="ru-RU"/>
        </w:rPr>
      </w:pPr>
      <w:r w:rsidRPr="00FE4F00">
        <w:rPr>
          <w:rFonts w:ascii="Times New Roman" w:eastAsia="Times New Roman" w:hAnsi="Times New Roman" w:cs="Times New Roman"/>
          <w:sz w:val="24"/>
          <w:szCs w:val="24"/>
          <w:lang w:val="uk-UA" w:eastAsia="ru-RU"/>
        </w:rPr>
        <w:t>2</w:t>
      </w:r>
      <w:r w:rsidR="00DC44DE">
        <w:rPr>
          <w:rFonts w:ascii="Times New Roman" w:eastAsia="Times New Roman" w:hAnsi="Times New Roman" w:cs="Times New Roman"/>
          <w:sz w:val="24"/>
          <w:szCs w:val="24"/>
          <w:lang w:val="uk-UA" w:eastAsia="ru-RU"/>
        </w:rPr>
        <w:t> </w:t>
      </w:r>
      <w:r w:rsidRPr="00FE4F00">
        <w:rPr>
          <w:rFonts w:ascii="Times New Roman" w:eastAsia="Times New Roman" w:hAnsi="Times New Roman" w:cs="Times New Roman"/>
          <w:sz w:val="24"/>
          <w:szCs w:val="24"/>
          <w:lang w:val="uk-UA" w:eastAsia="ru-RU"/>
        </w:rPr>
        <w:t>482</w:t>
      </w:r>
      <w:r w:rsidR="00DC44DE">
        <w:rPr>
          <w:rFonts w:ascii="Times New Roman" w:eastAsia="Times New Roman" w:hAnsi="Times New Roman" w:cs="Times New Roman"/>
          <w:sz w:val="24"/>
          <w:szCs w:val="24"/>
          <w:lang w:val="uk-UA" w:eastAsia="ru-RU"/>
        </w:rPr>
        <w:t>,</w:t>
      </w:r>
      <w:r w:rsidRPr="00FE4F00">
        <w:rPr>
          <w:rFonts w:ascii="Times New Roman" w:eastAsia="Times New Roman" w:hAnsi="Times New Roman" w:cs="Times New Roman"/>
          <w:sz w:val="24"/>
          <w:szCs w:val="24"/>
          <w:lang w:val="uk-UA" w:eastAsia="ru-RU"/>
        </w:rPr>
        <w:t>7</w:t>
      </w:r>
      <w:r w:rsidR="00DC44DE">
        <w:rPr>
          <w:rFonts w:ascii="Times New Roman" w:eastAsia="Times New Roman" w:hAnsi="Times New Roman" w:cs="Times New Roman"/>
          <w:sz w:val="24"/>
          <w:szCs w:val="24"/>
          <w:lang w:val="uk-UA" w:eastAsia="ru-RU"/>
        </w:rPr>
        <w:t xml:space="preserve"> тис.</w:t>
      </w:r>
      <w:r w:rsidRPr="00FE4F00">
        <w:rPr>
          <w:rFonts w:ascii="Times New Roman" w:eastAsia="Times New Roman" w:hAnsi="Times New Roman" w:cs="Times New Roman"/>
          <w:sz w:val="24"/>
          <w:szCs w:val="24"/>
          <w:lang w:val="uk-UA" w:eastAsia="ru-RU"/>
        </w:rPr>
        <w:t xml:space="preserve"> г</w:t>
      </w:r>
      <w:r w:rsidR="00DC44DE">
        <w:rPr>
          <w:rFonts w:ascii="Times New Roman" w:eastAsia="Times New Roman" w:hAnsi="Times New Roman" w:cs="Times New Roman"/>
          <w:sz w:val="24"/>
          <w:szCs w:val="24"/>
          <w:lang w:val="uk-UA" w:eastAsia="ru-RU"/>
        </w:rPr>
        <w:t>р</w:t>
      </w:r>
      <w:r w:rsidRPr="00FE4F00">
        <w:rPr>
          <w:rFonts w:ascii="Times New Roman" w:eastAsia="Times New Roman" w:hAnsi="Times New Roman" w:cs="Times New Roman"/>
          <w:sz w:val="24"/>
          <w:szCs w:val="24"/>
          <w:lang w:val="uk-UA" w:eastAsia="ru-RU"/>
        </w:rPr>
        <w:t>н - інші субвенції з місцевого бюджету, із яких:</w:t>
      </w:r>
    </w:p>
    <w:p w:rsidR="00FE4F00" w:rsidRPr="00FE4F00" w:rsidRDefault="00FE4F00" w:rsidP="00FE4F00">
      <w:pPr>
        <w:tabs>
          <w:tab w:val="left" w:pos="284"/>
        </w:tabs>
        <w:spacing w:after="0" w:line="240" w:lineRule="auto"/>
        <w:ind w:firstLine="567"/>
        <w:jc w:val="both"/>
        <w:rPr>
          <w:rFonts w:ascii="Times New Roman" w:eastAsia="Times New Roman" w:hAnsi="Times New Roman" w:cs="Times New Roman"/>
          <w:sz w:val="24"/>
          <w:szCs w:val="24"/>
          <w:lang w:val="uk-UA" w:eastAsia="ru-RU"/>
        </w:rPr>
      </w:pPr>
      <w:r w:rsidRPr="00FE4F00">
        <w:rPr>
          <w:rFonts w:ascii="Times New Roman" w:eastAsia="Times New Roman" w:hAnsi="Times New Roman" w:cs="Times New Roman"/>
          <w:sz w:val="24"/>
          <w:szCs w:val="24"/>
          <w:lang w:val="uk-UA" w:eastAsia="ru-RU"/>
        </w:rPr>
        <w:t>- 287</w:t>
      </w:r>
      <w:r w:rsidR="00DC44DE">
        <w:rPr>
          <w:rFonts w:ascii="Times New Roman" w:eastAsia="Times New Roman" w:hAnsi="Times New Roman" w:cs="Times New Roman"/>
          <w:sz w:val="24"/>
          <w:szCs w:val="24"/>
          <w:lang w:val="uk-UA" w:eastAsia="ru-RU"/>
        </w:rPr>
        <w:t>,</w:t>
      </w:r>
      <w:r w:rsidRPr="00FE4F00">
        <w:rPr>
          <w:rFonts w:ascii="Times New Roman" w:eastAsia="Times New Roman" w:hAnsi="Times New Roman" w:cs="Times New Roman"/>
          <w:sz w:val="24"/>
          <w:szCs w:val="24"/>
          <w:lang w:val="uk-UA" w:eastAsia="ru-RU"/>
        </w:rPr>
        <w:t>7</w:t>
      </w:r>
      <w:r w:rsidR="00DC44DE">
        <w:rPr>
          <w:rFonts w:ascii="Times New Roman" w:eastAsia="Times New Roman" w:hAnsi="Times New Roman" w:cs="Times New Roman"/>
          <w:sz w:val="24"/>
          <w:szCs w:val="24"/>
          <w:lang w:val="uk-UA" w:eastAsia="ru-RU"/>
        </w:rPr>
        <w:t xml:space="preserve"> тис. </w:t>
      </w:r>
      <w:r w:rsidRPr="00FE4F00">
        <w:rPr>
          <w:rFonts w:ascii="Times New Roman" w:eastAsia="Times New Roman" w:hAnsi="Times New Roman" w:cs="Times New Roman"/>
          <w:sz w:val="24"/>
          <w:szCs w:val="24"/>
          <w:lang w:val="uk-UA" w:eastAsia="ru-RU"/>
        </w:rPr>
        <w:t>грн – субвенція з обласного бюджету Одеської області  для надання інших пільг окремим категоріям громадян;</w:t>
      </w:r>
    </w:p>
    <w:p w:rsidR="00FE4F00" w:rsidRPr="00FE4F00" w:rsidRDefault="00FE4F00" w:rsidP="00FE4F00">
      <w:pPr>
        <w:tabs>
          <w:tab w:val="left" w:pos="284"/>
        </w:tabs>
        <w:spacing w:after="0" w:line="240" w:lineRule="auto"/>
        <w:ind w:firstLine="567"/>
        <w:jc w:val="both"/>
        <w:rPr>
          <w:rFonts w:ascii="Times New Roman" w:eastAsia="Times New Roman" w:hAnsi="Times New Roman" w:cs="Times New Roman"/>
          <w:sz w:val="24"/>
          <w:szCs w:val="24"/>
          <w:lang w:val="uk-UA" w:eastAsia="ru-RU"/>
        </w:rPr>
      </w:pPr>
      <w:r w:rsidRPr="00FE4F00">
        <w:rPr>
          <w:rFonts w:ascii="Times New Roman" w:eastAsia="Times New Roman" w:hAnsi="Times New Roman" w:cs="Times New Roman"/>
          <w:sz w:val="24"/>
          <w:szCs w:val="24"/>
          <w:lang w:val="uk-UA" w:eastAsia="ru-RU"/>
        </w:rPr>
        <w:lastRenderedPageBreak/>
        <w:t>- 350</w:t>
      </w:r>
      <w:r w:rsidR="00DC44DE">
        <w:rPr>
          <w:rFonts w:ascii="Times New Roman" w:eastAsia="Times New Roman" w:hAnsi="Times New Roman" w:cs="Times New Roman"/>
          <w:sz w:val="24"/>
          <w:szCs w:val="24"/>
          <w:lang w:val="uk-UA" w:eastAsia="ru-RU"/>
        </w:rPr>
        <w:t>,</w:t>
      </w:r>
      <w:r w:rsidRPr="00FE4F00">
        <w:rPr>
          <w:rFonts w:ascii="Times New Roman" w:eastAsia="Times New Roman" w:hAnsi="Times New Roman" w:cs="Times New Roman"/>
          <w:sz w:val="24"/>
          <w:szCs w:val="24"/>
          <w:lang w:val="uk-UA" w:eastAsia="ru-RU"/>
        </w:rPr>
        <w:t>0</w:t>
      </w:r>
      <w:r w:rsidR="000D4045">
        <w:rPr>
          <w:rFonts w:ascii="Times New Roman" w:eastAsia="Times New Roman" w:hAnsi="Times New Roman" w:cs="Times New Roman"/>
          <w:sz w:val="24"/>
          <w:szCs w:val="24"/>
          <w:lang w:val="uk-UA" w:eastAsia="ru-RU"/>
        </w:rPr>
        <w:t xml:space="preserve"> тис.</w:t>
      </w:r>
      <w:r w:rsidRPr="00FE4F00">
        <w:rPr>
          <w:rFonts w:ascii="Times New Roman" w:eastAsia="Times New Roman" w:hAnsi="Times New Roman" w:cs="Times New Roman"/>
          <w:sz w:val="24"/>
          <w:szCs w:val="24"/>
          <w:lang w:val="uk-UA" w:eastAsia="ru-RU"/>
        </w:rPr>
        <w:t xml:space="preserve"> грн – субвенція  з бюджету  </w:t>
      </w:r>
      <w:proofErr w:type="spellStart"/>
      <w:r w:rsidRPr="00FE4F00">
        <w:rPr>
          <w:rFonts w:ascii="Times New Roman" w:eastAsia="Times New Roman" w:hAnsi="Times New Roman" w:cs="Times New Roman"/>
          <w:sz w:val="24"/>
          <w:szCs w:val="24"/>
          <w:lang w:val="uk-UA" w:eastAsia="ru-RU"/>
        </w:rPr>
        <w:t>Дальницької</w:t>
      </w:r>
      <w:proofErr w:type="spellEnd"/>
      <w:r w:rsidRPr="00FE4F00">
        <w:rPr>
          <w:rFonts w:ascii="Times New Roman" w:eastAsia="Times New Roman" w:hAnsi="Times New Roman" w:cs="Times New Roman"/>
          <w:sz w:val="24"/>
          <w:szCs w:val="24"/>
          <w:lang w:val="uk-UA" w:eastAsia="ru-RU"/>
        </w:rPr>
        <w:t xml:space="preserve"> сільської ТГ  для надання фінансової підтримки Комунальному некомерційному підприємству "Чорноморська лікарня" Чорноморської міської ради Одеського району Одеської області на оплату частини комунальних послуг та енергоносіїв для надання підприємством вторинної (спеціалізованої) медичної допомоги населенню </w:t>
      </w:r>
      <w:proofErr w:type="spellStart"/>
      <w:r w:rsidRPr="00FE4F00">
        <w:rPr>
          <w:rFonts w:ascii="Times New Roman" w:eastAsia="Times New Roman" w:hAnsi="Times New Roman" w:cs="Times New Roman"/>
          <w:sz w:val="24"/>
          <w:szCs w:val="24"/>
          <w:lang w:val="uk-UA" w:eastAsia="ru-RU"/>
        </w:rPr>
        <w:t>Дальницької</w:t>
      </w:r>
      <w:proofErr w:type="spellEnd"/>
      <w:r w:rsidRPr="00FE4F00">
        <w:rPr>
          <w:rFonts w:ascii="Times New Roman" w:eastAsia="Times New Roman" w:hAnsi="Times New Roman" w:cs="Times New Roman"/>
          <w:sz w:val="24"/>
          <w:szCs w:val="24"/>
          <w:lang w:val="uk-UA" w:eastAsia="ru-RU"/>
        </w:rPr>
        <w:t xml:space="preserve"> сільської територіальної громади Одеського району Одеської області;</w:t>
      </w:r>
    </w:p>
    <w:p w:rsidR="00FE4F00" w:rsidRPr="00FE4F00" w:rsidRDefault="00FE4F00" w:rsidP="00FE4F00">
      <w:pPr>
        <w:tabs>
          <w:tab w:val="left" w:pos="284"/>
        </w:tabs>
        <w:spacing w:after="0" w:line="240" w:lineRule="auto"/>
        <w:ind w:firstLine="567"/>
        <w:jc w:val="both"/>
        <w:rPr>
          <w:rFonts w:ascii="Times New Roman" w:eastAsia="Times New Roman" w:hAnsi="Times New Roman" w:cs="Times New Roman"/>
          <w:sz w:val="24"/>
          <w:szCs w:val="24"/>
          <w:lang w:val="uk-UA" w:eastAsia="ru-RU"/>
        </w:rPr>
      </w:pPr>
      <w:r w:rsidRPr="00FE4F00">
        <w:rPr>
          <w:rFonts w:ascii="Times New Roman" w:eastAsia="Times New Roman" w:hAnsi="Times New Roman" w:cs="Times New Roman"/>
          <w:sz w:val="24"/>
          <w:szCs w:val="24"/>
          <w:lang w:val="uk-UA" w:eastAsia="ru-RU"/>
        </w:rPr>
        <w:t>- 1</w:t>
      </w:r>
      <w:r w:rsidR="00DA31F3">
        <w:rPr>
          <w:rFonts w:ascii="Times New Roman" w:eastAsia="Times New Roman" w:hAnsi="Times New Roman" w:cs="Times New Roman"/>
          <w:sz w:val="24"/>
          <w:szCs w:val="24"/>
          <w:lang w:val="uk-UA" w:eastAsia="ru-RU"/>
        </w:rPr>
        <w:t> </w:t>
      </w:r>
      <w:r w:rsidRPr="00FE4F00">
        <w:rPr>
          <w:rFonts w:ascii="Times New Roman" w:eastAsia="Times New Roman" w:hAnsi="Times New Roman" w:cs="Times New Roman"/>
          <w:sz w:val="24"/>
          <w:szCs w:val="24"/>
          <w:lang w:val="uk-UA" w:eastAsia="ru-RU"/>
        </w:rPr>
        <w:t>845</w:t>
      </w:r>
      <w:r w:rsidR="00DA31F3">
        <w:rPr>
          <w:rFonts w:ascii="Times New Roman" w:eastAsia="Times New Roman" w:hAnsi="Times New Roman" w:cs="Times New Roman"/>
          <w:sz w:val="24"/>
          <w:szCs w:val="24"/>
          <w:lang w:val="uk-UA" w:eastAsia="ru-RU"/>
        </w:rPr>
        <w:t>,</w:t>
      </w:r>
      <w:r w:rsidRPr="00FE4F00">
        <w:rPr>
          <w:rFonts w:ascii="Times New Roman" w:eastAsia="Times New Roman" w:hAnsi="Times New Roman" w:cs="Times New Roman"/>
          <w:sz w:val="24"/>
          <w:szCs w:val="24"/>
          <w:lang w:val="uk-UA" w:eastAsia="ru-RU"/>
        </w:rPr>
        <w:t>0</w:t>
      </w:r>
      <w:r w:rsidR="00DA31F3">
        <w:rPr>
          <w:rFonts w:ascii="Times New Roman" w:eastAsia="Times New Roman" w:hAnsi="Times New Roman" w:cs="Times New Roman"/>
          <w:sz w:val="24"/>
          <w:szCs w:val="24"/>
          <w:lang w:val="uk-UA" w:eastAsia="ru-RU"/>
        </w:rPr>
        <w:t xml:space="preserve"> тис.</w:t>
      </w:r>
      <w:r w:rsidRPr="00FE4F00">
        <w:rPr>
          <w:rFonts w:ascii="Times New Roman" w:eastAsia="Times New Roman" w:hAnsi="Times New Roman" w:cs="Times New Roman"/>
          <w:sz w:val="24"/>
          <w:szCs w:val="24"/>
          <w:lang w:val="uk-UA" w:eastAsia="ru-RU"/>
        </w:rPr>
        <w:t xml:space="preserve"> грн – субвенція з бюджету Великодолинської селищної ТГ, в тому                      числі 720</w:t>
      </w:r>
      <w:r w:rsidR="00DA31F3">
        <w:rPr>
          <w:rFonts w:ascii="Times New Roman" w:eastAsia="Times New Roman" w:hAnsi="Times New Roman" w:cs="Times New Roman"/>
          <w:sz w:val="24"/>
          <w:szCs w:val="24"/>
          <w:lang w:val="uk-UA" w:eastAsia="ru-RU"/>
        </w:rPr>
        <w:t>,</w:t>
      </w:r>
      <w:r w:rsidRPr="00FE4F00">
        <w:rPr>
          <w:rFonts w:ascii="Times New Roman" w:eastAsia="Times New Roman" w:hAnsi="Times New Roman" w:cs="Times New Roman"/>
          <w:sz w:val="24"/>
          <w:szCs w:val="24"/>
          <w:lang w:val="uk-UA" w:eastAsia="ru-RU"/>
        </w:rPr>
        <w:t>0</w:t>
      </w:r>
      <w:r w:rsidR="00DA31F3">
        <w:rPr>
          <w:rFonts w:ascii="Times New Roman" w:eastAsia="Times New Roman" w:hAnsi="Times New Roman" w:cs="Times New Roman"/>
          <w:sz w:val="24"/>
          <w:szCs w:val="24"/>
          <w:lang w:val="uk-UA" w:eastAsia="ru-RU"/>
        </w:rPr>
        <w:t xml:space="preserve"> </w:t>
      </w:r>
      <w:proofErr w:type="spellStart"/>
      <w:r w:rsidR="00DA31F3">
        <w:rPr>
          <w:rFonts w:ascii="Times New Roman" w:eastAsia="Times New Roman" w:hAnsi="Times New Roman" w:cs="Times New Roman"/>
          <w:sz w:val="24"/>
          <w:szCs w:val="24"/>
          <w:lang w:val="uk-UA" w:eastAsia="ru-RU"/>
        </w:rPr>
        <w:t>тис.</w:t>
      </w:r>
      <w:r w:rsidRPr="00FE4F00">
        <w:rPr>
          <w:rFonts w:ascii="Times New Roman" w:eastAsia="Times New Roman" w:hAnsi="Times New Roman" w:cs="Times New Roman"/>
          <w:sz w:val="24"/>
          <w:szCs w:val="24"/>
          <w:lang w:val="uk-UA" w:eastAsia="ru-RU"/>
        </w:rPr>
        <w:t>грн</w:t>
      </w:r>
      <w:proofErr w:type="spellEnd"/>
      <w:r w:rsidRPr="00FE4F00">
        <w:rPr>
          <w:rFonts w:ascii="Times New Roman" w:eastAsia="Times New Roman" w:hAnsi="Times New Roman" w:cs="Times New Roman"/>
          <w:sz w:val="24"/>
          <w:szCs w:val="24"/>
          <w:lang w:val="uk-UA" w:eastAsia="ru-RU"/>
        </w:rPr>
        <w:t xml:space="preserve"> на фінансування Комунальної установи "Територіальний центр соціального обслуговування (надання соціальних послуг) Чорноморської міської ради Одеського району Одеської області" для надання соціальних послуг у 2023 році за місцем проживання громадянам Великодолинської селищної територіальної громади Одеського району Одеської області та 1</w:t>
      </w:r>
      <w:r w:rsidR="00DA31F3">
        <w:rPr>
          <w:rFonts w:ascii="Times New Roman" w:eastAsia="Times New Roman" w:hAnsi="Times New Roman" w:cs="Times New Roman"/>
          <w:sz w:val="24"/>
          <w:szCs w:val="24"/>
          <w:lang w:val="uk-UA" w:eastAsia="ru-RU"/>
        </w:rPr>
        <w:t> </w:t>
      </w:r>
      <w:r w:rsidRPr="00FE4F00">
        <w:rPr>
          <w:rFonts w:ascii="Times New Roman" w:eastAsia="Times New Roman" w:hAnsi="Times New Roman" w:cs="Times New Roman"/>
          <w:sz w:val="24"/>
          <w:szCs w:val="24"/>
          <w:lang w:val="uk-UA" w:eastAsia="ru-RU"/>
        </w:rPr>
        <w:t>125</w:t>
      </w:r>
      <w:r w:rsidR="00DA31F3">
        <w:rPr>
          <w:rFonts w:ascii="Times New Roman" w:eastAsia="Times New Roman" w:hAnsi="Times New Roman" w:cs="Times New Roman"/>
          <w:sz w:val="24"/>
          <w:szCs w:val="24"/>
          <w:lang w:val="uk-UA" w:eastAsia="ru-RU"/>
        </w:rPr>
        <w:t>,</w:t>
      </w:r>
      <w:r w:rsidRPr="00FE4F00">
        <w:rPr>
          <w:rFonts w:ascii="Times New Roman" w:eastAsia="Times New Roman" w:hAnsi="Times New Roman" w:cs="Times New Roman"/>
          <w:sz w:val="24"/>
          <w:szCs w:val="24"/>
          <w:lang w:val="uk-UA" w:eastAsia="ru-RU"/>
        </w:rPr>
        <w:t>0</w:t>
      </w:r>
      <w:r w:rsidR="00DA31F3">
        <w:rPr>
          <w:rFonts w:ascii="Times New Roman" w:eastAsia="Times New Roman" w:hAnsi="Times New Roman" w:cs="Times New Roman"/>
          <w:sz w:val="24"/>
          <w:szCs w:val="24"/>
          <w:lang w:val="uk-UA" w:eastAsia="ru-RU"/>
        </w:rPr>
        <w:t xml:space="preserve"> тис.</w:t>
      </w:r>
      <w:r w:rsidRPr="00FE4F00">
        <w:rPr>
          <w:rFonts w:ascii="Times New Roman" w:eastAsia="Times New Roman" w:hAnsi="Times New Roman" w:cs="Times New Roman"/>
          <w:sz w:val="24"/>
          <w:szCs w:val="24"/>
          <w:lang w:val="uk-UA" w:eastAsia="ru-RU"/>
        </w:rPr>
        <w:t xml:space="preserve"> грн для надання фінансової підтримки Комунальному некомерційному підприємству «Чорноморська лікарня» Чорноморської міської ради Одеського району Одеської області на оплату частини комунальних послуг та енергоносіїв  для надання підприємством вторинної (спеціалізованої) медичної допомоги населенню Великодолинської селищної територіальної громади Одеського району Одеської області; </w:t>
      </w:r>
    </w:p>
    <w:p w:rsidR="00FE4F00" w:rsidRPr="00FE4F00" w:rsidRDefault="00F152E4" w:rsidP="00141DB6">
      <w:pPr>
        <w:numPr>
          <w:ilvl w:val="0"/>
          <w:numId w:val="7"/>
        </w:numPr>
        <w:tabs>
          <w:tab w:val="left" w:pos="284"/>
        </w:tabs>
        <w:spacing w:after="0" w:line="240" w:lineRule="auto"/>
        <w:ind w:left="0" w:firstLine="567"/>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FE4F00" w:rsidRPr="00FE4F00">
        <w:rPr>
          <w:rFonts w:ascii="Times New Roman" w:eastAsia="Times New Roman" w:hAnsi="Times New Roman" w:cs="Times New Roman"/>
          <w:sz w:val="24"/>
          <w:szCs w:val="24"/>
          <w:lang w:val="uk-UA" w:eastAsia="ru-RU"/>
        </w:rPr>
        <w:t>68</w:t>
      </w:r>
      <w:r>
        <w:rPr>
          <w:rFonts w:ascii="Times New Roman" w:eastAsia="Times New Roman" w:hAnsi="Times New Roman" w:cs="Times New Roman"/>
          <w:sz w:val="24"/>
          <w:szCs w:val="24"/>
          <w:lang w:val="uk-UA" w:eastAsia="ru-RU"/>
        </w:rPr>
        <w:t>,7 тис. грн</w:t>
      </w:r>
      <w:r w:rsidR="00FE4F00" w:rsidRPr="00FE4F00">
        <w:rPr>
          <w:rFonts w:ascii="Times New Roman" w:eastAsia="Times New Roman" w:hAnsi="Times New Roman" w:cs="Times New Roman"/>
          <w:sz w:val="24"/>
          <w:szCs w:val="24"/>
          <w:lang w:val="uk-UA" w:eastAsia="ru-RU"/>
        </w:rPr>
        <w:t xml:space="preserve"> - 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w:t>
      </w:r>
    </w:p>
    <w:p w:rsidR="00FE4F00" w:rsidRPr="00FE4F00" w:rsidRDefault="00FE4F00" w:rsidP="00141DB6">
      <w:pPr>
        <w:numPr>
          <w:ilvl w:val="0"/>
          <w:numId w:val="7"/>
        </w:numPr>
        <w:tabs>
          <w:tab w:val="left" w:pos="284"/>
        </w:tabs>
        <w:spacing w:after="0" w:line="240" w:lineRule="auto"/>
        <w:ind w:left="0" w:firstLine="567"/>
        <w:contextualSpacing/>
        <w:jc w:val="both"/>
        <w:rPr>
          <w:rFonts w:ascii="Times New Roman" w:eastAsia="Times New Roman" w:hAnsi="Times New Roman" w:cs="Times New Roman"/>
          <w:sz w:val="24"/>
          <w:szCs w:val="24"/>
          <w:lang w:val="uk-UA" w:eastAsia="ru-RU"/>
        </w:rPr>
      </w:pPr>
      <w:r w:rsidRPr="00FE4F00">
        <w:rPr>
          <w:rFonts w:ascii="Times New Roman" w:eastAsia="Times New Roman" w:hAnsi="Times New Roman" w:cs="Times New Roman"/>
          <w:sz w:val="24"/>
          <w:szCs w:val="24"/>
          <w:lang w:val="uk-UA" w:eastAsia="ru-RU"/>
        </w:rPr>
        <w:t xml:space="preserve"> 3</w:t>
      </w:r>
      <w:r w:rsidR="00F152E4">
        <w:rPr>
          <w:rFonts w:ascii="Times New Roman" w:eastAsia="Times New Roman" w:hAnsi="Times New Roman" w:cs="Times New Roman"/>
          <w:sz w:val="24"/>
          <w:szCs w:val="24"/>
          <w:lang w:val="uk-UA" w:eastAsia="ru-RU"/>
        </w:rPr>
        <w:t> </w:t>
      </w:r>
      <w:r w:rsidRPr="00FE4F00">
        <w:rPr>
          <w:rFonts w:ascii="Times New Roman" w:eastAsia="Times New Roman" w:hAnsi="Times New Roman" w:cs="Times New Roman"/>
          <w:sz w:val="24"/>
          <w:szCs w:val="24"/>
          <w:lang w:val="uk-UA" w:eastAsia="ru-RU"/>
        </w:rPr>
        <w:t>514</w:t>
      </w:r>
      <w:r w:rsidR="00F152E4">
        <w:rPr>
          <w:rFonts w:ascii="Times New Roman" w:eastAsia="Times New Roman" w:hAnsi="Times New Roman" w:cs="Times New Roman"/>
          <w:sz w:val="24"/>
          <w:szCs w:val="24"/>
          <w:lang w:val="uk-UA" w:eastAsia="ru-RU"/>
        </w:rPr>
        <w:t>,8 тис. грн</w:t>
      </w:r>
      <w:r w:rsidRPr="00FE4F00">
        <w:rPr>
          <w:rFonts w:ascii="Times New Roman" w:eastAsia="Times New Roman" w:hAnsi="Times New Roman" w:cs="Times New Roman"/>
          <w:sz w:val="24"/>
          <w:szCs w:val="24"/>
          <w:lang w:val="uk-UA" w:eastAsia="ru-RU"/>
        </w:rPr>
        <w:t xml:space="preserve"> – грант за Грантовою угодою в рамках  проєкту міжнародної технічної допомоги GIZ "Просування енергоефективності та імплементації Директиви ЄС про енергоефективність в Україні" для фінансування </w:t>
      </w:r>
      <w:proofErr w:type="spellStart"/>
      <w:r w:rsidRPr="00FE4F00">
        <w:rPr>
          <w:rFonts w:ascii="Times New Roman" w:eastAsia="Times New Roman" w:hAnsi="Times New Roman" w:cs="Times New Roman"/>
          <w:sz w:val="24"/>
          <w:szCs w:val="24"/>
          <w:lang w:val="uk-UA" w:eastAsia="ru-RU"/>
        </w:rPr>
        <w:t>демо</w:t>
      </w:r>
      <w:proofErr w:type="spellEnd"/>
      <w:r w:rsidRPr="00FE4F00">
        <w:rPr>
          <w:rFonts w:ascii="Times New Roman" w:eastAsia="Times New Roman" w:hAnsi="Times New Roman" w:cs="Times New Roman"/>
          <w:sz w:val="24"/>
          <w:szCs w:val="24"/>
          <w:lang w:val="uk-UA" w:eastAsia="ru-RU"/>
        </w:rPr>
        <w:t xml:space="preserve">-проєкту "Технічне переобладнання системи очищення каналізаційних стічних вод міста </w:t>
      </w:r>
      <w:proofErr w:type="spellStart"/>
      <w:r w:rsidRPr="00FE4F00">
        <w:rPr>
          <w:rFonts w:ascii="Times New Roman" w:eastAsia="Times New Roman" w:hAnsi="Times New Roman" w:cs="Times New Roman"/>
          <w:sz w:val="24"/>
          <w:szCs w:val="24"/>
          <w:lang w:val="uk-UA" w:eastAsia="ru-RU"/>
        </w:rPr>
        <w:t>Чорноморськ</w:t>
      </w:r>
      <w:proofErr w:type="spellEnd"/>
      <w:r w:rsidRPr="00FE4F00">
        <w:rPr>
          <w:rFonts w:ascii="Times New Roman" w:eastAsia="Times New Roman" w:hAnsi="Times New Roman" w:cs="Times New Roman"/>
          <w:sz w:val="24"/>
          <w:szCs w:val="24"/>
          <w:lang w:val="uk-UA" w:eastAsia="ru-RU"/>
        </w:rPr>
        <w:t xml:space="preserve"> Одеського району Одеської області. </w:t>
      </w:r>
    </w:p>
    <w:p w:rsidR="00A12FF6" w:rsidRPr="00A12FF6" w:rsidRDefault="00A12FF6" w:rsidP="00A12FF6">
      <w:pPr>
        <w:tabs>
          <w:tab w:val="left" w:pos="-4820"/>
        </w:tabs>
        <w:spacing w:after="0" w:line="240" w:lineRule="auto"/>
        <w:ind w:firstLine="567"/>
        <w:jc w:val="both"/>
        <w:rPr>
          <w:rFonts w:ascii="Times New Roman" w:eastAsia="Times New Roman" w:hAnsi="Times New Roman" w:cs="Times New Roman"/>
          <w:sz w:val="24"/>
          <w:szCs w:val="24"/>
          <w:lang w:val="uk-UA" w:eastAsia="ru-RU"/>
        </w:rPr>
      </w:pPr>
      <w:r w:rsidRPr="00A12FF6">
        <w:rPr>
          <w:rFonts w:ascii="Times New Roman" w:eastAsia="Times New Roman" w:hAnsi="Times New Roman" w:cs="Times New Roman"/>
          <w:b/>
          <w:sz w:val="24"/>
          <w:szCs w:val="24"/>
          <w:lang w:val="uk-UA" w:eastAsia="ru-RU"/>
        </w:rPr>
        <w:t>До загального фонду</w:t>
      </w:r>
      <w:r w:rsidRPr="00A12FF6">
        <w:rPr>
          <w:rFonts w:ascii="Times New Roman" w:eastAsia="Times New Roman" w:hAnsi="Times New Roman" w:cs="Times New Roman"/>
          <w:sz w:val="24"/>
          <w:szCs w:val="24"/>
          <w:lang w:val="uk-UA" w:eastAsia="ru-RU"/>
        </w:rPr>
        <w:t xml:space="preserve"> бюджету Чорноморської міської територіальної громади надійшло доходів (без урахування міжбюджетних трансфертів) у сумі 737</w:t>
      </w:r>
      <w:r>
        <w:rPr>
          <w:rFonts w:ascii="Times New Roman" w:eastAsia="Times New Roman" w:hAnsi="Times New Roman" w:cs="Times New Roman"/>
          <w:sz w:val="24"/>
          <w:szCs w:val="24"/>
          <w:lang w:val="uk-UA" w:eastAsia="ru-RU"/>
        </w:rPr>
        <w:t> </w:t>
      </w:r>
      <w:r w:rsidRPr="00A12FF6">
        <w:rPr>
          <w:rFonts w:ascii="Times New Roman" w:eastAsia="Times New Roman" w:hAnsi="Times New Roman" w:cs="Times New Roman"/>
          <w:sz w:val="24"/>
          <w:szCs w:val="24"/>
          <w:lang w:val="uk-UA" w:eastAsia="ru-RU"/>
        </w:rPr>
        <w:t>761</w:t>
      </w:r>
      <w:r>
        <w:rPr>
          <w:rFonts w:ascii="Times New Roman" w:eastAsia="Times New Roman" w:hAnsi="Times New Roman" w:cs="Times New Roman"/>
          <w:sz w:val="24"/>
          <w:szCs w:val="24"/>
          <w:lang w:val="uk-UA" w:eastAsia="ru-RU"/>
        </w:rPr>
        <w:t>,5 тис.</w:t>
      </w:r>
      <w:r w:rsidRPr="00A12FF6">
        <w:rPr>
          <w:rFonts w:ascii="Times New Roman" w:eastAsia="Times New Roman" w:hAnsi="Times New Roman" w:cs="Times New Roman"/>
          <w:sz w:val="24"/>
          <w:szCs w:val="24"/>
          <w:lang w:val="uk-UA" w:eastAsia="ru-RU"/>
        </w:rPr>
        <w:t xml:space="preserve"> гр</w:t>
      </w:r>
      <w:r>
        <w:rPr>
          <w:rFonts w:ascii="Times New Roman" w:eastAsia="Times New Roman" w:hAnsi="Times New Roman" w:cs="Times New Roman"/>
          <w:sz w:val="24"/>
          <w:szCs w:val="24"/>
          <w:lang w:val="uk-UA" w:eastAsia="ru-RU"/>
        </w:rPr>
        <w:t>н</w:t>
      </w:r>
      <w:r w:rsidRPr="00A12FF6">
        <w:rPr>
          <w:rFonts w:ascii="Times New Roman" w:eastAsia="Times New Roman" w:hAnsi="Times New Roman" w:cs="Times New Roman"/>
          <w:sz w:val="24"/>
          <w:szCs w:val="24"/>
          <w:lang w:val="uk-UA" w:eastAsia="ru-RU"/>
        </w:rPr>
        <w:t>, що становить  112,7 % до затвердженого уточненого розпису доходів на січень - вересень 2023 року та 85,9 % до уточненого річного плану. В порівнянні з аналогічним періодом минулого року такі  надходження збільшились на  48,3 % або  на 240</w:t>
      </w:r>
      <w:r w:rsidR="00462BD2">
        <w:rPr>
          <w:rFonts w:ascii="Times New Roman" w:eastAsia="Times New Roman" w:hAnsi="Times New Roman" w:cs="Times New Roman"/>
          <w:sz w:val="24"/>
          <w:szCs w:val="24"/>
          <w:lang w:val="uk-UA" w:eastAsia="ru-RU"/>
        </w:rPr>
        <w:t> </w:t>
      </w:r>
      <w:r w:rsidRPr="00A12FF6">
        <w:rPr>
          <w:rFonts w:ascii="Times New Roman" w:eastAsia="Times New Roman" w:hAnsi="Times New Roman" w:cs="Times New Roman"/>
          <w:sz w:val="24"/>
          <w:szCs w:val="24"/>
          <w:lang w:val="uk-UA" w:eastAsia="ru-RU"/>
        </w:rPr>
        <w:t>120</w:t>
      </w:r>
      <w:r w:rsidR="00462BD2">
        <w:rPr>
          <w:rFonts w:ascii="Times New Roman" w:eastAsia="Times New Roman" w:hAnsi="Times New Roman" w:cs="Times New Roman"/>
          <w:sz w:val="24"/>
          <w:szCs w:val="24"/>
          <w:lang w:val="uk-UA" w:eastAsia="ru-RU"/>
        </w:rPr>
        <w:t xml:space="preserve">,5 тис. </w:t>
      </w:r>
      <w:r w:rsidRPr="00A12FF6">
        <w:rPr>
          <w:rFonts w:ascii="Times New Roman" w:eastAsia="Times New Roman" w:hAnsi="Times New Roman" w:cs="Times New Roman"/>
          <w:sz w:val="24"/>
          <w:szCs w:val="24"/>
          <w:lang w:val="uk-UA" w:eastAsia="ru-RU"/>
        </w:rPr>
        <w:t xml:space="preserve"> гр</w:t>
      </w:r>
      <w:r w:rsidR="00462BD2">
        <w:rPr>
          <w:rFonts w:ascii="Times New Roman" w:eastAsia="Times New Roman" w:hAnsi="Times New Roman" w:cs="Times New Roman"/>
          <w:sz w:val="24"/>
          <w:szCs w:val="24"/>
          <w:lang w:val="uk-UA" w:eastAsia="ru-RU"/>
        </w:rPr>
        <w:t>н</w:t>
      </w:r>
      <w:r w:rsidRPr="00A12FF6">
        <w:rPr>
          <w:rFonts w:ascii="Times New Roman" w:eastAsia="Times New Roman" w:hAnsi="Times New Roman" w:cs="Times New Roman"/>
          <w:sz w:val="24"/>
          <w:szCs w:val="24"/>
          <w:lang w:val="uk-UA" w:eastAsia="ru-RU"/>
        </w:rPr>
        <w:t>.</w:t>
      </w:r>
    </w:p>
    <w:p w:rsidR="00A12FF6" w:rsidRPr="00A12FF6" w:rsidRDefault="00A12FF6" w:rsidP="00A12FF6">
      <w:pPr>
        <w:spacing w:after="0" w:line="240" w:lineRule="auto"/>
        <w:ind w:firstLine="567"/>
        <w:jc w:val="both"/>
        <w:rPr>
          <w:rFonts w:ascii="Times New Roman" w:eastAsia="Times New Roman" w:hAnsi="Times New Roman" w:cs="Times New Roman"/>
          <w:sz w:val="24"/>
          <w:szCs w:val="24"/>
          <w:lang w:val="uk-UA" w:eastAsia="ru-RU"/>
        </w:rPr>
      </w:pPr>
      <w:r w:rsidRPr="00A12FF6">
        <w:rPr>
          <w:rFonts w:ascii="Times New Roman" w:eastAsia="Times New Roman" w:hAnsi="Times New Roman" w:cs="Times New Roman"/>
          <w:b/>
          <w:sz w:val="24"/>
          <w:szCs w:val="24"/>
          <w:lang w:val="uk-UA" w:eastAsia="ru-RU"/>
        </w:rPr>
        <w:t xml:space="preserve">До  спеціального  фонду  бюджету Чорноморської міської територіальної громади  </w:t>
      </w:r>
      <w:r w:rsidRPr="00A12FF6">
        <w:rPr>
          <w:rFonts w:ascii="Times New Roman" w:eastAsia="Times New Roman" w:hAnsi="Times New Roman" w:cs="Times New Roman"/>
          <w:sz w:val="24"/>
          <w:szCs w:val="24"/>
          <w:lang w:val="uk-UA" w:eastAsia="ru-RU"/>
        </w:rPr>
        <w:t>(без урахування міжбюджетних трансфертів)</w:t>
      </w:r>
      <w:r w:rsidRPr="00A12FF6">
        <w:rPr>
          <w:rFonts w:ascii="Times New Roman" w:eastAsia="Times New Roman" w:hAnsi="Times New Roman" w:cs="Times New Roman"/>
          <w:b/>
          <w:sz w:val="24"/>
          <w:szCs w:val="24"/>
          <w:lang w:val="uk-UA" w:eastAsia="ru-RU"/>
        </w:rPr>
        <w:t xml:space="preserve"> </w:t>
      </w:r>
      <w:r w:rsidRPr="00A12FF6">
        <w:rPr>
          <w:rFonts w:ascii="Times New Roman" w:eastAsia="Times New Roman" w:hAnsi="Times New Roman" w:cs="Times New Roman"/>
          <w:sz w:val="24"/>
          <w:szCs w:val="24"/>
          <w:lang w:val="uk-UA" w:eastAsia="ru-RU"/>
        </w:rPr>
        <w:t>за звітний період поточного  року надійшло 18</w:t>
      </w:r>
      <w:r w:rsidR="0073225F">
        <w:rPr>
          <w:rFonts w:ascii="Times New Roman" w:eastAsia="Times New Roman" w:hAnsi="Times New Roman" w:cs="Times New Roman"/>
          <w:sz w:val="24"/>
          <w:szCs w:val="24"/>
          <w:lang w:val="uk-UA" w:eastAsia="ru-RU"/>
        </w:rPr>
        <w:t> </w:t>
      </w:r>
      <w:r w:rsidRPr="00A12FF6">
        <w:rPr>
          <w:rFonts w:ascii="Times New Roman" w:eastAsia="Times New Roman" w:hAnsi="Times New Roman" w:cs="Times New Roman"/>
          <w:sz w:val="24"/>
          <w:szCs w:val="24"/>
          <w:lang w:val="uk-UA" w:eastAsia="ru-RU"/>
        </w:rPr>
        <w:t>968</w:t>
      </w:r>
      <w:r w:rsidR="0073225F">
        <w:rPr>
          <w:rFonts w:ascii="Times New Roman" w:eastAsia="Times New Roman" w:hAnsi="Times New Roman" w:cs="Times New Roman"/>
          <w:sz w:val="24"/>
          <w:szCs w:val="24"/>
          <w:lang w:val="uk-UA" w:eastAsia="ru-RU"/>
        </w:rPr>
        <w:t>,1 тис.</w:t>
      </w:r>
      <w:r w:rsidRPr="00A12FF6">
        <w:rPr>
          <w:rFonts w:ascii="Times New Roman" w:eastAsia="Times New Roman" w:hAnsi="Times New Roman" w:cs="Times New Roman"/>
          <w:sz w:val="24"/>
          <w:szCs w:val="24"/>
          <w:lang w:val="uk-UA" w:eastAsia="ru-RU"/>
        </w:rPr>
        <w:t xml:space="preserve"> грн. Уточнені планові показники звітного  періоду  виконані на 158,5 %, річні – на 122,6%. В порівнянні з аналогічним періодом минулого року надходження до спеціального фонду зменшились на 993</w:t>
      </w:r>
      <w:r w:rsidR="00326274">
        <w:rPr>
          <w:rFonts w:ascii="Times New Roman" w:eastAsia="Times New Roman" w:hAnsi="Times New Roman" w:cs="Times New Roman"/>
          <w:sz w:val="24"/>
          <w:szCs w:val="24"/>
          <w:lang w:val="uk-UA" w:eastAsia="ru-RU"/>
        </w:rPr>
        <w:t>,</w:t>
      </w:r>
      <w:r w:rsidRPr="00A12FF6">
        <w:rPr>
          <w:rFonts w:ascii="Times New Roman" w:eastAsia="Times New Roman" w:hAnsi="Times New Roman" w:cs="Times New Roman"/>
          <w:sz w:val="24"/>
          <w:szCs w:val="24"/>
          <w:lang w:val="uk-UA" w:eastAsia="ru-RU"/>
        </w:rPr>
        <w:t>6</w:t>
      </w:r>
      <w:r w:rsidR="00326274">
        <w:rPr>
          <w:rFonts w:ascii="Times New Roman" w:eastAsia="Times New Roman" w:hAnsi="Times New Roman" w:cs="Times New Roman"/>
          <w:sz w:val="24"/>
          <w:szCs w:val="24"/>
          <w:lang w:val="uk-UA" w:eastAsia="ru-RU"/>
        </w:rPr>
        <w:t xml:space="preserve"> тис.</w:t>
      </w:r>
      <w:r w:rsidRPr="00A12FF6">
        <w:rPr>
          <w:rFonts w:ascii="Times New Roman" w:eastAsia="Times New Roman" w:hAnsi="Times New Roman" w:cs="Times New Roman"/>
          <w:sz w:val="24"/>
          <w:szCs w:val="24"/>
          <w:lang w:val="uk-UA" w:eastAsia="ru-RU"/>
        </w:rPr>
        <w:t xml:space="preserve">  грн. </w:t>
      </w:r>
    </w:p>
    <w:p w:rsidR="00C00752" w:rsidRPr="00C00752" w:rsidRDefault="00C00752" w:rsidP="00C00752">
      <w:pPr>
        <w:spacing w:after="0" w:line="240" w:lineRule="auto"/>
        <w:ind w:firstLine="567"/>
        <w:jc w:val="both"/>
        <w:rPr>
          <w:rFonts w:ascii="Times New Roman" w:hAnsi="Times New Roman" w:cs="Times New Roman"/>
          <w:b/>
          <w:sz w:val="24"/>
          <w:szCs w:val="24"/>
          <w:lang w:val="uk-UA"/>
        </w:rPr>
      </w:pPr>
      <w:r w:rsidRPr="00C00752">
        <w:rPr>
          <w:rFonts w:ascii="Times New Roman" w:hAnsi="Times New Roman" w:cs="Times New Roman"/>
          <w:sz w:val="24"/>
          <w:szCs w:val="24"/>
          <w:lang w:val="uk-UA"/>
        </w:rPr>
        <w:t xml:space="preserve">Виходячи з обсягу отриманих доходів та вільних залишків коштів бюджету на початок року, </w:t>
      </w:r>
      <w:r w:rsidRPr="00C00752">
        <w:rPr>
          <w:rFonts w:ascii="Times New Roman" w:hAnsi="Times New Roman" w:cs="Times New Roman"/>
          <w:b/>
          <w:sz w:val="24"/>
          <w:szCs w:val="24"/>
          <w:lang w:val="uk-UA"/>
        </w:rPr>
        <w:t xml:space="preserve">видатки бюджету Чорноморської міської територіальної громади </w:t>
      </w:r>
      <w:r w:rsidRPr="00C00752">
        <w:rPr>
          <w:rFonts w:ascii="Times New Roman" w:hAnsi="Times New Roman" w:cs="Times New Roman"/>
          <w:sz w:val="24"/>
          <w:szCs w:val="24"/>
          <w:lang w:val="uk-UA"/>
        </w:rPr>
        <w:t xml:space="preserve">за 9 місяців 2023 року проведені </w:t>
      </w:r>
      <w:r w:rsidRPr="00C00752">
        <w:rPr>
          <w:rFonts w:ascii="Times New Roman" w:hAnsi="Times New Roman" w:cs="Times New Roman"/>
          <w:b/>
          <w:sz w:val="24"/>
          <w:szCs w:val="24"/>
          <w:lang w:val="uk-UA"/>
        </w:rPr>
        <w:t>у сумі 698 298 672 гривень, що складає  71,4 % бюджетних призначень, затверджених в розписі бюджету на звітний період, та 56 % річних бюджетних призначень.</w:t>
      </w:r>
    </w:p>
    <w:p w:rsidR="00CC038A" w:rsidRPr="00C00752" w:rsidRDefault="00C00752" w:rsidP="00C00752">
      <w:pPr>
        <w:spacing w:after="0" w:line="240" w:lineRule="auto"/>
        <w:ind w:right="-1" w:firstLine="567"/>
        <w:jc w:val="both"/>
        <w:rPr>
          <w:rFonts w:ascii="Times New Roman" w:hAnsi="Times New Roman" w:cs="Times New Roman"/>
          <w:sz w:val="24"/>
          <w:szCs w:val="24"/>
          <w:highlight w:val="yellow"/>
          <w:lang w:val="uk-UA"/>
        </w:rPr>
      </w:pPr>
      <w:r w:rsidRPr="00C00752">
        <w:rPr>
          <w:rFonts w:ascii="Times New Roman" w:hAnsi="Times New Roman" w:cs="Times New Roman"/>
          <w:color w:val="000000" w:themeColor="text1"/>
          <w:sz w:val="24"/>
          <w:szCs w:val="24"/>
          <w:lang w:val="uk-UA"/>
        </w:rPr>
        <w:t xml:space="preserve">В умовах воєнного стану, введеного </w:t>
      </w:r>
      <w:r w:rsidRPr="00C00752">
        <w:rPr>
          <w:rFonts w:ascii="Times New Roman" w:eastAsia="MS Mincho" w:hAnsi="Times New Roman" w:cs="Times New Roman"/>
          <w:color w:val="000000" w:themeColor="text1"/>
          <w:sz w:val="24"/>
          <w:szCs w:val="24"/>
          <w:lang w:val="uk-UA"/>
        </w:rPr>
        <w:t xml:space="preserve">Указом Президента України від 24 лютого 2022 р. № 64/2022 "Про введення воєнного стану в Україні" та продовженого згідно </w:t>
      </w:r>
      <w:r w:rsidRPr="00C00752">
        <w:rPr>
          <w:rFonts w:ascii="Times New Roman" w:hAnsi="Times New Roman" w:cs="Times New Roman"/>
          <w:color w:val="000000" w:themeColor="text1"/>
          <w:sz w:val="24"/>
          <w:szCs w:val="24"/>
          <w:shd w:val="clear" w:color="auto" w:fill="FFFFFF"/>
          <w:lang w:val="uk-UA"/>
        </w:rPr>
        <w:t>Указів Президента від 14.03.2022 № 133/2022</w:t>
      </w:r>
      <w:r w:rsidRPr="00C00752">
        <w:rPr>
          <w:rFonts w:ascii="Times New Roman" w:eastAsia="MS Mincho" w:hAnsi="Times New Roman" w:cs="Times New Roman"/>
          <w:color w:val="000000" w:themeColor="text1"/>
          <w:sz w:val="24"/>
          <w:szCs w:val="24"/>
          <w:lang w:val="uk-UA"/>
        </w:rPr>
        <w:t>,</w:t>
      </w:r>
      <w:r w:rsidRPr="00C00752">
        <w:rPr>
          <w:rFonts w:ascii="Times New Roman" w:hAnsi="Times New Roman" w:cs="Times New Roman"/>
          <w:sz w:val="24"/>
          <w:szCs w:val="24"/>
          <w:lang w:val="uk-UA"/>
        </w:rPr>
        <w:t xml:space="preserve"> від 18.04.2022 № 259/2022, від 17.05.2022 № 341/2022, від 12.08.2022 № 573/2022, від 07.11.2022 № 757/2022, від 0</w:t>
      </w:r>
      <w:r w:rsidRPr="00C00752">
        <w:rPr>
          <w:rStyle w:val="rvts44"/>
          <w:rFonts w:ascii="Times New Roman" w:hAnsi="Times New Roman" w:cs="Times New Roman"/>
          <w:sz w:val="24"/>
          <w:szCs w:val="24"/>
          <w:lang w:val="uk-UA"/>
        </w:rPr>
        <w:t>6.02.2023 № 58/2023, від 01.05.2023 № 254/2023, від 26.07.2023 № 451/2023</w:t>
      </w:r>
      <w:r w:rsidRPr="00C00752">
        <w:rPr>
          <w:rFonts w:ascii="Times New Roman" w:hAnsi="Times New Roman" w:cs="Times New Roman"/>
          <w:sz w:val="24"/>
          <w:szCs w:val="24"/>
          <w:lang w:val="uk-UA"/>
        </w:rPr>
        <w:t xml:space="preserve"> проведення видатків з державного та місцевих бюджетів здійснюється </w:t>
      </w:r>
      <w:r w:rsidRPr="00C00752">
        <w:rPr>
          <w:rFonts w:ascii="Times New Roman" w:hAnsi="Times New Roman" w:cs="Times New Roman"/>
          <w:color w:val="000000" w:themeColor="text1"/>
          <w:sz w:val="24"/>
          <w:szCs w:val="24"/>
          <w:lang w:val="uk-UA"/>
        </w:rPr>
        <w:t xml:space="preserve">за черговістю </w:t>
      </w:r>
      <w:r w:rsidRPr="00C00752">
        <w:rPr>
          <w:rFonts w:ascii="Times New Roman" w:hAnsi="Times New Roman" w:cs="Times New Roman"/>
          <w:color w:val="000000" w:themeColor="text1"/>
          <w:sz w:val="24"/>
          <w:szCs w:val="24"/>
          <w:shd w:val="clear" w:color="auto" w:fill="FFFFFF"/>
          <w:lang w:val="uk-UA"/>
        </w:rPr>
        <w:t>видатків, визначених у Порядку виконання повноважень Державною казначейською службою в особливому режимі в умовах воєнного стану, затвердженого постановою Кабінету Міністрів України від 9 червня 2021 р. №590 (зі змінами).</w:t>
      </w:r>
    </w:p>
    <w:p w:rsidR="00C00752" w:rsidRDefault="00C00752" w:rsidP="00BC2B29">
      <w:pPr>
        <w:jc w:val="center"/>
        <w:rPr>
          <w:rFonts w:ascii="Times New Roman" w:hAnsi="Times New Roman" w:cs="Times New Roman"/>
          <w:b/>
          <w:sz w:val="28"/>
          <w:szCs w:val="28"/>
          <w:lang w:val="uk-UA"/>
        </w:rPr>
      </w:pPr>
    </w:p>
    <w:p w:rsidR="001829FF" w:rsidRDefault="001829FF" w:rsidP="00BC2B29">
      <w:pPr>
        <w:jc w:val="center"/>
        <w:rPr>
          <w:rFonts w:ascii="Times New Roman" w:hAnsi="Times New Roman" w:cs="Times New Roman"/>
          <w:b/>
          <w:sz w:val="28"/>
          <w:szCs w:val="28"/>
          <w:lang w:val="uk-UA"/>
        </w:rPr>
      </w:pPr>
    </w:p>
    <w:p w:rsidR="001829FF" w:rsidRDefault="001829FF" w:rsidP="00BC2B29">
      <w:pPr>
        <w:jc w:val="center"/>
        <w:rPr>
          <w:rFonts w:ascii="Times New Roman" w:hAnsi="Times New Roman" w:cs="Times New Roman"/>
          <w:b/>
          <w:sz w:val="28"/>
          <w:szCs w:val="28"/>
          <w:lang w:val="uk-UA"/>
        </w:rPr>
      </w:pPr>
    </w:p>
    <w:p w:rsidR="00BC2B29" w:rsidRPr="00B639A6" w:rsidRDefault="00BC2B29" w:rsidP="00BC2B29">
      <w:pPr>
        <w:jc w:val="center"/>
        <w:rPr>
          <w:rFonts w:ascii="Times New Roman" w:hAnsi="Times New Roman" w:cs="Times New Roman"/>
          <w:b/>
          <w:sz w:val="28"/>
          <w:szCs w:val="28"/>
          <w:lang w:val="uk-UA"/>
        </w:rPr>
      </w:pPr>
      <w:r w:rsidRPr="00B639A6">
        <w:rPr>
          <w:rFonts w:ascii="Times New Roman" w:hAnsi="Times New Roman" w:cs="Times New Roman"/>
          <w:b/>
          <w:sz w:val="28"/>
          <w:szCs w:val="28"/>
          <w:lang w:val="uk-UA"/>
        </w:rPr>
        <w:lastRenderedPageBreak/>
        <w:t>4. Очікуване виконання бюджету Чорноморської міської територіальної громади за 2023 рік</w:t>
      </w:r>
    </w:p>
    <w:p w:rsidR="00BC2B29" w:rsidRPr="00B639A6" w:rsidRDefault="00BC2B29" w:rsidP="00BC2B29">
      <w:pPr>
        <w:spacing w:after="0" w:line="240" w:lineRule="auto"/>
        <w:ind w:firstLine="567"/>
        <w:jc w:val="both"/>
        <w:rPr>
          <w:rFonts w:ascii="Times New Roman" w:hAnsi="Times New Roman" w:cs="Times New Roman"/>
          <w:b/>
          <w:bCs/>
          <w:sz w:val="24"/>
          <w:szCs w:val="24"/>
          <w:lang w:val="uk-UA"/>
        </w:rPr>
      </w:pPr>
      <w:r w:rsidRPr="00B639A6">
        <w:rPr>
          <w:rFonts w:ascii="Times New Roman" w:hAnsi="Times New Roman" w:cs="Times New Roman"/>
          <w:sz w:val="24"/>
          <w:szCs w:val="24"/>
          <w:lang w:val="uk-UA"/>
        </w:rPr>
        <w:t>Бюджет Чорноморської міської територіальної громади на 2023 рік затверджено. Чорноморської міської ради Одеського району Одеської області від 20.12.2022р</w:t>
      </w:r>
      <w:r w:rsidRPr="00B639A6">
        <w:rPr>
          <w:rFonts w:ascii="Times New Roman" w:hAnsi="Times New Roman" w:cs="Times New Roman"/>
          <w:b/>
          <w:bCs/>
          <w:sz w:val="24"/>
          <w:szCs w:val="24"/>
          <w:lang w:val="uk-UA"/>
        </w:rPr>
        <w:t xml:space="preserve"> </w:t>
      </w:r>
      <w:r w:rsidRPr="00B639A6">
        <w:rPr>
          <w:rFonts w:ascii="Times New Roman" w:hAnsi="Times New Roman" w:cs="Times New Roman"/>
          <w:sz w:val="24"/>
          <w:szCs w:val="24"/>
          <w:lang w:val="uk-UA"/>
        </w:rPr>
        <w:t xml:space="preserve">№ 284 - VІII </w:t>
      </w:r>
      <w:r w:rsidRPr="00B639A6">
        <w:rPr>
          <w:rFonts w:ascii="Times New Roman" w:hAnsi="Times New Roman" w:cs="Times New Roman"/>
          <w:b/>
          <w:bCs/>
          <w:sz w:val="24"/>
          <w:szCs w:val="24"/>
          <w:lang w:val="uk-UA"/>
        </w:rPr>
        <w:t xml:space="preserve">за доходами та видатками у сумі </w:t>
      </w:r>
      <w:r w:rsidRPr="00B639A6">
        <w:rPr>
          <w:rFonts w:ascii="Times New Roman" w:hAnsi="Times New Roman" w:cs="Times New Roman"/>
          <w:b/>
          <w:sz w:val="24"/>
          <w:szCs w:val="24"/>
          <w:lang w:val="uk-UA"/>
        </w:rPr>
        <w:t>891 889 400</w:t>
      </w:r>
      <w:r w:rsidRPr="00B639A6">
        <w:rPr>
          <w:rFonts w:ascii="Times New Roman" w:hAnsi="Times New Roman" w:cs="Times New Roman"/>
          <w:sz w:val="24"/>
          <w:szCs w:val="24"/>
          <w:lang w:val="uk-UA"/>
        </w:rPr>
        <w:t xml:space="preserve"> </w:t>
      </w:r>
      <w:r w:rsidRPr="00B639A6">
        <w:rPr>
          <w:rFonts w:ascii="Times New Roman" w:hAnsi="Times New Roman" w:cs="Times New Roman"/>
          <w:b/>
          <w:bCs/>
          <w:sz w:val="24"/>
          <w:szCs w:val="24"/>
          <w:lang w:val="uk-UA"/>
        </w:rPr>
        <w:t>грн.</w:t>
      </w:r>
    </w:p>
    <w:p w:rsidR="00BC2B29" w:rsidRPr="00B142EF" w:rsidRDefault="00BC2B29" w:rsidP="00BC2B29">
      <w:pPr>
        <w:spacing w:after="0" w:line="240" w:lineRule="auto"/>
        <w:ind w:firstLine="567"/>
        <w:jc w:val="both"/>
        <w:rPr>
          <w:rFonts w:ascii="Times New Roman" w:hAnsi="Times New Roman" w:cs="Times New Roman"/>
          <w:sz w:val="24"/>
          <w:szCs w:val="24"/>
          <w:lang w:val="uk-UA"/>
        </w:rPr>
      </w:pPr>
      <w:r w:rsidRPr="00B142EF">
        <w:rPr>
          <w:rFonts w:ascii="Times New Roman" w:hAnsi="Times New Roman" w:cs="Times New Roman"/>
          <w:sz w:val="24"/>
          <w:szCs w:val="24"/>
          <w:lang w:val="uk-UA"/>
        </w:rPr>
        <w:t>На підставі частини 4 статті 14, статті 72, частини 7 та 8 статті 78,  а</w:t>
      </w:r>
      <w:r w:rsidRPr="00B142EF">
        <w:rPr>
          <w:rFonts w:ascii="Times New Roman" w:hAnsi="Times New Roman" w:cs="Times New Roman"/>
          <w:iCs/>
          <w:sz w:val="24"/>
          <w:szCs w:val="24"/>
          <w:lang w:val="uk-UA"/>
        </w:rPr>
        <w:t xml:space="preserve">бзацу вісімнадцятого підпункту 1 пункту 22 розділу </w:t>
      </w:r>
      <w:r w:rsidRPr="00B142EF">
        <w:rPr>
          <w:rFonts w:ascii="Times New Roman" w:hAnsi="Times New Roman" w:cs="Times New Roman"/>
          <w:iCs/>
          <w:sz w:val="24"/>
          <w:szCs w:val="24"/>
        </w:rPr>
        <w:t>VI</w:t>
      </w:r>
      <w:r w:rsidRPr="00B142EF">
        <w:rPr>
          <w:rFonts w:ascii="Times New Roman" w:hAnsi="Times New Roman" w:cs="Times New Roman"/>
          <w:sz w:val="24"/>
          <w:szCs w:val="24"/>
          <w:lang w:val="uk-UA"/>
        </w:rPr>
        <w:t xml:space="preserve"> Бюджетного кодексу Чорноморською міською радою Одеського району Одеської області протягом звітного періоду прийняті рішення</w:t>
      </w:r>
      <w:r w:rsidRPr="00B142EF">
        <w:rPr>
          <w:rFonts w:ascii="Times New Roman" w:hAnsi="Times New Roman" w:cs="Times New Roman"/>
          <w:bCs/>
          <w:sz w:val="24"/>
          <w:szCs w:val="24"/>
          <w:lang w:val="uk-UA"/>
        </w:rPr>
        <w:t xml:space="preserve"> </w:t>
      </w:r>
      <w:r w:rsidRPr="00B142EF">
        <w:rPr>
          <w:rFonts w:ascii="Times New Roman" w:hAnsi="Times New Roman" w:cs="Times New Roman"/>
          <w:sz w:val="24"/>
          <w:szCs w:val="24"/>
          <w:lang w:val="uk-UA"/>
        </w:rPr>
        <w:t>«Про  внесення змін та доповнень до рішення Чорноморської міської ради Одеської області від 20.12.2022 № 284 – VІII "Про бюджет  Чорноморської міської територіальної громади на 2023 рік"»:</w:t>
      </w:r>
    </w:p>
    <w:p w:rsidR="00BC2B29" w:rsidRPr="00B142EF" w:rsidRDefault="00BC2B29" w:rsidP="00E67FF2">
      <w:pPr>
        <w:numPr>
          <w:ilvl w:val="0"/>
          <w:numId w:val="12"/>
        </w:numPr>
        <w:spacing w:after="0" w:line="240" w:lineRule="auto"/>
        <w:jc w:val="both"/>
        <w:rPr>
          <w:rFonts w:ascii="Times New Roman" w:hAnsi="Times New Roman" w:cs="Times New Roman"/>
          <w:sz w:val="24"/>
          <w:szCs w:val="24"/>
          <w:lang w:val="uk-UA"/>
        </w:rPr>
      </w:pPr>
      <w:r w:rsidRPr="00B142EF">
        <w:rPr>
          <w:rFonts w:ascii="Times New Roman" w:hAnsi="Times New Roman" w:cs="Times New Roman"/>
          <w:sz w:val="24"/>
          <w:szCs w:val="24"/>
          <w:lang w:val="uk-UA"/>
        </w:rPr>
        <w:t>від 31.01.2023 № 310-VIII;</w:t>
      </w:r>
    </w:p>
    <w:p w:rsidR="00BC2B29" w:rsidRPr="00B142EF" w:rsidRDefault="00BC2B29" w:rsidP="00E67FF2">
      <w:pPr>
        <w:numPr>
          <w:ilvl w:val="0"/>
          <w:numId w:val="12"/>
        </w:numPr>
        <w:spacing w:after="0" w:line="240" w:lineRule="auto"/>
        <w:jc w:val="both"/>
        <w:rPr>
          <w:rFonts w:ascii="Times New Roman" w:hAnsi="Times New Roman" w:cs="Times New Roman"/>
          <w:sz w:val="24"/>
          <w:szCs w:val="24"/>
          <w:lang w:val="uk-UA"/>
        </w:rPr>
      </w:pPr>
      <w:r w:rsidRPr="00B142EF">
        <w:rPr>
          <w:rFonts w:ascii="Times New Roman" w:hAnsi="Times New Roman" w:cs="Times New Roman"/>
          <w:sz w:val="24"/>
          <w:szCs w:val="24"/>
          <w:lang w:val="uk-UA"/>
        </w:rPr>
        <w:t>від 10.03.2023 № 334-VIII;</w:t>
      </w:r>
    </w:p>
    <w:p w:rsidR="00BC2B29" w:rsidRPr="00B142EF" w:rsidRDefault="00BC2B29" w:rsidP="00E67FF2">
      <w:pPr>
        <w:numPr>
          <w:ilvl w:val="0"/>
          <w:numId w:val="12"/>
        </w:numPr>
        <w:spacing w:after="0" w:line="240" w:lineRule="auto"/>
        <w:jc w:val="both"/>
        <w:rPr>
          <w:rFonts w:ascii="Times New Roman" w:hAnsi="Times New Roman" w:cs="Times New Roman"/>
          <w:sz w:val="24"/>
          <w:szCs w:val="24"/>
          <w:lang w:val="uk-UA"/>
        </w:rPr>
      </w:pPr>
      <w:r w:rsidRPr="00B142EF">
        <w:rPr>
          <w:rFonts w:ascii="Times New Roman" w:hAnsi="Times New Roman" w:cs="Times New Roman"/>
          <w:sz w:val="24"/>
          <w:szCs w:val="24"/>
          <w:lang w:val="uk-UA"/>
        </w:rPr>
        <w:t>від 29.03.2023 № 356-VIII;</w:t>
      </w:r>
    </w:p>
    <w:p w:rsidR="00BC2B29" w:rsidRPr="00B142EF" w:rsidRDefault="00BC2B29" w:rsidP="00E67FF2">
      <w:pPr>
        <w:numPr>
          <w:ilvl w:val="0"/>
          <w:numId w:val="12"/>
        </w:numPr>
        <w:spacing w:after="0" w:line="240" w:lineRule="auto"/>
        <w:jc w:val="both"/>
        <w:rPr>
          <w:rFonts w:ascii="Times New Roman" w:hAnsi="Times New Roman" w:cs="Times New Roman"/>
          <w:sz w:val="24"/>
          <w:szCs w:val="24"/>
          <w:lang w:val="uk-UA"/>
        </w:rPr>
      </w:pPr>
      <w:r w:rsidRPr="00B142EF">
        <w:rPr>
          <w:rFonts w:ascii="Times New Roman" w:hAnsi="Times New Roman" w:cs="Times New Roman"/>
          <w:sz w:val="24"/>
          <w:szCs w:val="24"/>
          <w:lang w:val="uk-UA"/>
        </w:rPr>
        <w:t>від 19.05.2023 № 373-VIII;</w:t>
      </w:r>
    </w:p>
    <w:p w:rsidR="00BC2B29" w:rsidRPr="00B142EF" w:rsidRDefault="00BC2B29" w:rsidP="00E67FF2">
      <w:pPr>
        <w:numPr>
          <w:ilvl w:val="0"/>
          <w:numId w:val="12"/>
        </w:numPr>
        <w:spacing w:after="0" w:line="240" w:lineRule="auto"/>
        <w:jc w:val="both"/>
        <w:rPr>
          <w:rFonts w:ascii="Times New Roman" w:hAnsi="Times New Roman" w:cs="Times New Roman"/>
          <w:sz w:val="24"/>
          <w:szCs w:val="24"/>
          <w:lang w:val="uk-UA"/>
        </w:rPr>
      </w:pPr>
      <w:r w:rsidRPr="00B142EF">
        <w:rPr>
          <w:rFonts w:ascii="Times New Roman" w:hAnsi="Times New Roman" w:cs="Times New Roman"/>
          <w:sz w:val="24"/>
          <w:szCs w:val="24"/>
          <w:lang w:val="uk-UA"/>
        </w:rPr>
        <w:t>від 02.06.2023 № 399-VIII;</w:t>
      </w:r>
    </w:p>
    <w:p w:rsidR="00BC2B29" w:rsidRPr="00B142EF" w:rsidRDefault="00BC2B29" w:rsidP="00E67FF2">
      <w:pPr>
        <w:numPr>
          <w:ilvl w:val="0"/>
          <w:numId w:val="12"/>
        </w:numPr>
        <w:spacing w:after="0" w:line="240" w:lineRule="auto"/>
        <w:jc w:val="both"/>
        <w:rPr>
          <w:rFonts w:ascii="Times New Roman" w:hAnsi="Times New Roman" w:cs="Times New Roman"/>
          <w:sz w:val="24"/>
          <w:szCs w:val="24"/>
          <w:lang w:val="uk-UA"/>
        </w:rPr>
      </w:pPr>
      <w:r w:rsidRPr="00B142EF">
        <w:rPr>
          <w:rFonts w:ascii="Times New Roman" w:hAnsi="Times New Roman" w:cs="Times New Roman"/>
          <w:sz w:val="24"/>
          <w:szCs w:val="24"/>
          <w:lang w:val="uk-UA"/>
        </w:rPr>
        <w:t>від 23.06.2023 № 404-VIII;</w:t>
      </w:r>
    </w:p>
    <w:p w:rsidR="00BC2B29" w:rsidRPr="00B142EF" w:rsidRDefault="00BC2B29" w:rsidP="00E67FF2">
      <w:pPr>
        <w:numPr>
          <w:ilvl w:val="0"/>
          <w:numId w:val="12"/>
        </w:numPr>
        <w:spacing w:after="0" w:line="240" w:lineRule="auto"/>
        <w:jc w:val="both"/>
        <w:rPr>
          <w:rFonts w:ascii="Times New Roman" w:hAnsi="Times New Roman" w:cs="Times New Roman"/>
          <w:sz w:val="24"/>
          <w:szCs w:val="24"/>
          <w:lang w:val="uk-UA"/>
        </w:rPr>
      </w:pPr>
      <w:r w:rsidRPr="00B142EF">
        <w:rPr>
          <w:rFonts w:ascii="Times New Roman" w:hAnsi="Times New Roman" w:cs="Times New Roman"/>
          <w:sz w:val="24"/>
          <w:szCs w:val="24"/>
          <w:lang w:val="uk-UA"/>
        </w:rPr>
        <w:t>від 01.08.2023 № 422-VIII;</w:t>
      </w:r>
    </w:p>
    <w:p w:rsidR="00BC2B29" w:rsidRPr="00B142EF" w:rsidRDefault="00BC2B29" w:rsidP="00E67FF2">
      <w:pPr>
        <w:numPr>
          <w:ilvl w:val="0"/>
          <w:numId w:val="12"/>
        </w:numPr>
        <w:spacing w:after="0" w:line="240" w:lineRule="auto"/>
        <w:jc w:val="both"/>
        <w:rPr>
          <w:rFonts w:ascii="Times New Roman" w:hAnsi="Times New Roman" w:cs="Times New Roman"/>
          <w:sz w:val="24"/>
          <w:szCs w:val="24"/>
          <w:lang w:val="uk-UA"/>
        </w:rPr>
      </w:pPr>
      <w:r w:rsidRPr="00B142EF">
        <w:rPr>
          <w:rFonts w:ascii="Times New Roman" w:hAnsi="Times New Roman" w:cs="Times New Roman"/>
          <w:sz w:val="24"/>
          <w:szCs w:val="24"/>
          <w:lang w:val="uk-UA"/>
        </w:rPr>
        <w:t>від 21.08.2023 № 436-VIII;</w:t>
      </w:r>
    </w:p>
    <w:p w:rsidR="00BC2B29" w:rsidRPr="00B142EF" w:rsidRDefault="00BC2B29" w:rsidP="00E67FF2">
      <w:pPr>
        <w:numPr>
          <w:ilvl w:val="0"/>
          <w:numId w:val="12"/>
        </w:numPr>
        <w:spacing w:after="0" w:line="240" w:lineRule="auto"/>
        <w:jc w:val="both"/>
        <w:rPr>
          <w:rFonts w:ascii="Times New Roman" w:hAnsi="Times New Roman" w:cs="Times New Roman"/>
          <w:sz w:val="24"/>
          <w:szCs w:val="24"/>
          <w:lang w:val="uk-UA"/>
        </w:rPr>
      </w:pPr>
      <w:r w:rsidRPr="00B142EF">
        <w:rPr>
          <w:rFonts w:ascii="Times New Roman" w:hAnsi="Times New Roman" w:cs="Times New Roman"/>
          <w:sz w:val="24"/>
          <w:szCs w:val="24"/>
          <w:lang w:val="uk-UA"/>
        </w:rPr>
        <w:t>від 05.10.2023 № 451-VIII;</w:t>
      </w:r>
    </w:p>
    <w:p w:rsidR="00BC2B29" w:rsidRPr="00B142EF" w:rsidRDefault="00BC2B29" w:rsidP="00E67FF2">
      <w:pPr>
        <w:numPr>
          <w:ilvl w:val="0"/>
          <w:numId w:val="12"/>
        </w:numPr>
        <w:spacing w:after="0" w:line="240" w:lineRule="auto"/>
        <w:jc w:val="both"/>
        <w:rPr>
          <w:rFonts w:ascii="Times New Roman" w:hAnsi="Times New Roman" w:cs="Times New Roman"/>
          <w:sz w:val="24"/>
          <w:szCs w:val="24"/>
          <w:lang w:val="uk-UA"/>
        </w:rPr>
      </w:pPr>
      <w:r w:rsidRPr="00B142EF">
        <w:rPr>
          <w:rFonts w:ascii="Times New Roman" w:hAnsi="Times New Roman" w:cs="Times New Roman"/>
          <w:sz w:val="24"/>
          <w:szCs w:val="24"/>
          <w:lang w:val="uk-UA"/>
        </w:rPr>
        <w:t>від 25.10.2023 № 472-VIII;</w:t>
      </w:r>
    </w:p>
    <w:p w:rsidR="00BC2B29" w:rsidRPr="00B142EF" w:rsidRDefault="00BC2B29" w:rsidP="00E67FF2">
      <w:pPr>
        <w:numPr>
          <w:ilvl w:val="0"/>
          <w:numId w:val="12"/>
        </w:numPr>
        <w:spacing w:after="0" w:line="240" w:lineRule="auto"/>
        <w:jc w:val="both"/>
        <w:rPr>
          <w:rFonts w:ascii="Times New Roman" w:hAnsi="Times New Roman" w:cs="Times New Roman"/>
          <w:sz w:val="24"/>
          <w:szCs w:val="24"/>
          <w:lang w:val="uk-UA"/>
        </w:rPr>
      </w:pPr>
      <w:r w:rsidRPr="00B142EF">
        <w:rPr>
          <w:rFonts w:ascii="Times New Roman" w:hAnsi="Times New Roman" w:cs="Times New Roman"/>
          <w:sz w:val="24"/>
          <w:szCs w:val="24"/>
          <w:lang w:val="uk-UA"/>
        </w:rPr>
        <w:t>від 28.11.2023 № 493-VIII.;</w:t>
      </w:r>
    </w:p>
    <w:p w:rsidR="00BC2B29" w:rsidRPr="00B142EF" w:rsidRDefault="00BC2B29" w:rsidP="00E67FF2">
      <w:pPr>
        <w:numPr>
          <w:ilvl w:val="0"/>
          <w:numId w:val="12"/>
        </w:numPr>
        <w:spacing w:after="0" w:line="240" w:lineRule="auto"/>
        <w:jc w:val="both"/>
        <w:rPr>
          <w:rFonts w:ascii="Times New Roman" w:hAnsi="Times New Roman" w:cs="Times New Roman"/>
          <w:sz w:val="24"/>
          <w:szCs w:val="24"/>
          <w:lang w:val="uk-UA"/>
        </w:rPr>
      </w:pPr>
      <w:r w:rsidRPr="00B142EF">
        <w:rPr>
          <w:rFonts w:ascii="Times New Roman" w:hAnsi="Times New Roman" w:cs="Times New Roman"/>
          <w:sz w:val="24"/>
          <w:szCs w:val="24"/>
          <w:lang w:val="uk-UA"/>
        </w:rPr>
        <w:t>від 08.12.2023 № 504-VIII.</w:t>
      </w:r>
    </w:p>
    <w:p w:rsidR="00BC2B29" w:rsidRPr="0028479A" w:rsidRDefault="00BC2B29" w:rsidP="00BC2B29">
      <w:pPr>
        <w:spacing w:after="0" w:line="240" w:lineRule="auto"/>
        <w:ind w:firstLine="567"/>
        <w:jc w:val="both"/>
        <w:rPr>
          <w:rFonts w:ascii="Times New Roman" w:hAnsi="Times New Roman" w:cs="Times New Roman"/>
          <w:sz w:val="24"/>
          <w:szCs w:val="24"/>
          <w:lang w:val="uk-UA"/>
        </w:rPr>
      </w:pPr>
      <w:r w:rsidRPr="0028479A">
        <w:rPr>
          <w:rFonts w:ascii="Times New Roman" w:hAnsi="Times New Roman" w:cs="Times New Roman"/>
          <w:sz w:val="24"/>
          <w:szCs w:val="24"/>
          <w:lang w:val="uk-UA"/>
        </w:rPr>
        <w:t>Уточнений обсяг бюджету Чорноморської міської територіальної громади визначено:</w:t>
      </w:r>
    </w:p>
    <w:p w:rsidR="00BC2B29" w:rsidRPr="0028479A" w:rsidRDefault="00BC2B29" w:rsidP="00BC2B29">
      <w:pPr>
        <w:spacing w:after="0" w:line="240" w:lineRule="auto"/>
        <w:ind w:firstLine="567"/>
        <w:jc w:val="both"/>
        <w:rPr>
          <w:rFonts w:ascii="Times New Roman" w:hAnsi="Times New Roman" w:cs="Times New Roman"/>
          <w:sz w:val="24"/>
          <w:szCs w:val="24"/>
          <w:lang w:val="uk-UA"/>
        </w:rPr>
      </w:pPr>
      <w:r w:rsidRPr="0028479A">
        <w:rPr>
          <w:rFonts w:ascii="Times New Roman" w:hAnsi="Times New Roman" w:cs="Times New Roman"/>
          <w:b/>
          <w:sz w:val="24"/>
          <w:szCs w:val="24"/>
          <w:lang w:val="uk-UA"/>
        </w:rPr>
        <w:t>- за доходами</w:t>
      </w:r>
      <w:r w:rsidRPr="0028479A">
        <w:rPr>
          <w:rFonts w:ascii="Times New Roman" w:hAnsi="Times New Roman" w:cs="Times New Roman"/>
          <w:sz w:val="24"/>
          <w:szCs w:val="24"/>
          <w:lang w:val="uk-UA"/>
        </w:rPr>
        <w:t xml:space="preserve"> - у сумі 1 114 925,2 тис. грн, у тому числі загальний фонд – 1 087 628,3 тис. грн, та спеціальний фонд – 27 296,9 тис. грн.</w:t>
      </w:r>
    </w:p>
    <w:p w:rsidR="00BC2B29" w:rsidRPr="008A718F" w:rsidRDefault="00BC2B29" w:rsidP="00BC2B29">
      <w:pPr>
        <w:spacing w:after="0" w:line="240" w:lineRule="auto"/>
        <w:ind w:firstLine="567"/>
        <w:jc w:val="both"/>
        <w:rPr>
          <w:rFonts w:ascii="Times New Roman" w:hAnsi="Times New Roman" w:cs="Times New Roman"/>
          <w:sz w:val="24"/>
          <w:szCs w:val="24"/>
          <w:lang w:val="uk-UA"/>
        </w:rPr>
      </w:pPr>
      <w:r w:rsidRPr="008A718F">
        <w:rPr>
          <w:rFonts w:ascii="Times New Roman" w:hAnsi="Times New Roman" w:cs="Times New Roman"/>
          <w:sz w:val="24"/>
          <w:szCs w:val="24"/>
          <w:lang w:val="uk-UA"/>
        </w:rPr>
        <w:t xml:space="preserve">- </w:t>
      </w:r>
      <w:r w:rsidRPr="008A718F">
        <w:rPr>
          <w:rFonts w:ascii="Times New Roman" w:hAnsi="Times New Roman" w:cs="Times New Roman"/>
          <w:b/>
          <w:sz w:val="24"/>
          <w:szCs w:val="24"/>
          <w:lang w:val="uk-UA"/>
        </w:rPr>
        <w:t>за видатками</w:t>
      </w:r>
      <w:r w:rsidRPr="008A718F">
        <w:rPr>
          <w:rFonts w:ascii="Times New Roman" w:hAnsi="Times New Roman" w:cs="Times New Roman"/>
          <w:sz w:val="24"/>
          <w:szCs w:val="24"/>
          <w:lang w:val="uk-UA"/>
        </w:rPr>
        <w:t xml:space="preserve"> – у сумі </w:t>
      </w:r>
      <w:r w:rsidR="008A718F" w:rsidRPr="008A718F">
        <w:rPr>
          <w:rFonts w:ascii="Times New Roman" w:hAnsi="Times New Roman" w:cs="Times New Roman"/>
          <w:sz w:val="24"/>
          <w:szCs w:val="24"/>
          <w:lang w:val="uk-UA"/>
        </w:rPr>
        <w:t xml:space="preserve">1 339 261 205,68 </w:t>
      </w:r>
      <w:r w:rsidRPr="008A718F">
        <w:rPr>
          <w:rFonts w:ascii="Times New Roman" w:hAnsi="Times New Roman" w:cs="Times New Roman"/>
          <w:sz w:val="24"/>
          <w:szCs w:val="24"/>
          <w:lang w:val="uk-UA"/>
        </w:rPr>
        <w:t xml:space="preserve">грн, у тому числі загальний фонд –                                                  </w:t>
      </w:r>
      <w:r w:rsidR="008A718F" w:rsidRPr="008A718F">
        <w:rPr>
          <w:rFonts w:ascii="Times New Roman" w:hAnsi="Times New Roman" w:cs="Times New Roman"/>
          <w:sz w:val="24"/>
          <w:szCs w:val="24"/>
          <w:lang w:val="uk-UA"/>
        </w:rPr>
        <w:t xml:space="preserve">1 002 314 019,18 </w:t>
      </w:r>
      <w:r w:rsidRPr="008A718F">
        <w:rPr>
          <w:rFonts w:ascii="Times New Roman" w:hAnsi="Times New Roman" w:cs="Times New Roman"/>
          <w:sz w:val="24"/>
          <w:szCs w:val="24"/>
          <w:lang w:val="uk-UA"/>
        </w:rPr>
        <w:t xml:space="preserve">грн та спеціальний фонд – </w:t>
      </w:r>
      <w:r w:rsidR="008A718F" w:rsidRPr="008A718F">
        <w:rPr>
          <w:rFonts w:ascii="Times New Roman" w:hAnsi="Times New Roman" w:cs="Times New Roman"/>
          <w:sz w:val="24"/>
          <w:szCs w:val="24"/>
          <w:lang w:val="uk-UA"/>
        </w:rPr>
        <w:t>336 947 186,50 </w:t>
      </w:r>
      <w:r w:rsidRPr="008A718F">
        <w:rPr>
          <w:rFonts w:ascii="Times New Roman" w:hAnsi="Times New Roman" w:cs="Times New Roman"/>
          <w:sz w:val="24"/>
          <w:szCs w:val="24"/>
          <w:lang w:val="uk-UA"/>
        </w:rPr>
        <w:t>грн.</w:t>
      </w:r>
    </w:p>
    <w:p w:rsidR="00BC2B29" w:rsidRPr="00E41A94" w:rsidRDefault="00BC2B29" w:rsidP="00BC2B29">
      <w:pPr>
        <w:spacing w:after="0" w:line="240" w:lineRule="auto"/>
        <w:ind w:firstLine="567"/>
        <w:jc w:val="both"/>
        <w:rPr>
          <w:rFonts w:ascii="Times New Roman" w:hAnsi="Times New Roman" w:cs="Times New Roman"/>
          <w:b/>
          <w:sz w:val="24"/>
          <w:szCs w:val="24"/>
          <w:lang w:val="uk-UA"/>
        </w:rPr>
      </w:pPr>
      <w:r w:rsidRPr="006833F1">
        <w:rPr>
          <w:rFonts w:ascii="Times New Roman" w:hAnsi="Times New Roman" w:cs="Times New Roman"/>
          <w:b/>
          <w:sz w:val="24"/>
          <w:szCs w:val="24"/>
          <w:lang w:val="uk-UA"/>
        </w:rPr>
        <w:t xml:space="preserve">Очікуване виконання бюджету Чорноморської міської територіальної громади за 2023 рік за доходами прогнозуються у сумі </w:t>
      </w:r>
      <w:r w:rsidRPr="006833F1">
        <w:rPr>
          <w:rFonts w:ascii="Times New Roman" w:hAnsi="Times New Roman" w:cs="Times New Roman"/>
          <w:sz w:val="24"/>
          <w:szCs w:val="24"/>
          <w:lang w:val="uk-UA"/>
        </w:rPr>
        <w:t xml:space="preserve"> </w:t>
      </w:r>
      <w:r w:rsidR="00BA7B69">
        <w:rPr>
          <w:rFonts w:ascii="Times New Roman" w:hAnsi="Times New Roman" w:cs="Times New Roman"/>
          <w:sz w:val="24"/>
          <w:szCs w:val="24"/>
          <w:lang w:val="uk-UA"/>
        </w:rPr>
        <w:t xml:space="preserve">біля </w:t>
      </w:r>
      <w:r w:rsidRPr="006833F1">
        <w:rPr>
          <w:rFonts w:ascii="Times New Roman" w:hAnsi="Times New Roman" w:cs="Times New Roman"/>
          <w:sz w:val="24"/>
          <w:szCs w:val="24"/>
          <w:lang w:val="uk-UA"/>
        </w:rPr>
        <w:t>1 </w:t>
      </w:r>
      <w:r w:rsidR="00BA7B69">
        <w:rPr>
          <w:rFonts w:ascii="Times New Roman" w:hAnsi="Times New Roman" w:cs="Times New Roman"/>
          <w:sz w:val="24"/>
          <w:szCs w:val="24"/>
          <w:lang w:val="uk-UA"/>
        </w:rPr>
        <w:t xml:space="preserve">млрд 100 млн </w:t>
      </w:r>
      <w:r w:rsidRPr="006833F1">
        <w:rPr>
          <w:rFonts w:ascii="Times New Roman" w:hAnsi="Times New Roman" w:cs="Times New Roman"/>
          <w:b/>
          <w:sz w:val="24"/>
          <w:szCs w:val="24"/>
          <w:lang w:val="uk-UA"/>
        </w:rPr>
        <w:t xml:space="preserve"> </w:t>
      </w:r>
      <w:r w:rsidRPr="006833F1">
        <w:rPr>
          <w:rFonts w:ascii="Times New Roman" w:hAnsi="Times New Roman" w:cs="Times New Roman"/>
          <w:sz w:val="24"/>
          <w:szCs w:val="24"/>
          <w:lang w:val="uk-UA"/>
        </w:rPr>
        <w:t xml:space="preserve">грн, </w:t>
      </w:r>
      <w:r w:rsidR="00BA7B69">
        <w:rPr>
          <w:rFonts w:ascii="Times New Roman" w:hAnsi="Times New Roman" w:cs="Times New Roman"/>
          <w:sz w:val="24"/>
          <w:szCs w:val="24"/>
          <w:lang w:val="uk-UA"/>
        </w:rPr>
        <w:t xml:space="preserve">що може скласти 99,2 % уточненого планового показника. </w:t>
      </w:r>
    </w:p>
    <w:p w:rsidR="00BC2B29" w:rsidRPr="00FF3932" w:rsidRDefault="00BC2B29" w:rsidP="00BC2B29">
      <w:pPr>
        <w:pStyle w:val="a4"/>
        <w:spacing w:after="0" w:line="240" w:lineRule="auto"/>
        <w:ind w:left="0" w:firstLine="567"/>
        <w:jc w:val="both"/>
        <w:rPr>
          <w:rFonts w:ascii="Times New Roman" w:eastAsia="Times New Roman" w:hAnsi="Times New Roman" w:cs="Times New Roman"/>
          <w:sz w:val="24"/>
          <w:szCs w:val="24"/>
          <w:lang w:val="uk-UA" w:eastAsia="ru-RU"/>
        </w:rPr>
      </w:pPr>
      <w:r w:rsidRPr="00FF3932">
        <w:rPr>
          <w:rFonts w:ascii="Times New Roman" w:eastAsia="Times New Roman" w:hAnsi="Times New Roman" w:cs="Times New Roman"/>
          <w:b/>
          <w:sz w:val="24"/>
          <w:szCs w:val="24"/>
          <w:lang w:val="uk-UA" w:eastAsia="ru-RU"/>
        </w:rPr>
        <w:t>До загального фонду бюджету</w:t>
      </w:r>
      <w:r w:rsidRPr="00FF3932">
        <w:rPr>
          <w:rFonts w:ascii="Times New Roman" w:eastAsia="Times New Roman" w:hAnsi="Times New Roman" w:cs="Times New Roman"/>
          <w:sz w:val="24"/>
          <w:szCs w:val="24"/>
          <w:lang w:val="uk-UA" w:eastAsia="ru-RU"/>
        </w:rPr>
        <w:t xml:space="preserve"> Чорноморської міської територіальної громади (без врахування субвенцій) очікуються надходження за 2023 рік близько 933</w:t>
      </w:r>
      <w:r w:rsidR="00BA7B69">
        <w:rPr>
          <w:rFonts w:ascii="Times New Roman" w:eastAsia="Times New Roman" w:hAnsi="Times New Roman" w:cs="Times New Roman"/>
          <w:sz w:val="24"/>
          <w:szCs w:val="24"/>
          <w:lang w:val="uk-UA" w:eastAsia="ru-RU"/>
        </w:rPr>
        <w:t>,6 млн. грн</w:t>
      </w:r>
      <w:r w:rsidRPr="00FF3932">
        <w:rPr>
          <w:rFonts w:ascii="Times New Roman" w:eastAsia="Times New Roman" w:hAnsi="Times New Roman" w:cs="Times New Roman"/>
          <w:sz w:val="24"/>
          <w:szCs w:val="24"/>
          <w:lang w:val="uk-UA" w:eastAsia="ru-RU"/>
        </w:rPr>
        <w:t>, що складе 99,</w:t>
      </w:r>
      <w:r>
        <w:rPr>
          <w:rFonts w:ascii="Times New Roman" w:eastAsia="Times New Roman" w:hAnsi="Times New Roman" w:cs="Times New Roman"/>
          <w:sz w:val="24"/>
          <w:szCs w:val="24"/>
          <w:lang w:val="uk-UA" w:eastAsia="ru-RU"/>
        </w:rPr>
        <w:t>1</w:t>
      </w:r>
      <w:r w:rsidRPr="00FF393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FF3932">
        <w:rPr>
          <w:rFonts w:ascii="Times New Roman" w:eastAsia="Times New Roman" w:hAnsi="Times New Roman" w:cs="Times New Roman"/>
          <w:sz w:val="24"/>
          <w:szCs w:val="24"/>
          <w:lang w:val="uk-UA" w:eastAsia="ru-RU"/>
        </w:rPr>
        <w:t xml:space="preserve"> В умовах воєнного стану загальний фонд бюджету міської громади може недоотримати доходів </w:t>
      </w:r>
      <w:r w:rsidR="00BA7B69">
        <w:rPr>
          <w:rFonts w:ascii="Times New Roman" w:eastAsia="Times New Roman" w:hAnsi="Times New Roman" w:cs="Times New Roman"/>
          <w:sz w:val="24"/>
          <w:szCs w:val="24"/>
          <w:lang w:val="uk-UA" w:eastAsia="ru-RU"/>
        </w:rPr>
        <w:t xml:space="preserve"> близько 9,0 млн. </w:t>
      </w:r>
      <w:r w:rsidRPr="00FF3932">
        <w:rPr>
          <w:rFonts w:ascii="Times New Roman" w:eastAsia="Times New Roman" w:hAnsi="Times New Roman" w:cs="Times New Roman"/>
          <w:sz w:val="24"/>
          <w:szCs w:val="24"/>
          <w:lang w:val="uk-UA" w:eastAsia="ru-RU"/>
        </w:rPr>
        <w:t>гривень.</w:t>
      </w:r>
    </w:p>
    <w:p w:rsidR="00BC2B29" w:rsidRPr="00FF2A6C" w:rsidRDefault="00BA7B69" w:rsidP="00BC2B29">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На показник виконання доходів бюджету вплинув Закон</w:t>
      </w:r>
      <w:r w:rsidR="00BC2B29" w:rsidRPr="00D51A34">
        <w:rPr>
          <w:rFonts w:ascii="Times New Roman" w:hAnsi="Times New Roman" w:cs="Times New Roman"/>
          <w:sz w:val="24"/>
          <w:szCs w:val="24"/>
          <w:lang w:val="uk-UA"/>
        </w:rPr>
        <w:t xml:space="preserve"> України </w:t>
      </w:r>
      <w:r w:rsidRPr="00D51A34">
        <w:rPr>
          <w:rFonts w:ascii="Times New Roman" w:hAnsi="Times New Roman" w:cs="Times New Roman"/>
          <w:sz w:val="24"/>
          <w:szCs w:val="24"/>
          <w:lang w:val="uk-UA"/>
        </w:rPr>
        <w:t xml:space="preserve">від 19 листопада </w:t>
      </w:r>
      <w:r>
        <w:rPr>
          <w:rFonts w:ascii="Times New Roman" w:hAnsi="Times New Roman" w:cs="Times New Roman"/>
          <w:sz w:val="24"/>
          <w:szCs w:val="24"/>
          <w:lang w:val="uk-UA"/>
        </w:rPr>
        <w:t xml:space="preserve">                </w:t>
      </w:r>
      <w:r w:rsidRPr="00D51A34">
        <w:rPr>
          <w:rFonts w:ascii="Times New Roman" w:hAnsi="Times New Roman" w:cs="Times New Roman"/>
          <w:sz w:val="24"/>
          <w:szCs w:val="24"/>
          <w:lang w:val="uk-UA"/>
        </w:rPr>
        <w:t xml:space="preserve">2023 року № 3428 </w:t>
      </w:r>
      <w:r w:rsidR="00BC2B29" w:rsidRPr="00D51A34">
        <w:rPr>
          <w:rFonts w:ascii="Times New Roman" w:hAnsi="Times New Roman" w:cs="Times New Roman"/>
          <w:sz w:val="24"/>
          <w:szCs w:val="24"/>
          <w:lang w:val="uk-UA"/>
        </w:rPr>
        <w:t>«Про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w:t>
      </w:r>
      <w:r w:rsidR="00BC2B29">
        <w:rPr>
          <w:rFonts w:ascii="Times New Roman" w:hAnsi="Times New Roman" w:cs="Times New Roman"/>
          <w:sz w:val="24"/>
          <w:szCs w:val="24"/>
          <w:lang w:val="uk-UA"/>
        </w:rPr>
        <w:t>, яким передбачено спрямування «військового» ПДФО</w:t>
      </w:r>
      <w:r w:rsidR="00BC2B29" w:rsidRPr="00D51A34">
        <w:rPr>
          <w:rFonts w:ascii="Times New Roman" w:hAnsi="Times New Roman" w:cs="Times New Roman"/>
          <w:sz w:val="24"/>
          <w:szCs w:val="24"/>
          <w:lang w:val="uk-UA"/>
        </w:rPr>
        <w:t xml:space="preserve"> </w:t>
      </w:r>
      <w:r w:rsidR="00BC2B29">
        <w:rPr>
          <w:rFonts w:ascii="Times New Roman" w:hAnsi="Times New Roman" w:cs="Times New Roman"/>
          <w:sz w:val="24"/>
          <w:szCs w:val="24"/>
          <w:lang w:val="uk-UA"/>
        </w:rPr>
        <w:t xml:space="preserve">до спеціального фонду </w:t>
      </w:r>
      <w:r w:rsidR="00BC2B29" w:rsidRPr="00FF2A6C">
        <w:rPr>
          <w:rFonts w:ascii="Times New Roman" w:hAnsi="Times New Roman" w:cs="Times New Roman"/>
          <w:sz w:val="24"/>
          <w:szCs w:val="24"/>
          <w:lang w:val="uk-UA"/>
        </w:rPr>
        <w:t xml:space="preserve">Державного бюджету з 01 жовтня 2023 року. </w:t>
      </w:r>
    </w:p>
    <w:p w:rsidR="00BC2B29" w:rsidRPr="00FF2A6C" w:rsidRDefault="00BC2B29" w:rsidP="00BC2B29">
      <w:pPr>
        <w:spacing w:after="0" w:line="240" w:lineRule="auto"/>
        <w:ind w:firstLine="567"/>
        <w:jc w:val="both"/>
        <w:rPr>
          <w:rFonts w:ascii="Times New Roman" w:hAnsi="Times New Roman" w:cs="Times New Roman"/>
          <w:sz w:val="24"/>
          <w:szCs w:val="24"/>
          <w:lang w:val="uk-UA"/>
        </w:rPr>
      </w:pPr>
      <w:r w:rsidRPr="00AF10CD">
        <w:rPr>
          <w:rFonts w:ascii="Times New Roman" w:hAnsi="Times New Roman" w:cs="Times New Roman"/>
          <w:b/>
          <w:sz w:val="24"/>
          <w:szCs w:val="24"/>
          <w:lang w:val="uk-UA"/>
        </w:rPr>
        <w:t xml:space="preserve">Доходи спеціального фонду </w:t>
      </w:r>
      <w:r w:rsidRPr="00AF10CD">
        <w:rPr>
          <w:rFonts w:ascii="Times New Roman" w:hAnsi="Times New Roman" w:cs="Times New Roman"/>
          <w:sz w:val="24"/>
          <w:szCs w:val="24"/>
          <w:lang w:val="uk-UA"/>
        </w:rPr>
        <w:t xml:space="preserve">(без урахування субвенцій) очікуються </w:t>
      </w:r>
      <w:r w:rsidR="00BA7B69">
        <w:rPr>
          <w:rFonts w:ascii="Times New Roman" w:hAnsi="Times New Roman" w:cs="Times New Roman"/>
          <w:sz w:val="24"/>
          <w:szCs w:val="24"/>
          <w:lang w:val="uk-UA"/>
        </w:rPr>
        <w:t>у сумі понад                      22,0 млн. грн</w:t>
      </w:r>
      <w:r w:rsidRPr="00AF10CD">
        <w:rPr>
          <w:rFonts w:ascii="Times New Roman" w:hAnsi="Times New Roman" w:cs="Times New Roman"/>
          <w:sz w:val="24"/>
          <w:szCs w:val="24"/>
          <w:lang w:val="uk-UA"/>
        </w:rPr>
        <w:t>, що</w:t>
      </w:r>
      <w:r w:rsidR="00BA7B69">
        <w:rPr>
          <w:rFonts w:ascii="Times New Roman" w:hAnsi="Times New Roman" w:cs="Times New Roman"/>
          <w:sz w:val="24"/>
          <w:szCs w:val="24"/>
          <w:lang w:val="uk-UA"/>
        </w:rPr>
        <w:t xml:space="preserve"> може </w:t>
      </w:r>
      <w:r w:rsidRPr="00AF10CD">
        <w:rPr>
          <w:rFonts w:ascii="Times New Roman" w:hAnsi="Times New Roman" w:cs="Times New Roman"/>
          <w:sz w:val="24"/>
          <w:szCs w:val="24"/>
          <w:lang w:val="uk-UA"/>
        </w:rPr>
        <w:t xml:space="preserve"> скла</w:t>
      </w:r>
      <w:r w:rsidR="008D23D8">
        <w:rPr>
          <w:rFonts w:ascii="Times New Roman" w:hAnsi="Times New Roman" w:cs="Times New Roman"/>
          <w:sz w:val="24"/>
          <w:szCs w:val="24"/>
          <w:lang w:val="uk-UA"/>
        </w:rPr>
        <w:t xml:space="preserve">сти майже 150 % річного  плану з урахуванням змін. </w:t>
      </w:r>
      <w:r w:rsidRPr="00FF2A6C">
        <w:rPr>
          <w:rFonts w:ascii="Times New Roman" w:hAnsi="Times New Roman" w:cs="Times New Roman"/>
          <w:sz w:val="24"/>
          <w:szCs w:val="24"/>
          <w:lang w:val="uk-UA"/>
        </w:rPr>
        <w:t xml:space="preserve">  </w:t>
      </w:r>
    </w:p>
    <w:p w:rsidR="00BC2B29" w:rsidRDefault="003329C1" w:rsidP="00BC2B29">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BC2B29" w:rsidRPr="00FF2A6C">
        <w:rPr>
          <w:rFonts w:ascii="Times New Roman" w:hAnsi="Times New Roman" w:cs="Times New Roman"/>
          <w:sz w:val="24"/>
          <w:szCs w:val="24"/>
          <w:lang w:val="uk-UA"/>
        </w:rPr>
        <w:t>еревиконання</w:t>
      </w:r>
      <w:r w:rsidR="00BC2B29" w:rsidRPr="00FF2A6C">
        <w:rPr>
          <w:rFonts w:ascii="Times New Roman" w:hAnsi="Times New Roman" w:cs="Times New Roman"/>
          <w:sz w:val="24"/>
          <w:szCs w:val="24"/>
        </w:rPr>
        <w:t xml:space="preserve"> </w:t>
      </w:r>
      <w:r w:rsidR="00BC2B29" w:rsidRPr="00FF2A6C">
        <w:rPr>
          <w:rFonts w:ascii="Times New Roman" w:hAnsi="Times New Roman" w:cs="Times New Roman"/>
          <w:sz w:val="24"/>
          <w:szCs w:val="24"/>
          <w:lang w:val="uk-UA"/>
        </w:rPr>
        <w:t>очкується, в основному, за рахунок отримання бюджетними установами благодійної допомоги від міжнародних організацій та органів державної влади</w:t>
      </w:r>
      <w:r w:rsidR="00BC2B29">
        <w:rPr>
          <w:rFonts w:ascii="Times New Roman" w:hAnsi="Times New Roman" w:cs="Times New Roman"/>
          <w:sz w:val="24"/>
          <w:szCs w:val="24"/>
          <w:lang w:val="uk-UA"/>
        </w:rPr>
        <w:t>.</w:t>
      </w:r>
      <w:r w:rsidR="00BC2B29" w:rsidRPr="00FF2A6C">
        <w:rPr>
          <w:rFonts w:ascii="Times New Roman" w:hAnsi="Times New Roman" w:cs="Times New Roman"/>
          <w:sz w:val="24"/>
          <w:szCs w:val="24"/>
          <w:lang w:val="uk-UA"/>
        </w:rPr>
        <w:t xml:space="preserve"> </w:t>
      </w:r>
    </w:p>
    <w:p w:rsidR="00BC2B29" w:rsidRDefault="0030756A" w:rsidP="0030756A">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b/>
          <w:sz w:val="24"/>
          <w:szCs w:val="24"/>
          <w:lang w:val="uk-UA"/>
        </w:rPr>
        <w:t>Отримання о</w:t>
      </w:r>
      <w:r w:rsidR="00BC2B29" w:rsidRPr="00982BE6">
        <w:rPr>
          <w:rFonts w:ascii="Times New Roman" w:hAnsi="Times New Roman" w:cs="Times New Roman"/>
          <w:b/>
          <w:sz w:val="24"/>
          <w:szCs w:val="24"/>
          <w:lang w:val="uk-UA"/>
        </w:rPr>
        <w:t>фіційн</w:t>
      </w:r>
      <w:r>
        <w:rPr>
          <w:rFonts w:ascii="Times New Roman" w:hAnsi="Times New Roman" w:cs="Times New Roman"/>
          <w:b/>
          <w:sz w:val="24"/>
          <w:szCs w:val="24"/>
          <w:lang w:val="uk-UA"/>
        </w:rPr>
        <w:t>их</w:t>
      </w:r>
      <w:r w:rsidR="00BC2B29" w:rsidRPr="00982BE6">
        <w:rPr>
          <w:rFonts w:ascii="Times New Roman" w:hAnsi="Times New Roman" w:cs="Times New Roman"/>
          <w:b/>
          <w:sz w:val="24"/>
          <w:szCs w:val="24"/>
          <w:lang w:val="uk-UA"/>
        </w:rPr>
        <w:t xml:space="preserve"> трансферт</w:t>
      </w:r>
      <w:r>
        <w:rPr>
          <w:rFonts w:ascii="Times New Roman" w:hAnsi="Times New Roman" w:cs="Times New Roman"/>
          <w:b/>
          <w:sz w:val="24"/>
          <w:szCs w:val="24"/>
          <w:lang w:val="uk-UA"/>
        </w:rPr>
        <w:t>ів</w:t>
      </w:r>
      <w:r w:rsidR="00BC2B29">
        <w:rPr>
          <w:rFonts w:ascii="Times New Roman" w:hAnsi="Times New Roman" w:cs="Times New Roman"/>
          <w:sz w:val="24"/>
          <w:szCs w:val="24"/>
          <w:lang w:val="uk-UA"/>
        </w:rPr>
        <w:t xml:space="preserve"> у 2023 році очікуються у сумі </w:t>
      </w:r>
      <w:r>
        <w:rPr>
          <w:rFonts w:ascii="Times New Roman" w:hAnsi="Times New Roman" w:cs="Times New Roman"/>
          <w:sz w:val="24"/>
          <w:szCs w:val="24"/>
          <w:lang w:val="uk-UA"/>
        </w:rPr>
        <w:t xml:space="preserve"> біля </w:t>
      </w:r>
      <w:r w:rsidR="00BC2B29">
        <w:rPr>
          <w:rFonts w:ascii="Times New Roman" w:hAnsi="Times New Roman" w:cs="Times New Roman"/>
          <w:sz w:val="24"/>
          <w:szCs w:val="24"/>
          <w:lang w:val="uk-UA"/>
        </w:rPr>
        <w:t>156</w:t>
      </w:r>
      <w:r>
        <w:rPr>
          <w:rFonts w:ascii="Times New Roman" w:hAnsi="Times New Roman" w:cs="Times New Roman"/>
          <w:sz w:val="24"/>
          <w:szCs w:val="24"/>
          <w:lang w:val="uk-UA"/>
        </w:rPr>
        <w:t xml:space="preserve">,8 млн грн, що майже 100 % річних показників. </w:t>
      </w:r>
      <w:r w:rsidR="00BC2B29">
        <w:rPr>
          <w:rFonts w:ascii="Times New Roman" w:hAnsi="Times New Roman" w:cs="Times New Roman"/>
          <w:sz w:val="24"/>
          <w:szCs w:val="24"/>
          <w:lang w:val="uk-UA"/>
        </w:rPr>
        <w:t> </w:t>
      </w:r>
    </w:p>
    <w:p w:rsidR="00E017EC" w:rsidRDefault="00E017EC" w:rsidP="00BC2B29">
      <w:pPr>
        <w:spacing w:after="0" w:line="240" w:lineRule="auto"/>
        <w:ind w:firstLine="567"/>
        <w:jc w:val="both"/>
        <w:rPr>
          <w:rFonts w:ascii="Times New Roman" w:hAnsi="Times New Roman" w:cs="Times New Roman"/>
          <w:sz w:val="24"/>
          <w:szCs w:val="24"/>
          <w:lang w:val="uk-UA"/>
        </w:rPr>
      </w:pPr>
    </w:p>
    <w:p w:rsidR="00E017EC" w:rsidRPr="006550EF" w:rsidRDefault="00E017EC" w:rsidP="00291E23">
      <w:pPr>
        <w:spacing w:after="0" w:line="240" w:lineRule="auto"/>
        <w:ind w:firstLine="567"/>
        <w:jc w:val="both"/>
        <w:rPr>
          <w:rFonts w:ascii="Times New Roman" w:eastAsia="Times New Roman" w:hAnsi="Times New Roman" w:cs="Times New Roman"/>
          <w:color w:val="000000"/>
          <w:sz w:val="24"/>
          <w:szCs w:val="24"/>
          <w:shd w:val="clear" w:color="auto" w:fill="FFFFFF"/>
          <w:lang w:val="uk-UA" w:eastAsia="ru-RU"/>
        </w:rPr>
      </w:pPr>
      <w:r w:rsidRPr="006550EF">
        <w:rPr>
          <w:rFonts w:ascii="Times New Roman" w:hAnsi="Times New Roman" w:cs="Times New Roman"/>
          <w:sz w:val="24"/>
          <w:szCs w:val="24"/>
          <w:lang w:val="uk-UA"/>
        </w:rPr>
        <w:t>Виходячи з обсягу затверджених доходів та вільного залишку коштів станом на                         01.01.202</w:t>
      </w:r>
      <w:r w:rsidR="000D667C" w:rsidRPr="006550EF">
        <w:rPr>
          <w:rFonts w:ascii="Times New Roman" w:hAnsi="Times New Roman" w:cs="Times New Roman"/>
          <w:sz w:val="24"/>
          <w:szCs w:val="24"/>
          <w:lang w:val="uk-UA"/>
        </w:rPr>
        <w:t>3</w:t>
      </w:r>
      <w:r w:rsidRPr="006550EF">
        <w:rPr>
          <w:rFonts w:ascii="Times New Roman" w:hAnsi="Times New Roman" w:cs="Times New Roman"/>
          <w:sz w:val="24"/>
          <w:szCs w:val="24"/>
          <w:lang w:val="uk-UA"/>
        </w:rPr>
        <w:t xml:space="preserve"> року прогнозний обсяг видатків за підсумками року очікується в межах затверджених бюджетних призначень відповідно до рішення Чорноморської міської ради Одеського району Одеської області від 2</w:t>
      </w:r>
      <w:r w:rsidR="000D667C" w:rsidRPr="006550EF">
        <w:rPr>
          <w:rFonts w:ascii="Times New Roman" w:hAnsi="Times New Roman" w:cs="Times New Roman"/>
          <w:sz w:val="24"/>
          <w:szCs w:val="24"/>
          <w:lang w:val="uk-UA"/>
        </w:rPr>
        <w:t>0</w:t>
      </w:r>
      <w:r w:rsidRPr="006550EF">
        <w:rPr>
          <w:rFonts w:ascii="Times New Roman" w:hAnsi="Times New Roman" w:cs="Times New Roman"/>
          <w:sz w:val="24"/>
          <w:szCs w:val="24"/>
          <w:lang w:val="uk-UA"/>
        </w:rPr>
        <w:t>.12.202</w:t>
      </w:r>
      <w:r w:rsidR="000D667C" w:rsidRPr="006550EF">
        <w:rPr>
          <w:rFonts w:ascii="Times New Roman" w:hAnsi="Times New Roman" w:cs="Times New Roman"/>
          <w:sz w:val="24"/>
          <w:szCs w:val="24"/>
          <w:lang w:val="uk-UA"/>
        </w:rPr>
        <w:t>2</w:t>
      </w:r>
      <w:r w:rsidRPr="006550EF">
        <w:rPr>
          <w:rFonts w:ascii="Times New Roman" w:hAnsi="Times New Roman" w:cs="Times New Roman"/>
          <w:sz w:val="24"/>
          <w:szCs w:val="24"/>
          <w:lang w:val="uk-UA"/>
        </w:rPr>
        <w:t xml:space="preserve">р. № </w:t>
      </w:r>
      <w:r w:rsidR="000D667C" w:rsidRPr="006550EF">
        <w:rPr>
          <w:rFonts w:ascii="Times New Roman" w:hAnsi="Times New Roman" w:cs="Times New Roman"/>
          <w:sz w:val="24"/>
          <w:szCs w:val="24"/>
          <w:lang w:val="uk-UA"/>
        </w:rPr>
        <w:t>284</w:t>
      </w:r>
      <w:r w:rsidRPr="006550EF">
        <w:rPr>
          <w:rFonts w:ascii="Times New Roman" w:hAnsi="Times New Roman" w:cs="Times New Roman"/>
          <w:sz w:val="24"/>
          <w:szCs w:val="24"/>
          <w:lang w:val="uk-UA"/>
        </w:rPr>
        <w:t>-VIIІ "Про бюджет Чорноморської міської територіальної громади на 2022 рік" (зі змінами та доповненнями)  з дотриманням вимог,</w:t>
      </w:r>
      <w:r w:rsidRPr="006550EF">
        <w:rPr>
          <w:color w:val="000000"/>
          <w:sz w:val="24"/>
          <w:szCs w:val="24"/>
          <w:shd w:val="clear" w:color="auto" w:fill="FFFFFF"/>
          <w:lang w:val="uk-UA"/>
        </w:rPr>
        <w:t xml:space="preserve"> </w:t>
      </w:r>
      <w:r w:rsidRPr="006550EF">
        <w:rPr>
          <w:rFonts w:ascii="Times New Roman" w:eastAsia="Times New Roman" w:hAnsi="Times New Roman" w:cs="Times New Roman"/>
          <w:color w:val="000000"/>
          <w:sz w:val="24"/>
          <w:szCs w:val="24"/>
          <w:shd w:val="clear" w:color="auto" w:fill="FFFFFF"/>
          <w:lang w:val="uk-UA" w:eastAsia="ru-RU"/>
        </w:rPr>
        <w:t xml:space="preserve">визначених у Порядку виконання повноважень Державною казначейською службою </w:t>
      </w:r>
      <w:r w:rsidRPr="006550EF">
        <w:rPr>
          <w:rFonts w:ascii="Times New Roman" w:eastAsia="Times New Roman" w:hAnsi="Times New Roman" w:cs="Times New Roman"/>
          <w:color w:val="000000"/>
          <w:sz w:val="24"/>
          <w:szCs w:val="24"/>
          <w:shd w:val="clear" w:color="auto" w:fill="FFFFFF"/>
          <w:lang w:val="uk-UA" w:eastAsia="ru-RU"/>
        </w:rPr>
        <w:lastRenderedPageBreak/>
        <w:t>в особливому режимі в умовах воєнного стану, затвердженого постановою Кабінету Міністрів України від 9 червня 2021 р. №590 (зі змінами).</w:t>
      </w:r>
    </w:p>
    <w:p w:rsidR="000D667C" w:rsidRPr="006550EF" w:rsidRDefault="000D667C" w:rsidP="00291E23">
      <w:pPr>
        <w:spacing w:after="0" w:line="240" w:lineRule="auto"/>
        <w:ind w:firstLine="567"/>
        <w:jc w:val="both"/>
        <w:rPr>
          <w:rFonts w:ascii="Times New Roman" w:eastAsia="Times New Roman" w:hAnsi="Times New Roman" w:cs="Times New Roman"/>
          <w:color w:val="000000"/>
          <w:sz w:val="24"/>
          <w:szCs w:val="24"/>
          <w:shd w:val="clear" w:color="auto" w:fill="FFFFFF"/>
          <w:lang w:val="uk-UA" w:eastAsia="ru-RU"/>
        </w:rPr>
      </w:pPr>
      <w:r w:rsidRPr="006550EF">
        <w:rPr>
          <w:rFonts w:ascii="Times New Roman" w:eastAsia="Times New Roman" w:hAnsi="Times New Roman" w:cs="Times New Roman"/>
          <w:color w:val="000000"/>
          <w:sz w:val="24"/>
          <w:szCs w:val="24"/>
          <w:shd w:val="clear" w:color="auto" w:fill="FFFFFF"/>
          <w:lang w:val="uk-UA" w:eastAsia="ru-RU"/>
        </w:rPr>
        <w:t>При цьому, є ризик повернення фінансування непроплачених органами Державної казначейської служби платежів</w:t>
      </w:r>
      <w:r w:rsidR="00D44983" w:rsidRPr="006550EF">
        <w:rPr>
          <w:rFonts w:ascii="Times New Roman" w:eastAsia="Times New Roman" w:hAnsi="Times New Roman" w:cs="Times New Roman"/>
          <w:color w:val="000000"/>
          <w:sz w:val="24"/>
          <w:szCs w:val="24"/>
          <w:shd w:val="clear" w:color="auto" w:fill="FFFFFF"/>
          <w:lang w:val="uk-UA" w:eastAsia="ru-RU"/>
        </w:rPr>
        <w:t>.</w:t>
      </w:r>
      <w:r w:rsidRPr="006550EF">
        <w:rPr>
          <w:rFonts w:ascii="Times New Roman" w:eastAsia="Times New Roman" w:hAnsi="Times New Roman" w:cs="Times New Roman"/>
          <w:color w:val="000000"/>
          <w:sz w:val="24"/>
          <w:szCs w:val="24"/>
          <w:shd w:val="clear" w:color="auto" w:fill="FFFFFF"/>
          <w:lang w:val="uk-UA" w:eastAsia="ru-RU"/>
        </w:rPr>
        <w:t xml:space="preserve"> </w:t>
      </w:r>
      <w:r w:rsidR="00544F58" w:rsidRPr="006550EF">
        <w:rPr>
          <w:rFonts w:ascii="Times New Roman" w:eastAsia="Times New Roman" w:hAnsi="Times New Roman" w:cs="Times New Roman"/>
          <w:color w:val="000000"/>
          <w:sz w:val="24"/>
          <w:szCs w:val="24"/>
          <w:shd w:val="clear" w:color="auto" w:fill="FFFFFF"/>
          <w:lang w:val="uk-UA" w:eastAsia="ru-RU"/>
        </w:rPr>
        <w:t>Включно по 15</w:t>
      </w:r>
      <w:r w:rsidRPr="006550EF">
        <w:rPr>
          <w:rFonts w:ascii="Times New Roman" w:eastAsia="Times New Roman" w:hAnsi="Times New Roman" w:cs="Times New Roman"/>
          <w:color w:val="000000"/>
          <w:sz w:val="24"/>
          <w:szCs w:val="24"/>
          <w:shd w:val="clear" w:color="auto" w:fill="FFFFFF"/>
          <w:lang w:val="uk-UA" w:eastAsia="ru-RU"/>
        </w:rPr>
        <w:t>.12.</w:t>
      </w:r>
      <w:r w:rsidR="00544F58" w:rsidRPr="006550EF">
        <w:rPr>
          <w:rFonts w:ascii="Times New Roman" w:eastAsia="Times New Roman" w:hAnsi="Times New Roman" w:cs="Times New Roman"/>
          <w:color w:val="000000"/>
          <w:sz w:val="24"/>
          <w:szCs w:val="24"/>
          <w:shd w:val="clear" w:color="auto" w:fill="FFFFFF"/>
          <w:lang w:val="uk-UA" w:eastAsia="ru-RU"/>
        </w:rPr>
        <w:t>20</w:t>
      </w:r>
      <w:r w:rsidRPr="006550EF">
        <w:rPr>
          <w:rFonts w:ascii="Times New Roman" w:eastAsia="Times New Roman" w:hAnsi="Times New Roman" w:cs="Times New Roman"/>
          <w:color w:val="000000"/>
          <w:sz w:val="24"/>
          <w:szCs w:val="24"/>
          <w:shd w:val="clear" w:color="auto" w:fill="FFFFFF"/>
          <w:lang w:val="uk-UA" w:eastAsia="ru-RU"/>
        </w:rPr>
        <w:t>23р. непроплачених платежів по Чорноморській міській територіальній громаді рахується у сумі 38,0 млн.</w:t>
      </w:r>
      <w:r w:rsidR="00544F58" w:rsidRPr="006550EF">
        <w:rPr>
          <w:rFonts w:ascii="Times New Roman" w:eastAsia="Times New Roman" w:hAnsi="Times New Roman" w:cs="Times New Roman"/>
          <w:color w:val="000000"/>
          <w:sz w:val="24"/>
          <w:szCs w:val="24"/>
          <w:shd w:val="clear" w:color="auto" w:fill="FFFFFF"/>
          <w:lang w:val="uk-UA" w:eastAsia="ru-RU"/>
        </w:rPr>
        <w:t xml:space="preserve"> </w:t>
      </w:r>
      <w:r w:rsidRPr="006550EF">
        <w:rPr>
          <w:rFonts w:ascii="Times New Roman" w:eastAsia="Times New Roman" w:hAnsi="Times New Roman" w:cs="Times New Roman"/>
          <w:color w:val="000000"/>
          <w:sz w:val="24"/>
          <w:szCs w:val="24"/>
          <w:shd w:val="clear" w:color="auto" w:fill="FFFFFF"/>
          <w:lang w:val="uk-UA" w:eastAsia="ru-RU"/>
        </w:rPr>
        <w:t>грн, із них за загальним фондом – 4,9 млн.</w:t>
      </w:r>
      <w:r w:rsidR="00544F58" w:rsidRPr="006550EF">
        <w:rPr>
          <w:rFonts w:ascii="Times New Roman" w:eastAsia="Times New Roman" w:hAnsi="Times New Roman" w:cs="Times New Roman"/>
          <w:color w:val="000000"/>
          <w:sz w:val="24"/>
          <w:szCs w:val="24"/>
          <w:shd w:val="clear" w:color="auto" w:fill="FFFFFF"/>
          <w:lang w:val="uk-UA" w:eastAsia="ru-RU"/>
        </w:rPr>
        <w:t xml:space="preserve"> </w:t>
      </w:r>
      <w:r w:rsidRPr="006550EF">
        <w:rPr>
          <w:rFonts w:ascii="Times New Roman" w:eastAsia="Times New Roman" w:hAnsi="Times New Roman" w:cs="Times New Roman"/>
          <w:color w:val="000000"/>
          <w:sz w:val="24"/>
          <w:szCs w:val="24"/>
          <w:shd w:val="clear" w:color="auto" w:fill="FFFFFF"/>
          <w:lang w:val="uk-UA" w:eastAsia="ru-RU"/>
        </w:rPr>
        <w:t>грн, за спеціальним фондом – 33,1 млн.</w:t>
      </w:r>
      <w:r w:rsidR="00544F58" w:rsidRPr="006550EF">
        <w:rPr>
          <w:rFonts w:ascii="Times New Roman" w:eastAsia="Times New Roman" w:hAnsi="Times New Roman" w:cs="Times New Roman"/>
          <w:color w:val="000000"/>
          <w:sz w:val="24"/>
          <w:szCs w:val="24"/>
          <w:shd w:val="clear" w:color="auto" w:fill="FFFFFF"/>
          <w:lang w:val="uk-UA" w:eastAsia="ru-RU"/>
        </w:rPr>
        <w:t xml:space="preserve"> </w:t>
      </w:r>
      <w:r w:rsidR="00651CA0" w:rsidRPr="006550EF">
        <w:rPr>
          <w:rFonts w:ascii="Times New Roman" w:eastAsia="Times New Roman" w:hAnsi="Times New Roman" w:cs="Times New Roman"/>
          <w:color w:val="000000"/>
          <w:sz w:val="24"/>
          <w:szCs w:val="24"/>
          <w:shd w:val="clear" w:color="auto" w:fill="FFFFFF"/>
          <w:lang w:val="uk-UA" w:eastAsia="ru-RU"/>
        </w:rPr>
        <w:t>гривень.</w:t>
      </w:r>
    </w:p>
    <w:p w:rsidR="005E74D0" w:rsidRDefault="005E74D0" w:rsidP="000E2C33">
      <w:pPr>
        <w:spacing w:after="0" w:line="240" w:lineRule="auto"/>
        <w:jc w:val="center"/>
        <w:rPr>
          <w:rFonts w:ascii="Times New Roman" w:hAnsi="Times New Roman" w:cs="Times New Roman"/>
          <w:b/>
          <w:sz w:val="28"/>
          <w:szCs w:val="28"/>
          <w:lang w:val="uk-UA"/>
        </w:rPr>
      </w:pPr>
    </w:p>
    <w:p w:rsidR="000E2C33" w:rsidRPr="004718D3" w:rsidRDefault="003C0C96" w:rsidP="000E2C33">
      <w:pPr>
        <w:spacing w:after="0" w:line="240" w:lineRule="auto"/>
        <w:jc w:val="center"/>
        <w:rPr>
          <w:rFonts w:ascii="Times New Roman" w:hAnsi="Times New Roman" w:cs="Times New Roman"/>
          <w:b/>
          <w:sz w:val="28"/>
          <w:szCs w:val="28"/>
          <w:lang w:val="uk-UA"/>
        </w:rPr>
      </w:pPr>
      <w:r w:rsidRPr="004718D3">
        <w:rPr>
          <w:rFonts w:ascii="Times New Roman" w:hAnsi="Times New Roman" w:cs="Times New Roman"/>
          <w:b/>
          <w:sz w:val="28"/>
          <w:szCs w:val="28"/>
          <w:lang w:val="uk-UA"/>
        </w:rPr>
        <w:t>5</w:t>
      </w:r>
      <w:r w:rsidR="000E2C33" w:rsidRPr="004718D3">
        <w:rPr>
          <w:rFonts w:ascii="Times New Roman" w:hAnsi="Times New Roman" w:cs="Times New Roman"/>
          <w:b/>
          <w:sz w:val="28"/>
          <w:szCs w:val="28"/>
          <w:lang w:val="uk-UA"/>
        </w:rPr>
        <w:t>. Оцінка показників доходів бюджету</w:t>
      </w:r>
    </w:p>
    <w:p w:rsidR="000E2C33" w:rsidRPr="004718D3" w:rsidRDefault="000E2C33" w:rsidP="000E2C33">
      <w:pPr>
        <w:spacing w:after="0" w:line="240" w:lineRule="auto"/>
        <w:jc w:val="center"/>
        <w:rPr>
          <w:rFonts w:ascii="Times New Roman" w:hAnsi="Times New Roman" w:cs="Times New Roman"/>
          <w:b/>
          <w:sz w:val="28"/>
          <w:szCs w:val="28"/>
          <w:lang w:val="uk-UA"/>
        </w:rPr>
      </w:pPr>
      <w:r w:rsidRPr="004718D3">
        <w:rPr>
          <w:rFonts w:ascii="Times New Roman" w:hAnsi="Times New Roman" w:cs="Times New Roman"/>
          <w:b/>
          <w:sz w:val="28"/>
          <w:szCs w:val="28"/>
          <w:lang w:val="uk-UA"/>
        </w:rPr>
        <w:t>Чорноморської міської територіальної громади на 202</w:t>
      </w:r>
      <w:r w:rsidR="004718D3" w:rsidRPr="004718D3">
        <w:rPr>
          <w:rFonts w:ascii="Times New Roman" w:hAnsi="Times New Roman" w:cs="Times New Roman"/>
          <w:b/>
          <w:sz w:val="28"/>
          <w:szCs w:val="28"/>
          <w:lang w:val="uk-UA"/>
        </w:rPr>
        <w:t>4</w:t>
      </w:r>
      <w:r w:rsidRPr="004718D3">
        <w:rPr>
          <w:rFonts w:ascii="Times New Roman" w:hAnsi="Times New Roman" w:cs="Times New Roman"/>
          <w:b/>
          <w:sz w:val="28"/>
          <w:szCs w:val="28"/>
          <w:lang w:val="uk-UA"/>
        </w:rPr>
        <w:t xml:space="preserve"> рік</w:t>
      </w:r>
    </w:p>
    <w:p w:rsidR="000E2C33" w:rsidRPr="004718D3" w:rsidRDefault="000E2C33" w:rsidP="000E2C33">
      <w:pPr>
        <w:spacing w:after="0" w:line="240" w:lineRule="auto"/>
        <w:jc w:val="center"/>
        <w:rPr>
          <w:rFonts w:ascii="Times New Roman" w:hAnsi="Times New Roman" w:cs="Times New Roman"/>
          <w:sz w:val="24"/>
          <w:szCs w:val="24"/>
          <w:lang w:val="uk-UA"/>
        </w:rPr>
      </w:pPr>
    </w:p>
    <w:p w:rsidR="0001656F" w:rsidRPr="0001656F" w:rsidRDefault="0001656F" w:rsidP="0001656F">
      <w:pPr>
        <w:tabs>
          <w:tab w:val="left" w:pos="-5245"/>
        </w:tabs>
        <w:spacing w:after="0" w:line="240" w:lineRule="auto"/>
        <w:ind w:right="-2" w:firstLine="567"/>
        <w:jc w:val="both"/>
        <w:rPr>
          <w:rFonts w:ascii="Times New Roman" w:hAnsi="Times New Roman" w:cs="Times New Roman"/>
          <w:sz w:val="24"/>
          <w:szCs w:val="24"/>
          <w:lang w:val="uk-UA"/>
        </w:rPr>
      </w:pPr>
      <w:r w:rsidRPr="0001656F">
        <w:rPr>
          <w:rFonts w:ascii="Times New Roman" w:hAnsi="Times New Roman" w:cs="Times New Roman"/>
          <w:sz w:val="24"/>
          <w:szCs w:val="24"/>
          <w:lang w:val="uk-UA"/>
        </w:rPr>
        <w:t xml:space="preserve">Показники дохідної частини бюджету </w:t>
      </w:r>
      <w:r>
        <w:rPr>
          <w:rFonts w:ascii="Times New Roman" w:hAnsi="Times New Roman" w:cs="Times New Roman"/>
          <w:sz w:val="24"/>
          <w:szCs w:val="24"/>
          <w:lang w:val="uk-UA"/>
        </w:rPr>
        <w:t xml:space="preserve">Чорноморської міської територіальної громади </w:t>
      </w:r>
      <w:r w:rsidRPr="0001656F">
        <w:rPr>
          <w:rFonts w:ascii="Times New Roman" w:hAnsi="Times New Roman" w:cs="Times New Roman"/>
          <w:sz w:val="24"/>
          <w:szCs w:val="24"/>
          <w:lang w:val="uk-UA"/>
        </w:rPr>
        <w:t xml:space="preserve"> на 2024 рік розроблені на базі основних прогнозних </w:t>
      </w:r>
      <w:proofErr w:type="spellStart"/>
      <w:r w:rsidRPr="0001656F">
        <w:rPr>
          <w:rFonts w:ascii="Times New Roman" w:hAnsi="Times New Roman" w:cs="Times New Roman"/>
          <w:sz w:val="24"/>
          <w:szCs w:val="24"/>
          <w:lang w:val="uk-UA"/>
        </w:rPr>
        <w:t>макропоказників</w:t>
      </w:r>
      <w:proofErr w:type="spellEnd"/>
      <w:r w:rsidRPr="0001656F">
        <w:rPr>
          <w:rFonts w:ascii="Times New Roman" w:hAnsi="Times New Roman" w:cs="Times New Roman"/>
          <w:sz w:val="24"/>
          <w:szCs w:val="24"/>
          <w:lang w:val="uk-UA"/>
        </w:rPr>
        <w:t xml:space="preserve"> економічного і соціального розвитку України, які враховують дію правового режиму воєнного стану, та із застосуванням чинних норм податкового законодавства, Бюджетного кодексу України, інших законодавчих актів, що стосуються місцевих бюджетів та міжбюджетних відносин.</w:t>
      </w:r>
    </w:p>
    <w:p w:rsidR="000E2C33" w:rsidRPr="0001656F" w:rsidRDefault="000E2C33" w:rsidP="0001656F">
      <w:pPr>
        <w:pStyle w:val="af0"/>
        <w:spacing w:before="0"/>
        <w:rPr>
          <w:rFonts w:ascii="Times New Roman" w:hAnsi="Times New Roman" w:cs="Times New Roman"/>
          <w:sz w:val="24"/>
          <w:szCs w:val="24"/>
        </w:rPr>
      </w:pPr>
      <w:r w:rsidRPr="0001656F">
        <w:rPr>
          <w:rFonts w:ascii="Times New Roman" w:hAnsi="Times New Roman" w:cs="Times New Roman"/>
          <w:sz w:val="24"/>
          <w:szCs w:val="24"/>
        </w:rPr>
        <w:t>При визначені доходів на 202</w:t>
      </w:r>
      <w:r w:rsidR="004718D3" w:rsidRPr="0001656F">
        <w:rPr>
          <w:rFonts w:ascii="Times New Roman" w:hAnsi="Times New Roman" w:cs="Times New Roman"/>
          <w:sz w:val="24"/>
          <w:szCs w:val="24"/>
        </w:rPr>
        <w:t>4</w:t>
      </w:r>
      <w:r w:rsidRPr="0001656F">
        <w:rPr>
          <w:rFonts w:ascii="Times New Roman" w:hAnsi="Times New Roman" w:cs="Times New Roman"/>
          <w:sz w:val="24"/>
          <w:szCs w:val="24"/>
        </w:rPr>
        <w:t xml:space="preserve"> рік було враховано статистичні показники, які використовуються при розрахунку прогнозних надходжень податків та зборів, очікувані показники доходів бюджету Чорноморської міської територіальної громади за 202</w:t>
      </w:r>
      <w:r w:rsidR="00326362" w:rsidRPr="0001656F">
        <w:rPr>
          <w:rFonts w:ascii="Times New Roman" w:hAnsi="Times New Roman" w:cs="Times New Roman"/>
          <w:sz w:val="24"/>
          <w:szCs w:val="24"/>
        </w:rPr>
        <w:t>3</w:t>
      </w:r>
      <w:r w:rsidRPr="0001656F">
        <w:rPr>
          <w:rFonts w:ascii="Times New Roman" w:hAnsi="Times New Roman" w:cs="Times New Roman"/>
          <w:sz w:val="24"/>
          <w:szCs w:val="24"/>
        </w:rPr>
        <w:t xml:space="preserve"> рік </w:t>
      </w:r>
      <w:r w:rsidRPr="0001656F">
        <w:rPr>
          <w:rFonts w:ascii="Times New Roman" w:hAnsi="Times New Roman" w:cs="Times New Roman"/>
          <w:iCs/>
          <w:noProof/>
          <w:sz w:val="24"/>
          <w:szCs w:val="24"/>
        </w:rPr>
        <w:t>та прогнозні на 202</w:t>
      </w:r>
      <w:r w:rsidR="00326362" w:rsidRPr="0001656F">
        <w:rPr>
          <w:rFonts w:ascii="Times New Roman" w:hAnsi="Times New Roman" w:cs="Times New Roman"/>
          <w:iCs/>
          <w:noProof/>
          <w:sz w:val="24"/>
          <w:szCs w:val="24"/>
        </w:rPr>
        <w:t>4</w:t>
      </w:r>
      <w:r w:rsidRPr="0001656F">
        <w:rPr>
          <w:rFonts w:ascii="Times New Roman" w:hAnsi="Times New Roman" w:cs="Times New Roman"/>
          <w:iCs/>
          <w:noProof/>
          <w:sz w:val="24"/>
          <w:szCs w:val="24"/>
        </w:rPr>
        <w:t xml:space="preserve"> рік з д</w:t>
      </w:r>
      <w:r w:rsidR="0042044B" w:rsidRPr="0001656F">
        <w:rPr>
          <w:rFonts w:ascii="Times New Roman" w:hAnsi="Times New Roman" w:cs="Times New Roman"/>
          <w:iCs/>
          <w:noProof/>
          <w:sz w:val="24"/>
          <w:szCs w:val="24"/>
        </w:rPr>
        <w:t>еталізацією у розрізі класифіка</w:t>
      </w:r>
      <w:r w:rsidRPr="0001656F">
        <w:rPr>
          <w:rFonts w:ascii="Times New Roman" w:hAnsi="Times New Roman" w:cs="Times New Roman"/>
          <w:iCs/>
          <w:noProof/>
          <w:sz w:val="24"/>
          <w:szCs w:val="24"/>
        </w:rPr>
        <w:t xml:space="preserve">ції кодів доходів бюджету та порівнянням з відповідними фактичними показниками </w:t>
      </w:r>
      <w:r w:rsidRPr="0001656F">
        <w:rPr>
          <w:rFonts w:ascii="Times New Roman" w:hAnsi="Times New Roman" w:cs="Times New Roman"/>
          <w:sz w:val="24"/>
          <w:szCs w:val="24"/>
        </w:rPr>
        <w:t>за 20</w:t>
      </w:r>
      <w:r w:rsidR="00326362" w:rsidRPr="0001656F">
        <w:rPr>
          <w:rFonts w:ascii="Times New Roman" w:hAnsi="Times New Roman" w:cs="Times New Roman"/>
          <w:sz w:val="24"/>
          <w:szCs w:val="24"/>
        </w:rPr>
        <w:t>20</w:t>
      </w:r>
      <w:r w:rsidRPr="0001656F">
        <w:rPr>
          <w:rFonts w:ascii="Times New Roman" w:hAnsi="Times New Roman" w:cs="Times New Roman"/>
          <w:sz w:val="24"/>
          <w:szCs w:val="24"/>
        </w:rPr>
        <w:t>–202</w:t>
      </w:r>
      <w:r w:rsidR="001836FD" w:rsidRPr="0001656F">
        <w:rPr>
          <w:rFonts w:ascii="Times New Roman" w:hAnsi="Times New Roman" w:cs="Times New Roman"/>
          <w:sz w:val="24"/>
          <w:szCs w:val="24"/>
        </w:rPr>
        <w:t>2</w:t>
      </w:r>
      <w:r w:rsidRPr="0001656F">
        <w:rPr>
          <w:rFonts w:ascii="Times New Roman" w:hAnsi="Times New Roman" w:cs="Times New Roman"/>
          <w:sz w:val="24"/>
          <w:szCs w:val="24"/>
        </w:rPr>
        <w:t xml:space="preserve"> роки</w:t>
      </w:r>
      <w:r w:rsidR="003923B4" w:rsidRPr="0001656F">
        <w:rPr>
          <w:rFonts w:ascii="Times New Roman" w:hAnsi="Times New Roman" w:cs="Times New Roman"/>
          <w:sz w:val="24"/>
          <w:szCs w:val="24"/>
        </w:rPr>
        <w:t xml:space="preserve"> та</w:t>
      </w:r>
      <w:r w:rsidRPr="0001656F">
        <w:rPr>
          <w:rFonts w:ascii="Times New Roman" w:hAnsi="Times New Roman" w:cs="Times New Roman"/>
          <w:sz w:val="24"/>
          <w:szCs w:val="24"/>
        </w:rPr>
        <w:t xml:space="preserve"> </w:t>
      </w:r>
      <w:r w:rsidR="00AE7A8F" w:rsidRPr="0001656F">
        <w:rPr>
          <w:rFonts w:ascii="Times New Roman" w:hAnsi="Times New Roman" w:cs="Times New Roman"/>
          <w:sz w:val="24"/>
          <w:szCs w:val="24"/>
        </w:rPr>
        <w:t>9</w:t>
      </w:r>
      <w:r w:rsidR="001836FD" w:rsidRPr="0001656F">
        <w:rPr>
          <w:rFonts w:ascii="Times New Roman" w:hAnsi="Times New Roman" w:cs="Times New Roman"/>
          <w:sz w:val="24"/>
          <w:szCs w:val="24"/>
        </w:rPr>
        <w:t xml:space="preserve"> місяців 2023</w:t>
      </w:r>
      <w:r w:rsidRPr="0001656F">
        <w:rPr>
          <w:rFonts w:ascii="Times New Roman" w:hAnsi="Times New Roman" w:cs="Times New Roman"/>
          <w:sz w:val="24"/>
          <w:szCs w:val="24"/>
        </w:rPr>
        <w:t xml:space="preserve"> року. </w:t>
      </w:r>
    </w:p>
    <w:p w:rsidR="003923B4" w:rsidRPr="005E74D0" w:rsidRDefault="003923B4" w:rsidP="003923B4">
      <w:pPr>
        <w:pStyle w:val="af0"/>
        <w:contextualSpacing/>
        <w:rPr>
          <w:rFonts w:ascii="Times New Roman" w:hAnsi="Times New Roman"/>
          <w:sz w:val="24"/>
          <w:szCs w:val="24"/>
        </w:rPr>
      </w:pPr>
      <w:r w:rsidRPr="005E74D0">
        <w:rPr>
          <w:rFonts w:ascii="Times New Roman" w:hAnsi="Times New Roman"/>
          <w:sz w:val="24"/>
          <w:szCs w:val="24"/>
        </w:rPr>
        <w:t xml:space="preserve">Окремими особливостями формування дохідної частини бюджету Чорноморської міської </w:t>
      </w:r>
      <w:r w:rsidR="00626AD3" w:rsidRPr="005E74D0">
        <w:rPr>
          <w:rFonts w:ascii="Times New Roman" w:hAnsi="Times New Roman"/>
          <w:sz w:val="24"/>
          <w:szCs w:val="24"/>
        </w:rPr>
        <w:t xml:space="preserve">територіальної громади </w:t>
      </w:r>
      <w:r w:rsidRPr="005E74D0">
        <w:rPr>
          <w:rFonts w:ascii="Times New Roman" w:hAnsi="Times New Roman"/>
          <w:sz w:val="24"/>
          <w:szCs w:val="24"/>
        </w:rPr>
        <w:t>на 202</w:t>
      </w:r>
      <w:r w:rsidR="00104CF3" w:rsidRPr="005E74D0">
        <w:rPr>
          <w:rFonts w:ascii="Times New Roman" w:hAnsi="Times New Roman"/>
          <w:sz w:val="24"/>
          <w:szCs w:val="24"/>
        </w:rPr>
        <w:t>4</w:t>
      </w:r>
      <w:r w:rsidRPr="005E74D0">
        <w:rPr>
          <w:rFonts w:ascii="Times New Roman" w:hAnsi="Times New Roman"/>
          <w:sz w:val="24"/>
          <w:szCs w:val="24"/>
        </w:rPr>
        <w:t xml:space="preserve"> рік є:</w:t>
      </w:r>
    </w:p>
    <w:p w:rsidR="003923B4" w:rsidRPr="005E74D0" w:rsidRDefault="003923B4" w:rsidP="003923B4">
      <w:pPr>
        <w:pStyle w:val="af0"/>
        <w:contextualSpacing/>
        <w:rPr>
          <w:rFonts w:ascii="Times New Roman" w:hAnsi="Times New Roman"/>
          <w:sz w:val="24"/>
          <w:szCs w:val="24"/>
        </w:rPr>
      </w:pPr>
      <w:r w:rsidRPr="005E74D0">
        <w:rPr>
          <w:rFonts w:ascii="Times New Roman" w:hAnsi="Times New Roman"/>
          <w:sz w:val="24"/>
          <w:szCs w:val="24"/>
        </w:rPr>
        <w:t xml:space="preserve">1. </w:t>
      </w:r>
      <w:r w:rsidR="00626AD3" w:rsidRPr="005E74D0">
        <w:rPr>
          <w:rFonts w:ascii="Times New Roman" w:hAnsi="Times New Roman"/>
          <w:sz w:val="24"/>
          <w:szCs w:val="24"/>
        </w:rPr>
        <w:t xml:space="preserve">збереження </w:t>
      </w:r>
      <w:r w:rsidRPr="005E74D0">
        <w:rPr>
          <w:rFonts w:ascii="Times New Roman" w:hAnsi="Times New Roman"/>
          <w:sz w:val="24"/>
          <w:szCs w:val="24"/>
        </w:rPr>
        <w:t>зарахування 64 %  податку на доходи фізичних осіб</w:t>
      </w:r>
      <w:r w:rsidR="0001656F">
        <w:rPr>
          <w:rFonts w:ascii="Times New Roman" w:hAnsi="Times New Roman"/>
          <w:sz w:val="24"/>
          <w:szCs w:val="24"/>
        </w:rPr>
        <w:t xml:space="preserve"> б</w:t>
      </w:r>
      <w:r w:rsidR="001B7865" w:rsidRPr="0001656F">
        <w:rPr>
          <w:rFonts w:ascii="Times New Roman" w:hAnsi="Times New Roman"/>
          <w:sz w:val="24"/>
          <w:szCs w:val="24"/>
        </w:rPr>
        <w:t>ез</w:t>
      </w:r>
      <w:r w:rsidR="001B7865" w:rsidRPr="005E74D0">
        <w:rPr>
          <w:rFonts w:ascii="Times New Roman" w:hAnsi="Times New Roman"/>
          <w:sz w:val="24"/>
          <w:szCs w:val="24"/>
          <w:lang w:val="ru-RU"/>
        </w:rPr>
        <w:t xml:space="preserve"> </w:t>
      </w:r>
      <w:r w:rsidR="001B7865" w:rsidRPr="0001656F">
        <w:rPr>
          <w:rFonts w:ascii="Times New Roman" w:hAnsi="Times New Roman"/>
          <w:sz w:val="24"/>
          <w:szCs w:val="24"/>
        </w:rPr>
        <w:t>урахування податку на доходи фізичних осіб від грошового за</w:t>
      </w:r>
      <w:bookmarkStart w:id="1" w:name="_Hlk148009289"/>
      <w:r w:rsidR="001B7865" w:rsidRPr="0001656F">
        <w:rPr>
          <w:rFonts w:ascii="Times New Roman" w:hAnsi="Times New Roman"/>
          <w:sz w:val="24"/>
          <w:szCs w:val="24"/>
        </w:rPr>
        <w:t>безпечення військовослужбовців</w:t>
      </w:r>
      <w:bookmarkEnd w:id="1"/>
      <w:r w:rsidRPr="0001656F">
        <w:rPr>
          <w:rFonts w:ascii="Times New Roman" w:hAnsi="Times New Roman"/>
          <w:sz w:val="24"/>
          <w:szCs w:val="24"/>
        </w:rPr>
        <w:t>;</w:t>
      </w:r>
    </w:p>
    <w:p w:rsidR="000E2C33" w:rsidRPr="005E74D0" w:rsidRDefault="003923B4" w:rsidP="003923B4">
      <w:pPr>
        <w:pStyle w:val="af0"/>
        <w:spacing w:before="0"/>
        <w:rPr>
          <w:rFonts w:ascii="Times New Roman" w:hAnsi="Times New Roman"/>
          <w:sz w:val="24"/>
          <w:szCs w:val="24"/>
        </w:rPr>
      </w:pPr>
      <w:r w:rsidRPr="005E74D0">
        <w:rPr>
          <w:rFonts w:ascii="Times New Roman" w:hAnsi="Times New Roman"/>
          <w:sz w:val="24"/>
          <w:szCs w:val="24"/>
        </w:rPr>
        <w:t>3. продовжено зарахування 13,44 % акцизного податку з виробленого в Україні та ввезеного на митну територію України пального.</w:t>
      </w:r>
    </w:p>
    <w:p w:rsidR="000E2C33" w:rsidRPr="005E74D0" w:rsidRDefault="000E2C33" w:rsidP="000E2C33">
      <w:pPr>
        <w:spacing w:after="0" w:line="240" w:lineRule="auto"/>
        <w:ind w:right="-2" w:firstLine="567"/>
        <w:jc w:val="both"/>
        <w:rPr>
          <w:rFonts w:ascii="Times New Roman" w:eastAsia="Times New Roman" w:hAnsi="Times New Roman" w:cs="Times New Roman"/>
          <w:sz w:val="24"/>
          <w:szCs w:val="24"/>
          <w:lang w:val="uk-UA" w:eastAsia="ru-RU"/>
        </w:rPr>
      </w:pPr>
      <w:r w:rsidRPr="005E74D0">
        <w:rPr>
          <w:rFonts w:ascii="Times New Roman" w:eastAsia="Times New Roman" w:hAnsi="Times New Roman" w:cs="Times New Roman"/>
          <w:sz w:val="24"/>
          <w:szCs w:val="24"/>
          <w:lang w:val="uk-UA" w:eastAsia="ru-RU"/>
        </w:rPr>
        <w:t xml:space="preserve">З урахуванням зазначеного, </w:t>
      </w:r>
      <w:r w:rsidR="00EE2D19" w:rsidRPr="005E74D0">
        <w:rPr>
          <w:rFonts w:ascii="Times New Roman" w:eastAsia="Times New Roman" w:hAnsi="Times New Roman" w:cs="Times New Roman"/>
          <w:sz w:val="24"/>
          <w:szCs w:val="24"/>
          <w:lang w:val="uk-UA" w:eastAsia="ru-RU"/>
        </w:rPr>
        <w:t xml:space="preserve">обсяг </w:t>
      </w:r>
      <w:r w:rsidRPr="005E74D0">
        <w:rPr>
          <w:rFonts w:ascii="Times New Roman" w:eastAsia="Times New Roman" w:hAnsi="Times New Roman" w:cs="Times New Roman"/>
          <w:sz w:val="24"/>
          <w:szCs w:val="24"/>
          <w:lang w:val="uk-UA" w:eastAsia="ru-RU"/>
        </w:rPr>
        <w:t>доход</w:t>
      </w:r>
      <w:r w:rsidR="00EE2D19" w:rsidRPr="005E74D0">
        <w:rPr>
          <w:rFonts w:ascii="Times New Roman" w:eastAsia="Times New Roman" w:hAnsi="Times New Roman" w:cs="Times New Roman"/>
          <w:sz w:val="24"/>
          <w:szCs w:val="24"/>
          <w:lang w:val="uk-UA" w:eastAsia="ru-RU"/>
        </w:rPr>
        <w:t>ів</w:t>
      </w:r>
      <w:r w:rsidRPr="005E74D0">
        <w:rPr>
          <w:rFonts w:ascii="Times New Roman" w:eastAsia="Times New Roman" w:hAnsi="Times New Roman" w:cs="Times New Roman"/>
          <w:sz w:val="24"/>
          <w:szCs w:val="24"/>
          <w:lang w:val="uk-UA" w:eastAsia="ru-RU"/>
        </w:rPr>
        <w:t xml:space="preserve"> бюджету Чорноморської  місько</w:t>
      </w:r>
      <w:r w:rsidR="00CB6509" w:rsidRPr="005E74D0">
        <w:rPr>
          <w:rFonts w:ascii="Times New Roman" w:eastAsia="Times New Roman" w:hAnsi="Times New Roman" w:cs="Times New Roman"/>
          <w:sz w:val="24"/>
          <w:szCs w:val="24"/>
          <w:lang w:val="uk-UA" w:eastAsia="ru-RU"/>
        </w:rPr>
        <w:t>ї територіальної громади на 2024</w:t>
      </w:r>
      <w:r w:rsidRPr="005E74D0">
        <w:rPr>
          <w:rFonts w:ascii="Times New Roman" w:eastAsia="Times New Roman" w:hAnsi="Times New Roman" w:cs="Times New Roman"/>
          <w:sz w:val="24"/>
          <w:szCs w:val="24"/>
          <w:lang w:val="uk-UA" w:eastAsia="ru-RU"/>
        </w:rPr>
        <w:t xml:space="preserve"> рік розраховано у сумі </w:t>
      </w:r>
      <w:r w:rsidR="007950F3" w:rsidRPr="005E74D0">
        <w:rPr>
          <w:rFonts w:ascii="Times New Roman" w:eastAsia="Times New Roman" w:hAnsi="Times New Roman" w:cs="Times New Roman"/>
          <w:sz w:val="24"/>
          <w:szCs w:val="24"/>
          <w:lang w:val="uk-UA" w:eastAsia="ru-RU"/>
        </w:rPr>
        <w:t xml:space="preserve"> </w:t>
      </w:r>
      <w:r w:rsidR="004274A8" w:rsidRPr="005E74D0">
        <w:rPr>
          <w:rFonts w:ascii="Times New Roman" w:eastAsia="Times New Roman" w:hAnsi="Times New Roman" w:cs="Times New Roman"/>
          <w:sz w:val="24"/>
          <w:szCs w:val="24"/>
          <w:lang w:val="uk-UA" w:eastAsia="ru-RU"/>
        </w:rPr>
        <w:t>1 00</w:t>
      </w:r>
      <w:r w:rsidR="007561C6" w:rsidRPr="005E74D0">
        <w:rPr>
          <w:rFonts w:ascii="Times New Roman" w:eastAsia="Times New Roman" w:hAnsi="Times New Roman" w:cs="Times New Roman"/>
          <w:sz w:val="24"/>
          <w:szCs w:val="24"/>
          <w:lang w:val="uk-UA" w:eastAsia="ru-RU"/>
        </w:rPr>
        <w:t>8</w:t>
      </w:r>
      <w:r w:rsidR="004274A8" w:rsidRPr="005E74D0">
        <w:rPr>
          <w:rFonts w:ascii="Times New Roman" w:eastAsia="Times New Roman" w:hAnsi="Times New Roman" w:cs="Times New Roman"/>
          <w:sz w:val="24"/>
          <w:szCs w:val="24"/>
          <w:lang w:val="uk-UA" w:eastAsia="ru-RU"/>
        </w:rPr>
        <w:t> </w:t>
      </w:r>
      <w:r w:rsidR="00724658" w:rsidRPr="005E74D0">
        <w:rPr>
          <w:rFonts w:ascii="Times New Roman" w:eastAsia="Times New Roman" w:hAnsi="Times New Roman" w:cs="Times New Roman"/>
          <w:sz w:val="24"/>
          <w:szCs w:val="24"/>
          <w:lang w:val="uk-UA" w:eastAsia="ru-RU"/>
        </w:rPr>
        <w:t>086</w:t>
      </w:r>
      <w:r w:rsidR="004274A8" w:rsidRPr="005E74D0">
        <w:rPr>
          <w:rFonts w:ascii="Times New Roman" w:eastAsia="Times New Roman" w:hAnsi="Times New Roman" w:cs="Times New Roman"/>
          <w:sz w:val="24"/>
          <w:szCs w:val="24"/>
          <w:lang w:val="uk-UA" w:eastAsia="ru-RU"/>
        </w:rPr>
        <w:t>,</w:t>
      </w:r>
      <w:r w:rsidR="00724658" w:rsidRPr="005E74D0">
        <w:rPr>
          <w:rFonts w:ascii="Times New Roman" w:eastAsia="Times New Roman" w:hAnsi="Times New Roman" w:cs="Times New Roman"/>
          <w:sz w:val="24"/>
          <w:szCs w:val="24"/>
          <w:lang w:val="uk-UA" w:eastAsia="ru-RU"/>
        </w:rPr>
        <w:t>0</w:t>
      </w:r>
      <w:r w:rsidR="00CB6509" w:rsidRPr="005E74D0">
        <w:rPr>
          <w:rFonts w:ascii="Times New Roman" w:eastAsia="Times New Roman" w:hAnsi="Times New Roman" w:cs="Times New Roman"/>
          <w:sz w:val="24"/>
          <w:szCs w:val="24"/>
          <w:lang w:val="uk-UA" w:eastAsia="ru-RU"/>
        </w:rPr>
        <w:t xml:space="preserve"> тис.</w:t>
      </w:r>
      <w:r w:rsidRPr="005E74D0">
        <w:rPr>
          <w:rFonts w:ascii="Times New Roman" w:hAnsi="Times New Roman" w:cs="Times New Roman"/>
          <w:sz w:val="24"/>
          <w:szCs w:val="24"/>
          <w:lang w:val="uk-UA"/>
        </w:rPr>
        <w:t xml:space="preserve"> грн</w:t>
      </w:r>
      <w:r w:rsidRPr="005E74D0">
        <w:rPr>
          <w:rFonts w:ascii="Times New Roman" w:eastAsia="Times New Roman" w:hAnsi="Times New Roman" w:cs="Times New Roman"/>
          <w:sz w:val="24"/>
          <w:szCs w:val="24"/>
          <w:lang w:val="uk-UA" w:eastAsia="ru-RU"/>
        </w:rPr>
        <w:t xml:space="preserve">, в тому числі </w:t>
      </w:r>
      <w:r w:rsidRPr="005E74D0">
        <w:rPr>
          <w:rFonts w:ascii="Times New Roman" w:eastAsia="Times New Roman" w:hAnsi="Times New Roman" w:cs="Times New Roman"/>
          <w:bCs/>
          <w:sz w:val="24"/>
          <w:szCs w:val="24"/>
          <w:lang w:val="uk-UA" w:eastAsia="ru-RU"/>
        </w:rPr>
        <w:t xml:space="preserve">доходи загального фонду </w:t>
      </w:r>
      <w:r w:rsidR="00CF1725" w:rsidRPr="005E74D0">
        <w:rPr>
          <w:rFonts w:ascii="Times New Roman" w:eastAsia="Times New Roman" w:hAnsi="Times New Roman" w:cs="Times New Roman"/>
          <w:bCs/>
          <w:sz w:val="24"/>
          <w:szCs w:val="24"/>
          <w:lang w:val="uk-UA" w:eastAsia="ru-RU"/>
        </w:rPr>
        <w:t xml:space="preserve">– </w:t>
      </w:r>
      <w:r w:rsidR="00485704" w:rsidRPr="005E74D0">
        <w:rPr>
          <w:rFonts w:ascii="Times New Roman" w:eastAsia="Times New Roman" w:hAnsi="Times New Roman" w:cs="Times New Roman"/>
          <w:bCs/>
          <w:sz w:val="24"/>
          <w:szCs w:val="24"/>
          <w:lang w:val="uk-UA" w:eastAsia="ru-RU"/>
        </w:rPr>
        <w:t>98</w:t>
      </w:r>
      <w:r w:rsidR="007561C6" w:rsidRPr="005E74D0">
        <w:rPr>
          <w:rFonts w:ascii="Times New Roman" w:eastAsia="Times New Roman" w:hAnsi="Times New Roman" w:cs="Times New Roman"/>
          <w:bCs/>
          <w:sz w:val="24"/>
          <w:szCs w:val="24"/>
          <w:lang w:val="uk-UA" w:eastAsia="ru-RU"/>
        </w:rPr>
        <w:t>6</w:t>
      </w:r>
      <w:r w:rsidR="00485704" w:rsidRPr="005E74D0">
        <w:rPr>
          <w:rFonts w:ascii="Times New Roman" w:eastAsia="Times New Roman" w:hAnsi="Times New Roman" w:cs="Times New Roman"/>
          <w:bCs/>
          <w:sz w:val="24"/>
          <w:szCs w:val="24"/>
          <w:lang w:val="uk-UA" w:eastAsia="ru-RU"/>
        </w:rPr>
        <w:t> </w:t>
      </w:r>
      <w:r w:rsidR="00724658" w:rsidRPr="005E74D0">
        <w:rPr>
          <w:rFonts w:ascii="Times New Roman" w:eastAsia="Times New Roman" w:hAnsi="Times New Roman" w:cs="Times New Roman"/>
          <w:bCs/>
          <w:sz w:val="24"/>
          <w:szCs w:val="24"/>
          <w:lang w:val="uk-UA" w:eastAsia="ru-RU"/>
        </w:rPr>
        <w:t>937</w:t>
      </w:r>
      <w:r w:rsidR="00485704" w:rsidRPr="005E74D0">
        <w:rPr>
          <w:rFonts w:ascii="Times New Roman" w:eastAsia="Times New Roman" w:hAnsi="Times New Roman" w:cs="Times New Roman"/>
          <w:bCs/>
          <w:sz w:val="24"/>
          <w:szCs w:val="24"/>
          <w:lang w:val="uk-UA" w:eastAsia="ru-RU"/>
        </w:rPr>
        <w:t>,</w:t>
      </w:r>
      <w:r w:rsidR="00724658" w:rsidRPr="005E74D0">
        <w:rPr>
          <w:rFonts w:ascii="Times New Roman" w:eastAsia="Times New Roman" w:hAnsi="Times New Roman" w:cs="Times New Roman"/>
          <w:bCs/>
          <w:sz w:val="24"/>
          <w:szCs w:val="24"/>
          <w:lang w:val="uk-UA" w:eastAsia="ru-RU"/>
        </w:rPr>
        <w:t>0</w:t>
      </w:r>
      <w:r w:rsidR="00CB6509" w:rsidRPr="005E74D0">
        <w:rPr>
          <w:rFonts w:ascii="Times New Roman" w:eastAsia="Times New Roman" w:hAnsi="Times New Roman" w:cs="Times New Roman"/>
          <w:bCs/>
          <w:sz w:val="24"/>
          <w:szCs w:val="24"/>
          <w:lang w:val="uk-UA" w:eastAsia="ru-RU"/>
        </w:rPr>
        <w:t xml:space="preserve"> тис.</w:t>
      </w:r>
      <w:r w:rsidR="007233F9" w:rsidRPr="005E74D0">
        <w:rPr>
          <w:rFonts w:ascii="Times New Roman" w:eastAsia="Times New Roman" w:hAnsi="Times New Roman" w:cs="Times New Roman"/>
          <w:bCs/>
          <w:sz w:val="24"/>
          <w:szCs w:val="24"/>
          <w:lang w:val="uk-UA" w:eastAsia="ru-RU"/>
        </w:rPr>
        <w:t xml:space="preserve"> </w:t>
      </w:r>
      <w:r w:rsidR="00CB6509" w:rsidRPr="005E74D0">
        <w:rPr>
          <w:rFonts w:ascii="Times New Roman" w:eastAsia="Times New Roman" w:hAnsi="Times New Roman" w:cs="Times New Roman"/>
          <w:bCs/>
          <w:sz w:val="24"/>
          <w:szCs w:val="24"/>
          <w:lang w:val="uk-UA" w:eastAsia="ru-RU"/>
        </w:rPr>
        <w:t>грн</w:t>
      </w:r>
      <w:r w:rsidR="00626AD3" w:rsidRPr="005E74D0">
        <w:rPr>
          <w:rFonts w:ascii="Times New Roman" w:eastAsia="Times New Roman" w:hAnsi="Times New Roman" w:cs="Times New Roman"/>
          <w:bCs/>
          <w:sz w:val="24"/>
          <w:szCs w:val="24"/>
          <w:lang w:val="uk-UA" w:eastAsia="ru-RU"/>
        </w:rPr>
        <w:t xml:space="preserve"> та </w:t>
      </w:r>
      <w:r w:rsidR="00855BC2" w:rsidRPr="005E74D0">
        <w:rPr>
          <w:rFonts w:ascii="Times New Roman" w:eastAsia="Times New Roman" w:hAnsi="Times New Roman" w:cs="Times New Roman"/>
          <w:bCs/>
          <w:sz w:val="24"/>
          <w:szCs w:val="24"/>
          <w:lang w:val="uk-UA" w:eastAsia="ru-RU"/>
        </w:rPr>
        <w:t>с</w:t>
      </w:r>
      <w:r w:rsidRPr="005E74D0">
        <w:rPr>
          <w:rFonts w:ascii="Times New Roman" w:eastAsia="Times New Roman" w:hAnsi="Times New Roman" w:cs="Times New Roman"/>
          <w:sz w:val="24"/>
          <w:szCs w:val="24"/>
          <w:lang w:val="uk-UA" w:eastAsia="ru-RU"/>
        </w:rPr>
        <w:t xml:space="preserve">пеціального фонду – </w:t>
      </w:r>
      <w:r w:rsidR="00F25C03" w:rsidRPr="005E74D0">
        <w:rPr>
          <w:rFonts w:ascii="Times New Roman" w:eastAsia="Times New Roman" w:hAnsi="Times New Roman" w:cs="Times New Roman"/>
          <w:sz w:val="24"/>
          <w:szCs w:val="24"/>
          <w:lang w:val="uk-UA" w:eastAsia="ru-RU"/>
        </w:rPr>
        <w:t>21 149,0 тис.</w:t>
      </w:r>
      <w:r w:rsidRPr="005E74D0">
        <w:rPr>
          <w:rFonts w:ascii="Times New Roman" w:eastAsia="Times New Roman" w:hAnsi="Times New Roman" w:cs="Times New Roman"/>
          <w:sz w:val="24"/>
          <w:szCs w:val="24"/>
          <w:lang w:val="uk-UA" w:eastAsia="ru-RU"/>
        </w:rPr>
        <w:t xml:space="preserve"> грн, з них бюджет розвитку – </w:t>
      </w:r>
      <w:r w:rsidR="00F25C03" w:rsidRPr="005E74D0">
        <w:rPr>
          <w:rFonts w:ascii="Times New Roman" w:eastAsia="Times New Roman" w:hAnsi="Times New Roman" w:cs="Times New Roman"/>
          <w:sz w:val="24"/>
          <w:szCs w:val="24"/>
          <w:lang w:val="uk-UA" w:eastAsia="ru-RU"/>
        </w:rPr>
        <w:t xml:space="preserve">2 799,0 тис. </w:t>
      </w:r>
      <w:r w:rsidRPr="005E74D0">
        <w:rPr>
          <w:rFonts w:ascii="Times New Roman" w:eastAsia="Times New Roman" w:hAnsi="Times New Roman" w:cs="Times New Roman"/>
          <w:sz w:val="24"/>
          <w:szCs w:val="24"/>
          <w:lang w:val="uk-UA" w:eastAsia="ru-RU"/>
        </w:rPr>
        <w:t xml:space="preserve">грн </w:t>
      </w:r>
      <w:r w:rsidRPr="005E74D0">
        <w:rPr>
          <w:rFonts w:ascii="Times New Roman" w:eastAsia="Times New Roman" w:hAnsi="Times New Roman" w:cs="Times New Roman"/>
          <w:bCs/>
          <w:sz w:val="24"/>
          <w:szCs w:val="24"/>
          <w:lang w:val="uk-UA" w:eastAsia="ru-RU"/>
        </w:rPr>
        <w:t>(додаток 1 до проєкту рішення).</w:t>
      </w:r>
    </w:p>
    <w:p w:rsidR="00932D7F" w:rsidRDefault="00932D7F" w:rsidP="002B0549">
      <w:pPr>
        <w:spacing w:after="0" w:line="240" w:lineRule="auto"/>
        <w:jc w:val="both"/>
        <w:rPr>
          <w:rFonts w:ascii="Times New Roman" w:eastAsia="Times New Roman" w:hAnsi="Times New Roman" w:cs="Times New Roman"/>
          <w:bCs/>
          <w:iCs/>
          <w:sz w:val="24"/>
          <w:szCs w:val="24"/>
          <w:highlight w:val="yellow"/>
          <w:lang w:val="uk-UA" w:eastAsia="ru-RU"/>
        </w:rPr>
      </w:pPr>
    </w:p>
    <w:p w:rsidR="00AC304F" w:rsidRPr="005E74D0" w:rsidRDefault="00D6142E" w:rsidP="002B0549">
      <w:pPr>
        <w:spacing w:after="0" w:line="240" w:lineRule="auto"/>
        <w:jc w:val="both"/>
        <w:rPr>
          <w:rFonts w:ascii="Times New Roman" w:eastAsia="Times New Roman" w:hAnsi="Times New Roman" w:cs="Times New Roman"/>
          <w:bCs/>
          <w:iCs/>
          <w:sz w:val="24"/>
          <w:szCs w:val="24"/>
          <w:lang w:val="uk-UA" w:eastAsia="ru-RU"/>
        </w:rPr>
      </w:pPr>
      <w:r w:rsidRPr="005E74D0">
        <w:rPr>
          <w:rFonts w:ascii="Times New Roman" w:eastAsia="Times New Roman" w:hAnsi="Times New Roman" w:cs="Times New Roman"/>
          <w:bCs/>
          <w:iCs/>
          <w:noProof/>
          <w:sz w:val="24"/>
          <w:szCs w:val="24"/>
          <w:shd w:val="clear" w:color="auto" w:fill="FFFFFF" w:themeFill="background1"/>
          <w:lang w:val="uk-UA" w:eastAsia="uk-UA"/>
        </w:rPr>
        <w:drawing>
          <wp:inline distT="0" distB="0" distL="0" distR="0">
            <wp:extent cx="6019800" cy="3648710"/>
            <wp:effectExtent l="0" t="0" r="0" b="8890"/>
            <wp:docPr id="6" name="Діагра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32D7F" w:rsidRDefault="00932D7F" w:rsidP="000E2C33">
      <w:pPr>
        <w:spacing w:after="0" w:line="240" w:lineRule="auto"/>
        <w:ind w:firstLine="567"/>
        <w:jc w:val="both"/>
        <w:rPr>
          <w:rFonts w:ascii="Times New Roman" w:eastAsia="Times New Roman" w:hAnsi="Times New Roman" w:cs="Times New Roman"/>
          <w:bCs/>
          <w:iCs/>
          <w:sz w:val="24"/>
          <w:szCs w:val="24"/>
          <w:highlight w:val="yellow"/>
          <w:lang w:val="uk-UA" w:eastAsia="ru-RU"/>
        </w:rPr>
      </w:pPr>
    </w:p>
    <w:p w:rsidR="00932D7F" w:rsidRDefault="00932D7F" w:rsidP="000E2C33">
      <w:pPr>
        <w:spacing w:after="0" w:line="240" w:lineRule="auto"/>
        <w:ind w:firstLine="567"/>
        <w:jc w:val="both"/>
        <w:rPr>
          <w:rFonts w:ascii="Times New Roman" w:eastAsia="Times New Roman" w:hAnsi="Times New Roman" w:cs="Times New Roman"/>
          <w:bCs/>
          <w:iCs/>
          <w:sz w:val="24"/>
          <w:szCs w:val="24"/>
          <w:highlight w:val="yellow"/>
          <w:lang w:val="uk-UA" w:eastAsia="ru-RU"/>
        </w:rPr>
      </w:pPr>
    </w:p>
    <w:p w:rsidR="005E74D0" w:rsidRDefault="005E74D0" w:rsidP="000E2C33">
      <w:pPr>
        <w:spacing w:after="0" w:line="240" w:lineRule="auto"/>
        <w:ind w:firstLine="567"/>
        <w:jc w:val="both"/>
        <w:rPr>
          <w:rFonts w:ascii="Times New Roman" w:eastAsia="Times New Roman" w:hAnsi="Times New Roman" w:cs="Times New Roman"/>
          <w:bCs/>
          <w:iCs/>
          <w:sz w:val="24"/>
          <w:szCs w:val="24"/>
          <w:highlight w:val="yellow"/>
          <w:lang w:val="uk-UA" w:eastAsia="ru-RU"/>
        </w:rPr>
      </w:pPr>
    </w:p>
    <w:p w:rsidR="000E2C33" w:rsidRPr="00545127" w:rsidRDefault="00DF56C5" w:rsidP="00201D16">
      <w:pPr>
        <w:spacing w:after="0" w:line="240" w:lineRule="auto"/>
        <w:ind w:firstLine="567"/>
        <w:jc w:val="both"/>
        <w:rPr>
          <w:rFonts w:ascii="Times New Roman" w:hAnsi="Times New Roman" w:cs="Times New Roman"/>
          <w:sz w:val="24"/>
          <w:szCs w:val="24"/>
          <w:highlight w:val="yellow"/>
          <w:lang w:val="uk-UA"/>
        </w:rPr>
      </w:pPr>
      <w:r w:rsidRPr="00545127">
        <w:rPr>
          <w:rFonts w:ascii="Times New Roman" w:hAnsi="Times New Roman" w:cs="Times New Roman"/>
          <w:noProof/>
          <w:sz w:val="24"/>
          <w:szCs w:val="24"/>
          <w:highlight w:val="yellow"/>
          <w:lang w:val="uk-UA" w:eastAsia="uk-UA"/>
        </w:rPr>
        <w:lastRenderedPageBreak/>
        <mc:AlternateContent>
          <mc:Choice Requires="wps">
            <w:drawing>
              <wp:anchor distT="0" distB="0" distL="114300" distR="114300" simplePos="0" relativeHeight="251720704" behindDoc="0" locked="0" layoutInCell="1" allowOverlap="1" wp14:anchorId="4684DE98" wp14:editId="725C4ED9">
                <wp:simplePos x="0" y="0"/>
                <wp:positionH relativeFrom="column">
                  <wp:posOffset>-274320</wp:posOffset>
                </wp:positionH>
                <wp:positionV relativeFrom="paragraph">
                  <wp:posOffset>198755</wp:posOffset>
                </wp:positionV>
                <wp:extent cx="6450330" cy="571500"/>
                <wp:effectExtent l="0" t="0" r="26670" b="19050"/>
                <wp:wrapNone/>
                <wp:docPr id="4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0330" cy="571500"/>
                        </a:xfrm>
                        <a:prstGeom prst="rect">
                          <a:avLst/>
                        </a:prstGeom>
                        <a:solidFill>
                          <a:sysClr val="window" lastClr="FFFFFF">
                            <a:lumMod val="85000"/>
                            <a:lumOff val="0"/>
                          </a:sysClr>
                        </a:solidFill>
                        <a:ln w="9525">
                          <a:solidFill>
                            <a:srgbClr val="000000"/>
                          </a:solidFill>
                          <a:miter lim="800000"/>
                          <a:headEnd/>
                          <a:tailEnd/>
                        </a:ln>
                      </wps:spPr>
                      <wps:txbx>
                        <w:txbxContent>
                          <w:p w:rsidR="005C77AD" w:rsidRPr="001E2AD7" w:rsidRDefault="005C77AD" w:rsidP="000E2C33">
                            <w:pPr>
                              <w:jc w:val="center"/>
                              <w:rPr>
                                <w:rFonts w:ascii="Times New Roman" w:hAnsi="Times New Roman" w:cs="Times New Roman"/>
                                <w:b/>
                                <w:sz w:val="28"/>
                                <w:szCs w:val="28"/>
                                <w:lang w:val="uk-UA"/>
                              </w:rPr>
                            </w:pPr>
                            <w:r w:rsidRPr="003E3C83">
                              <w:rPr>
                                <w:rFonts w:ascii="Times New Roman" w:hAnsi="Times New Roman" w:cs="Times New Roman"/>
                                <w:b/>
                                <w:sz w:val="28"/>
                                <w:szCs w:val="28"/>
                              </w:rPr>
                              <w:t xml:space="preserve">Структура </w:t>
                            </w:r>
                            <w:r w:rsidRPr="001E2AD7">
                              <w:rPr>
                                <w:rFonts w:ascii="Times New Roman" w:hAnsi="Times New Roman" w:cs="Times New Roman"/>
                                <w:b/>
                                <w:sz w:val="28"/>
                                <w:szCs w:val="28"/>
                                <w:lang w:val="uk-UA"/>
                              </w:rPr>
                              <w:t>доходів</w:t>
                            </w:r>
                            <w:r>
                              <w:rPr>
                                <w:rFonts w:ascii="Times New Roman" w:hAnsi="Times New Roman" w:cs="Times New Roman"/>
                                <w:b/>
                                <w:sz w:val="28"/>
                                <w:szCs w:val="28"/>
                              </w:rPr>
                              <w:t xml:space="preserve"> бюджету </w:t>
                            </w:r>
                            <w:r w:rsidRPr="00425EBD">
                              <w:rPr>
                                <w:rFonts w:ascii="Times New Roman" w:hAnsi="Times New Roman" w:cs="Times New Roman"/>
                                <w:b/>
                                <w:sz w:val="28"/>
                                <w:szCs w:val="28"/>
                                <w:lang w:val="uk-UA"/>
                              </w:rPr>
                              <w:t>Чорноморської міської територіальної громади</w:t>
                            </w:r>
                            <w:r>
                              <w:rPr>
                                <w:rFonts w:ascii="Times New Roman" w:hAnsi="Times New Roman" w:cs="Times New Roman"/>
                                <w:b/>
                                <w:sz w:val="28"/>
                                <w:szCs w:val="28"/>
                                <w:lang w:val="uk-UA"/>
                              </w:rPr>
                              <w:t xml:space="preserve"> </w:t>
                            </w:r>
                            <w:r w:rsidRPr="003E3C83">
                              <w:rPr>
                                <w:rFonts w:ascii="Times New Roman" w:hAnsi="Times New Roman" w:cs="Times New Roman"/>
                                <w:b/>
                                <w:sz w:val="28"/>
                                <w:szCs w:val="28"/>
                              </w:rPr>
                              <w:t>на 202</w:t>
                            </w:r>
                            <w:r>
                              <w:rPr>
                                <w:rFonts w:ascii="Times New Roman" w:hAnsi="Times New Roman" w:cs="Times New Roman"/>
                                <w:b/>
                                <w:sz w:val="28"/>
                                <w:szCs w:val="28"/>
                                <w:lang w:val="uk-UA"/>
                              </w:rPr>
                              <w:t xml:space="preserve">4 </w:t>
                            </w:r>
                            <w:r w:rsidRPr="001E2AD7">
                              <w:rPr>
                                <w:rFonts w:ascii="Times New Roman" w:hAnsi="Times New Roman" w:cs="Times New Roman"/>
                                <w:b/>
                                <w:sz w:val="28"/>
                                <w:szCs w:val="28"/>
                                <w:lang w:val="uk-UA"/>
                              </w:rPr>
                              <w:t>рік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84DE98" id="Rectangle 2" o:spid="_x0000_s1026" style="position:absolute;left:0;text-align:left;margin-left:-21.6pt;margin-top:15.65pt;width:507.9pt;height:4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" fillcolor="#d9d9d9">
                <v:textbox>
                  <w:txbxContent>
                    <w:p w:rsidR="005C77AD" w:rsidRPr="001E2AD7" w:rsidRDefault="005C77AD" w:rsidP="000E2C33">
                      <w:pPr>
                        <w:jc w:val="center"/>
                        <w:rPr>
                          <w:rFonts w:ascii="Times New Roman" w:hAnsi="Times New Roman" w:cs="Times New Roman"/>
                          <w:b/>
                          <w:sz w:val="28"/>
                          <w:szCs w:val="28"/>
                          <w:lang w:val="uk-UA"/>
                        </w:rPr>
                      </w:pPr>
                      <w:r w:rsidRPr="003E3C83">
                        <w:rPr>
                          <w:rFonts w:ascii="Times New Roman" w:hAnsi="Times New Roman" w:cs="Times New Roman"/>
                          <w:b/>
                          <w:sz w:val="28"/>
                          <w:szCs w:val="28"/>
                        </w:rPr>
                        <w:t xml:space="preserve">Структура </w:t>
                      </w:r>
                      <w:r w:rsidRPr="001E2AD7">
                        <w:rPr>
                          <w:rFonts w:ascii="Times New Roman" w:hAnsi="Times New Roman" w:cs="Times New Roman"/>
                          <w:b/>
                          <w:sz w:val="28"/>
                          <w:szCs w:val="28"/>
                          <w:lang w:val="uk-UA"/>
                        </w:rPr>
                        <w:t>доходів</w:t>
                      </w:r>
                      <w:r>
                        <w:rPr>
                          <w:rFonts w:ascii="Times New Roman" w:hAnsi="Times New Roman" w:cs="Times New Roman"/>
                          <w:b/>
                          <w:sz w:val="28"/>
                          <w:szCs w:val="28"/>
                        </w:rPr>
                        <w:t xml:space="preserve"> бюджету </w:t>
                      </w:r>
                      <w:r w:rsidRPr="00425EBD">
                        <w:rPr>
                          <w:rFonts w:ascii="Times New Roman" w:hAnsi="Times New Roman" w:cs="Times New Roman"/>
                          <w:b/>
                          <w:sz w:val="28"/>
                          <w:szCs w:val="28"/>
                          <w:lang w:val="uk-UA"/>
                        </w:rPr>
                        <w:t>Чорноморської міської територіальної громади</w:t>
                      </w:r>
                      <w:r>
                        <w:rPr>
                          <w:rFonts w:ascii="Times New Roman" w:hAnsi="Times New Roman" w:cs="Times New Roman"/>
                          <w:b/>
                          <w:sz w:val="28"/>
                          <w:szCs w:val="28"/>
                          <w:lang w:val="uk-UA"/>
                        </w:rPr>
                        <w:t xml:space="preserve"> </w:t>
                      </w:r>
                      <w:r w:rsidRPr="003E3C83">
                        <w:rPr>
                          <w:rFonts w:ascii="Times New Roman" w:hAnsi="Times New Roman" w:cs="Times New Roman"/>
                          <w:b/>
                          <w:sz w:val="28"/>
                          <w:szCs w:val="28"/>
                        </w:rPr>
                        <w:t>на 202</w:t>
                      </w:r>
                      <w:r>
                        <w:rPr>
                          <w:rFonts w:ascii="Times New Roman" w:hAnsi="Times New Roman" w:cs="Times New Roman"/>
                          <w:b/>
                          <w:sz w:val="28"/>
                          <w:szCs w:val="28"/>
                          <w:lang w:val="uk-UA"/>
                        </w:rPr>
                        <w:t xml:space="preserve">4 </w:t>
                      </w:r>
                      <w:r w:rsidRPr="001E2AD7">
                        <w:rPr>
                          <w:rFonts w:ascii="Times New Roman" w:hAnsi="Times New Roman" w:cs="Times New Roman"/>
                          <w:b/>
                          <w:sz w:val="28"/>
                          <w:szCs w:val="28"/>
                          <w:lang w:val="uk-UA"/>
                        </w:rPr>
                        <w:t>рік</w:t>
                      </w:r>
                    </w:p>
                  </w:txbxContent>
                </v:textbox>
              </v:rect>
            </w:pict>
          </mc:Fallback>
        </mc:AlternateContent>
      </w:r>
    </w:p>
    <w:p w:rsidR="000E2C33" w:rsidRPr="00545127" w:rsidRDefault="000E2C33" w:rsidP="000E2C33">
      <w:pPr>
        <w:spacing w:after="0"/>
        <w:jc w:val="both"/>
        <w:rPr>
          <w:rFonts w:ascii="Times New Roman" w:hAnsi="Times New Roman" w:cs="Times New Roman"/>
          <w:sz w:val="24"/>
          <w:szCs w:val="24"/>
          <w:highlight w:val="yellow"/>
          <w:lang w:val="uk-UA"/>
        </w:rPr>
      </w:pPr>
    </w:p>
    <w:p w:rsidR="000E2C33" w:rsidRPr="00545127" w:rsidRDefault="000E2C33" w:rsidP="000E2C33">
      <w:pPr>
        <w:spacing w:after="0"/>
        <w:jc w:val="both"/>
        <w:rPr>
          <w:rFonts w:ascii="Times New Roman" w:hAnsi="Times New Roman" w:cs="Times New Roman"/>
          <w:sz w:val="24"/>
          <w:szCs w:val="24"/>
          <w:highlight w:val="yellow"/>
          <w:lang w:val="uk-UA"/>
        </w:rPr>
      </w:pPr>
    </w:p>
    <w:p w:rsidR="000E2C33" w:rsidRPr="00545127" w:rsidRDefault="000E2C33" w:rsidP="000E2C33">
      <w:pPr>
        <w:spacing w:after="0"/>
        <w:jc w:val="both"/>
        <w:rPr>
          <w:rFonts w:ascii="Times New Roman" w:hAnsi="Times New Roman" w:cs="Times New Roman"/>
          <w:sz w:val="24"/>
          <w:szCs w:val="24"/>
          <w:highlight w:val="yellow"/>
          <w:lang w:val="uk-UA"/>
        </w:rPr>
      </w:pPr>
    </w:p>
    <w:p w:rsidR="00201D16" w:rsidRDefault="00201D16" w:rsidP="000E2C33">
      <w:pPr>
        <w:spacing w:after="0"/>
        <w:jc w:val="both"/>
        <w:rPr>
          <w:rFonts w:ascii="Times New Roman" w:hAnsi="Times New Roman" w:cs="Times New Roman"/>
          <w:sz w:val="24"/>
          <w:szCs w:val="24"/>
          <w:highlight w:val="yellow"/>
          <w:lang w:val="uk-UA"/>
        </w:rPr>
      </w:pPr>
      <w:r w:rsidRPr="00545127">
        <w:rPr>
          <w:rFonts w:ascii="Times New Roman" w:hAnsi="Times New Roman" w:cs="Times New Roman"/>
          <w:noProof/>
          <w:sz w:val="24"/>
          <w:szCs w:val="24"/>
          <w:highlight w:val="yellow"/>
          <w:lang w:val="uk-UA" w:eastAsia="uk-UA"/>
        </w:rPr>
        <mc:AlternateContent>
          <mc:Choice Requires="wps">
            <w:drawing>
              <wp:anchor distT="0" distB="0" distL="114300" distR="114300" simplePos="0" relativeHeight="251721728" behindDoc="0" locked="0" layoutInCell="1" allowOverlap="1" wp14:anchorId="5A49CEAB" wp14:editId="5C8A6F6E">
                <wp:simplePos x="0" y="0"/>
                <wp:positionH relativeFrom="column">
                  <wp:posOffset>1805305</wp:posOffset>
                </wp:positionH>
                <wp:positionV relativeFrom="paragraph">
                  <wp:posOffset>23495</wp:posOffset>
                </wp:positionV>
                <wp:extent cx="2295525" cy="622935"/>
                <wp:effectExtent l="0" t="0" r="9525" b="5715"/>
                <wp:wrapNone/>
                <wp:docPr id="4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622935"/>
                        </a:xfrm>
                        <a:prstGeom prst="roundRect">
                          <a:avLst>
                            <a:gd name="adj" fmla="val 16667"/>
                          </a:avLst>
                        </a:prstGeom>
                        <a:solidFill>
                          <a:srgbClr val="FFFFFF"/>
                        </a:solidFill>
                        <a:ln w="9525">
                          <a:solidFill>
                            <a:srgbClr val="000000"/>
                          </a:solidFill>
                          <a:round/>
                          <a:headEnd/>
                          <a:tailEnd/>
                        </a:ln>
                      </wps:spPr>
                      <wps:txbx>
                        <w:txbxContent>
                          <w:p w:rsidR="005C77AD" w:rsidRPr="00D5140B" w:rsidRDefault="005C77AD" w:rsidP="000E2C33">
                            <w:pPr>
                              <w:spacing w:after="0"/>
                              <w:jc w:val="center"/>
                              <w:rPr>
                                <w:rFonts w:ascii="Times New Roman" w:hAnsi="Times New Roman" w:cs="Times New Roman"/>
                                <w:b/>
                                <w:sz w:val="24"/>
                                <w:szCs w:val="24"/>
                                <w:lang w:val="uk-UA"/>
                              </w:rPr>
                            </w:pPr>
                            <w:r w:rsidRPr="00D5140B">
                              <w:rPr>
                                <w:rFonts w:ascii="Times New Roman" w:hAnsi="Times New Roman" w:cs="Times New Roman"/>
                                <w:b/>
                                <w:sz w:val="24"/>
                                <w:szCs w:val="24"/>
                                <w:lang w:val="uk-UA"/>
                              </w:rPr>
                              <w:t>Доходи бюджету</w:t>
                            </w:r>
                          </w:p>
                          <w:p w:rsidR="005C77AD" w:rsidRPr="00425EBD" w:rsidRDefault="005C77AD" w:rsidP="000E2C33">
                            <w:pPr>
                              <w:spacing w:after="0"/>
                              <w:jc w:val="center"/>
                              <w:rPr>
                                <w:rFonts w:ascii="Times New Roman" w:hAnsi="Times New Roman" w:cs="Times New Roman"/>
                                <w:b/>
                                <w:sz w:val="24"/>
                                <w:szCs w:val="24"/>
                                <w:lang w:val="uk-UA"/>
                              </w:rPr>
                            </w:pPr>
                            <w:r w:rsidRPr="00D5140B">
                              <w:rPr>
                                <w:rFonts w:ascii="Times New Roman" w:hAnsi="Times New Roman" w:cs="Times New Roman"/>
                                <w:b/>
                                <w:sz w:val="24"/>
                                <w:szCs w:val="24"/>
                                <w:lang w:val="uk-UA"/>
                              </w:rPr>
                              <w:t>1 00</w:t>
                            </w:r>
                            <w:r>
                              <w:rPr>
                                <w:rFonts w:ascii="Times New Roman" w:hAnsi="Times New Roman" w:cs="Times New Roman"/>
                                <w:b/>
                                <w:sz w:val="24"/>
                                <w:szCs w:val="24"/>
                                <w:lang w:val="uk-UA"/>
                              </w:rPr>
                              <w:t>8</w:t>
                            </w:r>
                            <w:r w:rsidRPr="00D5140B">
                              <w:rPr>
                                <w:rFonts w:ascii="Times New Roman" w:hAnsi="Times New Roman" w:cs="Times New Roman"/>
                                <w:b/>
                                <w:sz w:val="24"/>
                                <w:szCs w:val="24"/>
                                <w:lang w:val="uk-UA"/>
                              </w:rPr>
                              <w:t> </w:t>
                            </w:r>
                            <w:r>
                              <w:rPr>
                                <w:rFonts w:ascii="Times New Roman" w:hAnsi="Times New Roman" w:cs="Times New Roman"/>
                                <w:b/>
                                <w:sz w:val="24"/>
                                <w:szCs w:val="24"/>
                                <w:lang w:val="uk-UA"/>
                              </w:rPr>
                              <w:t>086</w:t>
                            </w:r>
                            <w:r w:rsidRPr="00D5140B">
                              <w:rPr>
                                <w:rFonts w:ascii="Times New Roman" w:hAnsi="Times New Roman" w:cs="Times New Roman"/>
                                <w:b/>
                                <w:sz w:val="24"/>
                                <w:szCs w:val="24"/>
                                <w:lang w:val="uk-UA"/>
                              </w:rPr>
                              <w:t>,</w:t>
                            </w:r>
                            <w:r>
                              <w:rPr>
                                <w:rFonts w:ascii="Times New Roman" w:hAnsi="Times New Roman" w:cs="Times New Roman"/>
                                <w:b/>
                                <w:sz w:val="24"/>
                                <w:szCs w:val="24"/>
                                <w:lang w:val="uk-UA"/>
                              </w:rPr>
                              <w:t>0</w:t>
                            </w:r>
                            <w:r w:rsidRPr="00D5140B">
                              <w:rPr>
                                <w:rFonts w:ascii="Times New Roman" w:hAnsi="Times New Roman" w:cs="Times New Roman"/>
                                <w:b/>
                                <w:sz w:val="24"/>
                                <w:szCs w:val="24"/>
                                <w:lang w:val="uk-UA"/>
                              </w:rPr>
                              <w:t xml:space="preserve">  тис. грн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49CEAB" id="AutoShape 3" o:spid="_x0000_s1027" style="position:absolute;left:0;text-align:left;margin-left:142.15pt;margin-top:1.85pt;width:180.75pt;height:49.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">
                <v:textbox>
                  <w:txbxContent>
                    <w:p w:rsidR="005C77AD" w:rsidRPr="00D5140B" w:rsidRDefault="005C77AD" w:rsidP="000E2C33">
                      <w:pPr>
                        <w:spacing w:after="0"/>
                        <w:jc w:val="center"/>
                        <w:rPr>
                          <w:rFonts w:ascii="Times New Roman" w:hAnsi="Times New Roman" w:cs="Times New Roman"/>
                          <w:b/>
                          <w:sz w:val="24"/>
                          <w:szCs w:val="24"/>
                          <w:lang w:val="uk-UA"/>
                        </w:rPr>
                      </w:pPr>
                      <w:r w:rsidRPr="00D5140B">
                        <w:rPr>
                          <w:rFonts w:ascii="Times New Roman" w:hAnsi="Times New Roman" w:cs="Times New Roman"/>
                          <w:b/>
                          <w:sz w:val="24"/>
                          <w:szCs w:val="24"/>
                          <w:lang w:val="uk-UA"/>
                        </w:rPr>
                        <w:t>Доходи бюджету</w:t>
                      </w:r>
                    </w:p>
                    <w:p w:rsidR="005C77AD" w:rsidRPr="00425EBD" w:rsidRDefault="005C77AD" w:rsidP="000E2C33">
                      <w:pPr>
                        <w:spacing w:after="0"/>
                        <w:jc w:val="center"/>
                        <w:rPr>
                          <w:rFonts w:ascii="Times New Roman" w:hAnsi="Times New Roman" w:cs="Times New Roman"/>
                          <w:b/>
                          <w:sz w:val="24"/>
                          <w:szCs w:val="24"/>
                          <w:lang w:val="uk-UA"/>
                        </w:rPr>
                      </w:pPr>
                      <w:r w:rsidRPr="00D5140B">
                        <w:rPr>
                          <w:rFonts w:ascii="Times New Roman" w:hAnsi="Times New Roman" w:cs="Times New Roman"/>
                          <w:b/>
                          <w:sz w:val="24"/>
                          <w:szCs w:val="24"/>
                          <w:lang w:val="uk-UA"/>
                        </w:rPr>
                        <w:t>1 00</w:t>
                      </w:r>
                      <w:r>
                        <w:rPr>
                          <w:rFonts w:ascii="Times New Roman" w:hAnsi="Times New Roman" w:cs="Times New Roman"/>
                          <w:b/>
                          <w:sz w:val="24"/>
                          <w:szCs w:val="24"/>
                          <w:lang w:val="uk-UA"/>
                        </w:rPr>
                        <w:t>8</w:t>
                      </w:r>
                      <w:r w:rsidRPr="00D5140B">
                        <w:rPr>
                          <w:rFonts w:ascii="Times New Roman" w:hAnsi="Times New Roman" w:cs="Times New Roman"/>
                          <w:b/>
                          <w:sz w:val="24"/>
                          <w:szCs w:val="24"/>
                          <w:lang w:val="uk-UA"/>
                        </w:rPr>
                        <w:t> </w:t>
                      </w:r>
                      <w:r>
                        <w:rPr>
                          <w:rFonts w:ascii="Times New Roman" w:hAnsi="Times New Roman" w:cs="Times New Roman"/>
                          <w:b/>
                          <w:sz w:val="24"/>
                          <w:szCs w:val="24"/>
                          <w:lang w:val="uk-UA"/>
                        </w:rPr>
                        <w:t>086</w:t>
                      </w:r>
                      <w:r w:rsidRPr="00D5140B">
                        <w:rPr>
                          <w:rFonts w:ascii="Times New Roman" w:hAnsi="Times New Roman" w:cs="Times New Roman"/>
                          <w:b/>
                          <w:sz w:val="24"/>
                          <w:szCs w:val="24"/>
                          <w:lang w:val="uk-UA"/>
                        </w:rPr>
                        <w:t>,</w:t>
                      </w:r>
                      <w:r>
                        <w:rPr>
                          <w:rFonts w:ascii="Times New Roman" w:hAnsi="Times New Roman" w:cs="Times New Roman"/>
                          <w:b/>
                          <w:sz w:val="24"/>
                          <w:szCs w:val="24"/>
                          <w:lang w:val="uk-UA"/>
                        </w:rPr>
                        <w:t>0</w:t>
                      </w:r>
                      <w:r w:rsidRPr="00D5140B">
                        <w:rPr>
                          <w:rFonts w:ascii="Times New Roman" w:hAnsi="Times New Roman" w:cs="Times New Roman"/>
                          <w:b/>
                          <w:sz w:val="24"/>
                          <w:szCs w:val="24"/>
                          <w:lang w:val="uk-UA"/>
                        </w:rPr>
                        <w:t xml:space="preserve">  тис. грн</w:t>
                      </w:r>
                    </w:p>
                  </w:txbxContent>
                </v:textbox>
              </v:roundrect>
            </w:pict>
          </mc:Fallback>
        </mc:AlternateContent>
      </w:r>
    </w:p>
    <w:p w:rsidR="000E2C33" w:rsidRPr="00545127" w:rsidRDefault="00201D16" w:rsidP="000E2C33">
      <w:pPr>
        <w:spacing w:after="0"/>
        <w:jc w:val="both"/>
        <w:rPr>
          <w:rFonts w:ascii="Times New Roman" w:hAnsi="Times New Roman" w:cs="Times New Roman"/>
          <w:sz w:val="24"/>
          <w:szCs w:val="24"/>
          <w:highlight w:val="yellow"/>
          <w:lang w:val="uk-UA"/>
        </w:rPr>
      </w:pPr>
      <w:r w:rsidRPr="00545127">
        <w:rPr>
          <w:rFonts w:ascii="Times New Roman" w:hAnsi="Times New Roman" w:cs="Times New Roman"/>
          <w:noProof/>
          <w:sz w:val="24"/>
          <w:szCs w:val="24"/>
          <w:highlight w:val="yellow"/>
          <w:lang w:val="uk-UA" w:eastAsia="uk-UA"/>
        </w:rPr>
        <mc:AlternateContent>
          <mc:Choice Requires="wps">
            <w:drawing>
              <wp:anchor distT="0" distB="0" distL="114300" distR="114300" simplePos="0" relativeHeight="251725824" behindDoc="0" locked="0" layoutInCell="1" allowOverlap="1" wp14:anchorId="0C4E9092" wp14:editId="3D0CE783">
                <wp:simplePos x="0" y="0"/>
                <wp:positionH relativeFrom="column">
                  <wp:posOffset>965200</wp:posOffset>
                </wp:positionH>
                <wp:positionV relativeFrom="paragraph">
                  <wp:posOffset>113665</wp:posOffset>
                </wp:positionV>
                <wp:extent cx="685800" cy="371475"/>
                <wp:effectExtent l="38100" t="0" r="0" b="28575"/>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50EFBD" id="_x0000_t32" coordsize="21600,21600" o:spt="32" o:oned="t" path="m,l21600,21600e" filled="f">
                <v:path arrowok="t" fillok="f" o:connecttype="none"/>
                <o:lock v:ext="edit" shapetype="t"/>
              </v:shapetype>
              <v:shape id="AutoShape 7" o:spid="_x0000_s1026" type="#_x0000_t32" style="position:absolute;margin-left:76pt;margin-top:8.95pt;width:54pt;height:29.25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">
                <v:stroke endarrow="block"/>
              </v:shape>
            </w:pict>
          </mc:Fallback>
        </mc:AlternateContent>
      </w:r>
      <w:r w:rsidRPr="00545127">
        <w:rPr>
          <w:rFonts w:ascii="Times New Roman" w:hAnsi="Times New Roman" w:cs="Times New Roman"/>
          <w:noProof/>
          <w:sz w:val="24"/>
          <w:szCs w:val="24"/>
          <w:highlight w:val="yellow"/>
          <w:lang w:val="uk-UA" w:eastAsia="uk-UA"/>
        </w:rPr>
        <mc:AlternateContent>
          <mc:Choice Requires="wps">
            <w:drawing>
              <wp:anchor distT="0" distB="0" distL="114300" distR="114300" simplePos="0" relativeHeight="251726848" behindDoc="0" locked="0" layoutInCell="1" allowOverlap="1" wp14:anchorId="45E1ABB9" wp14:editId="7D85AD19">
                <wp:simplePos x="0" y="0"/>
                <wp:positionH relativeFrom="column">
                  <wp:posOffset>4148455</wp:posOffset>
                </wp:positionH>
                <wp:positionV relativeFrom="paragraph">
                  <wp:posOffset>84455</wp:posOffset>
                </wp:positionV>
                <wp:extent cx="816610" cy="424180"/>
                <wp:effectExtent l="0" t="0" r="59690" b="33020"/>
                <wp:wrapNone/>
                <wp:docPr id="40"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6610" cy="424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249C19" id="AutoShape 8" o:spid="_x0000_s1026" type="#_x0000_t32" style="position:absolute;margin-left:326.65pt;margin-top:6.65pt;width:64.3pt;height:33.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">
                <v:stroke endarrow="block"/>
              </v:shape>
            </w:pict>
          </mc:Fallback>
        </mc:AlternateContent>
      </w:r>
    </w:p>
    <w:p w:rsidR="000E2C33" w:rsidRPr="00545127" w:rsidRDefault="000E2C33" w:rsidP="000E2C33">
      <w:pPr>
        <w:spacing w:after="0"/>
        <w:jc w:val="both"/>
        <w:rPr>
          <w:rFonts w:ascii="Times New Roman" w:hAnsi="Times New Roman" w:cs="Times New Roman"/>
          <w:sz w:val="24"/>
          <w:szCs w:val="24"/>
          <w:highlight w:val="yellow"/>
          <w:lang w:val="uk-UA"/>
        </w:rPr>
      </w:pPr>
    </w:p>
    <w:p w:rsidR="000E2C33" w:rsidRPr="00545127" w:rsidRDefault="00DF56C5" w:rsidP="000E2C33">
      <w:pPr>
        <w:spacing w:after="0"/>
        <w:jc w:val="both"/>
        <w:rPr>
          <w:rFonts w:ascii="Times New Roman" w:hAnsi="Times New Roman" w:cs="Times New Roman"/>
          <w:sz w:val="24"/>
          <w:szCs w:val="24"/>
          <w:highlight w:val="yellow"/>
          <w:lang w:val="uk-UA"/>
        </w:rPr>
      </w:pPr>
      <w:r w:rsidRPr="00545127">
        <w:rPr>
          <w:rFonts w:ascii="Times New Roman" w:hAnsi="Times New Roman" w:cs="Times New Roman"/>
          <w:noProof/>
          <w:sz w:val="24"/>
          <w:szCs w:val="24"/>
          <w:highlight w:val="yellow"/>
          <w:lang w:val="uk-UA" w:eastAsia="uk-UA"/>
        </w:rPr>
        <mc:AlternateContent>
          <mc:Choice Requires="wps">
            <w:drawing>
              <wp:anchor distT="0" distB="0" distL="114300" distR="114300" simplePos="0" relativeHeight="251724800" behindDoc="0" locked="0" layoutInCell="1" allowOverlap="1" wp14:anchorId="26AD5A4A" wp14:editId="636DA139">
                <wp:simplePos x="0" y="0"/>
                <wp:positionH relativeFrom="column">
                  <wp:posOffset>4241165</wp:posOffset>
                </wp:positionH>
                <wp:positionV relativeFrom="paragraph">
                  <wp:posOffset>186690</wp:posOffset>
                </wp:positionV>
                <wp:extent cx="1831340" cy="594360"/>
                <wp:effectExtent l="0" t="0" r="0" b="0"/>
                <wp:wrapNone/>
                <wp:docPr id="3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1340" cy="594360"/>
                        </a:xfrm>
                        <a:prstGeom prst="roundRect">
                          <a:avLst>
                            <a:gd name="adj" fmla="val 16667"/>
                          </a:avLst>
                        </a:prstGeom>
                        <a:solidFill>
                          <a:srgbClr val="FFFFFF"/>
                        </a:solidFill>
                        <a:ln w="9525">
                          <a:solidFill>
                            <a:srgbClr val="000000"/>
                          </a:solidFill>
                          <a:round/>
                          <a:headEnd/>
                          <a:tailEnd/>
                        </a:ln>
                      </wps:spPr>
                      <wps:txbx>
                        <w:txbxContent>
                          <w:p w:rsidR="005C77AD" w:rsidRPr="00425EBD" w:rsidRDefault="005C77AD" w:rsidP="000E2C33">
                            <w:pPr>
                              <w:spacing w:after="0"/>
                              <w:jc w:val="center"/>
                              <w:rPr>
                                <w:rFonts w:ascii="Times New Roman" w:hAnsi="Times New Roman" w:cs="Times New Roman"/>
                                <w:b/>
                                <w:lang w:val="uk-UA"/>
                              </w:rPr>
                            </w:pPr>
                            <w:r w:rsidRPr="00425EBD">
                              <w:rPr>
                                <w:rFonts w:ascii="Times New Roman" w:hAnsi="Times New Roman" w:cs="Times New Roman"/>
                                <w:b/>
                                <w:lang w:val="uk-UA"/>
                              </w:rPr>
                              <w:t>Спеціальний фонд</w:t>
                            </w:r>
                          </w:p>
                          <w:p w:rsidR="005C77AD" w:rsidRPr="00425EBD" w:rsidRDefault="005C77AD" w:rsidP="000E2C33">
                            <w:pPr>
                              <w:spacing w:after="0"/>
                              <w:jc w:val="center"/>
                              <w:rPr>
                                <w:rFonts w:ascii="Times New Roman" w:hAnsi="Times New Roman" w:cs="Times New Roman"/>
                                <w:b/>
                                <w:lang w:val="uk-UA"/>
                              </w:rPr>
                            </w:pPr>
                            <w:r>
                              <w:rPr>
                                <w:rFonts w:ascii="Times New Roman" w:hAnsi="Times New Roman" w:cs="Times New Roman"/>
                                <w:b/>
                                <w:lang w:val="uk-UA"/>
                              </w:rPr>
                              <w:t>21 149,0 тис. грн (2,1</w:t>
                            </w:r>
                            <w:r w:rsidRPr="00425EBD">
                              <w:rPr>
                                <w:rFonts w:ascii="Times New Roman" w:hAnsi="Times New Roman" w:cs="Times New Roman"/>
                                <w:b/>
                                <w:lang w:val="uk-U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AD5A4A" id="AutoShape 6" o:spid="_x0000_s1028" style="position:absolute;left:0;text-align:left;margin-left:333.95pt;margin-top:14.7pt;width:144.2pt;height:46.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">
                <v:textbox>
                  <w:txbxContent>
                    <w:p w:rsidR="005C77AD" w:rsidRPr="00425EBD" w:rsidRDefault="005C77AD" w:rsidP="000E2C33">
                      <w:pPr>
                        <w:spacing w:after="0"/>
                        <w:jc w:val="center"/>
                        <w:rPr>
                          <w:rFonts w:ascii="Times New Roman" w:hAnsi="Times New Roman" w:cs="Times New Roman"/>
                          <w:b/>
                          <w:lang w:val="uk-UA"/>
                        </w:rPr>
                      </w:pPr>
                      <w:r w:rsidRPr="00425EBD">
                        <w:rPr>
                          <w:rFonts w:ascii="Times New Roman" w:hAnsi="Times New Roman" w:cs="Times New Roman"/>
                          <w:b/>
                          <w:lang w:val="uk-UA"/>
                        </w:rPr>
                        <w:t>Спеціальний фонд</w:t>
                      </w:r>
                    </w:p>
                    <w:p w:rsidR="005C77AD" w:rsidRPr="00425EBD" w:rsidRDefault="005C77AD" w:rsidP="000E2C33">
                      <w:pPr>
                        <w:spacing w:after="0"/>
                        <w:jc w:val="center"/>
                        <w:rPr>
                          <w:rFonts w:ascii="Times New Roman" w:hAnsi="Times New Roman" w:cs="Times New Roman"/>
                          <w:b/>
                          <w:lang w:val="uk-UA"/>
                        </w:rPr>
                      </w:pPr>
                      <w:r>
                        <w:rPr>
                          <w:rFonts w:ascii="Times New Roman" w:hAnsi="Times New Roman" w:cs="Times New Roman"/>
                          <w:b/>
                          <w:lang w:val="uk-UA"/>
                        </w:rPr>
                        <w:t>21 149,0 тис. грн (2,1</w:t>
                      </w:r>
                      <w:r w:rsidRPr="00425EBD">
                        <w:rPr>
                          <w:rFonts w:ascii="Times New Roman" w:hAnsi="Times New Roman" w:cs="Times New Roman"/>
                          <w:b/>
                          <w:lang w:val="uk-UA"/>
                        </w:rPr>
                        <w:t>%)</w:t>
                      </w:r>
                    </w:p>
                  </w:txbxContent>
                </v:textbox>
              </v:roundrect>
            </w:pict>
          </mc:Fallback>
        </mc:AlternateContent>
      </w:r>
      <w:r w:rsidRPr="00545127">
        <w:rPr>
          <w:rFonts w:ascii="Times New Roman" w:hAnsi="Times New Roman" w:cs="Times New Roman"/>
          <w:noProof/>
          <w:sz w:val="24"/>
          <w:szCs w:val="24"/>
          <w:highlight w:val="yellow"/>
          <w:lang w:val="uk-UA" w:eastAsia="uk-UA"/>
        </w:rPr>
        <mc:AlternateContent>
          <mc:Choice Requires="wps">
            <w:drawing>
              <wp:anchor distT="0" distB="0" distL="114300" distR="114300" simplePos="0" relativeHeight="251722752" behindDoc="0" locked="0" layoutInCell="1" allowOverlap="1" wp14:anchorId="7FCEE776" wp14:editId="3F929F51">
                <wp:simplePos x="0" y="0"/>
                <wp:positionH relativeFrom="column">
                  <wp:posOffset>-341630</wp:posOffset>
                </wp:positionH>
                <wp:positionV relativeFrom="paragraph">
                  <wp:posOffset>164465</wp:posOffset>
                </wp:positionV>
                <wp:extent cx="1954530" cy="598805"/>
                <wp:effectExtent l="0" t="0" r="7620" b="0"/>
                <wp:wrapNone/>
                <wp:docPr id="3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4530" cy="598805"/>
                        </a:xfrm>
                        <a:prstGeom prst="roundRect">
                          <a:avLst>
                            <a:gd name="adj" fmla="val 16667"/>
                          </a:avLst>
                        </a:prstGeom>
                        <a:solidFill>
                          <a:srgbClr val="FFFFFF"/>
                        </a:solidFill>
                        <a:ln w="9525">
                          <a:solidFill>
                            <a:srgbClr val="000000"/>
                          </a:solidFill>
                          <a:round/>
                          <a:headEnd/>
                          <a:tailEnd/>
                        </a:ln>
                      </wps:spPr>
                      <wps:txbx>
                        <w:txbxContent>
                          <w:p w:rsidR="005C77AD" w:rsidRPr="00425EBD" w:rsidRDefault="005C77AD" w:rsidP="000E2C33">
                            <w:pPr>
                              <w:spacing w:after="0"/>
                              <w:jc w:val="center"/>
                              <w:rPr>
                                <w:rFonts w:ascii="Times New Roman" w:hAnsi="Times New Roman" w:cs="Times New Roman"/>
                                <w:b/>
                                <w:lang w:val="uk-UA"/>
                              </w:rPr>
                            </w:pPr>
                            <w:r w:rsidRPr="00425EBD">
                              <w:rPr>
                                <w:rFonts w:ascii="Times New Roman" w:hAnsi="Times New Roman" w:cs="Times New Roman"/>
                                <w:b/>
                                <w:lang w:val="uk-UA"/>
                              </w:rPr>
                              <w:t>Загальний фонд</w:t>
                            </w:r>
                          </w:p>
                          <w:p w:rsidR="005C77AD" w:rsidRPr="00425EBD" w:rsidRDefault="005C77AD" w:rsidP="00FC5FD3">
                            <w:pPr>
                              <w:spacing w:after="0"/>
                              <w:rPr>
                                <w:rFonts w:ascii="Times New Roman" w:hAnsi="Times New Roman" w:cs="Times New Roman"/>
                                <w:b/>
                                <w:lang w:val="uk-UA"/>
                              </w:rPr>
                            </w:pPr>
                            <w:r>
                              <w:rPr>
                                <w:rFonts w:ascii="Times New Roman" w:hAnsi="Times New Roman" w:cs="Times New Roman"/>
                                <w:b/>
                                <w:lang w:val="uk-UA"/>
                              </w:rPr>
                              <w:t xml:space="preserve">820 944,0 </w:t>
                            </w:r>
                            <w:r w:rsidRPr="00425EBD">
                              <w:rPr>
                                <w:rFonts w:ascii="Times New Roman" w:hAnsi="Times New Roman" w:cs="Times New Roman"/>
                                <w:b/>
                                <w:lang w:val="uk-UA"/>
                              </w:rPr>
                              <w:t>тис. грн  (</w:t>
                            </w:r>
                            <w:r>
                              <w:rPr>
                                <w:rFonts w:ascii="Times New Roman" w:hAnsi="Times New Roman" w:cs="Times New Roman"/>
                                <w:b/>
                                <w:lang w:val="uk-UA"/>
                              </w:rPr>
                              <w:t>81,4</w:t>
                            </w:r>
                            <w:r w:rsidRPr="00425EBD">
                              <w:rPr>
                                <w:rFonts w:ascii="Times New Roman" w:hAnsi="Times New Roman" w:cs="Times New Roman"/>
                                <w:b/>
                                <w:lang w:val="uk-U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CEE776" id="AutoShape 4" o:spid="_x0000_s1029" style="position:absolute;left:0;text-align:left;margin-left:-26.9pt;margin-top:12.95pt;width:153.9pt;height:47.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">
                <v:textbox>
                  <w:txbxContent>
                    <w:p w:rsidR="005C77AD" w:rsidRPr="00425EBD" w:rsidRDefault="005C77AD" w:rsidP="000E2C33">
                      <w:pPr>
                        <w:spacing w:after="0"/>
                        <w:jc w:val="center"/>
                        <w:rPr>
                          <w:rFonts w:ascii="Times New Roman" w:hAnsi="Times New Roman" w:cs="Times New Roman"/>
                          <w:b/>
                          <w:lang w:val="uk-UA"/>
                        </w:rPr>
                      </w:pPr>
                      <w:r w:rsidRPr="00425EBD">
                        <w:rPr>
                          <w:rFonts w:ascii="Times New Roman" w:hAnsi="Times New Roman" w:cs="Times New Roman"/>
                          <w:b/>
                          <w:lang w:val="uk-UA"/>
                        </w:rPr>
                        <w:t>Загальний фонд</w:t>
                      </w:r>
                    </w:p>
                    <w:p w:rsidR="005C77AD" w:rsidRPr="00425EBD" w:rsidRDefault="005C77AD" w:rsidP="00FC5FD3">
                      <w:pPr>
                        <w:spacing w:after="0"/>
                        <w:rPr>
                          <w:rFonts w:ascii="Times New Roman" w:hAnsi="Times New Roman" w:cs="Times New Roman"/>
                          <w:b/>
                          <w:lang w:val="uk-UA"/>
                        </w:rPr>
                      </w:pPr>
                      <w:r>
                        <w:rPr>
                          <w:rFonts w:ascii="Times New Roman" w:hAnsi="Times New Roman" w:cs="Times New Roman"/>
                          <w:b/>
                          <w:lang w:val="uk-UA"/>
                        </w:rPr>
                        <w:t xml:space="preserve">820 944,0 </w:t>
                      </w:r>
                      <w:r w:rsidRPr="00425EBD">
                        <w:rPr>
                          <w:rFonts w:ascii="Times New Roman" w:hAnsi="Times New Roman" w:cs="Times New Roman"/>
                          <w:b/>
                          <w:lang w:val="uk-UA"/>
                        </w:rPr>
                        <w:t>тис. грн  (</w:t>
                      </w:r>
                      <w:r>
                        <w:rPr>
                          <w:rFonts w:ascii="Times New Roman" w:hAnsi="Times New Roman" w:cs="Times New Roman"/>
                          <w:b/>
                          <w:lang w:val="uk-UA"/>
                        </w:rPr>
                        <w:t>81,4</w:t>
                      </w:r>
                      <w:r w:rsidRPr="00425EBD">
                        <w:rPr>
                          <w:rFonts w:ascii="Times New Roman" w:hAnsi="Times New Roman" w:cs="Times New Roman"/>
                          <w:b/>
                          <w:lang w:val="uk-UA"/>
                        </w:rPr>
                        <w:t>%)</w:t>
                      </w:r>
                    </w:p>
                  </w:txbxContent>
                </v:textbox>
              </v:roundrect>
            </w:pict>
          </mc:Fallback>
        </mc:AlternateContent>
      </w:r>
    </w:p>
    <w:p w:rsidR="000E2C33" w:rsidRPr="00545127" w:rsidRDefault="00DF56C5" w:rsidP="000E2C33">
      <w:pPr>
        <w:spacing w:after="0"/>
        <w:jc w:val="both"/>
        <w:rPr>
          <w:rFonts w:ascii="Times New Roman" w:hAnsi="Times New Roman" w:cs="Times New Roman"/>
          <w:sz w:val="24"/>
          <w:szCs w:val="24"/>
          <w:highlight w:val="yellow"/>
          <w:lang w:val="uk-UA"/>
        </w:rPr>
      </w:pPr>
      <w:r w:rsidRPr="00545127">
        <w:rPr>
          <w:rFonts w:ascii="Times New Roman" w:hAnsi="Times New Roman" w:cs="Times New Roman"/>
          <w:noProof/>
          <w:sz w:val="24"/>
          <w:szCs w:val="24"/>
          <w:highlight w:val="yellow"/>
          <w:lang w:val="uk-UA" w:eastAsia="uk-UA"/>
        </w:rPr>
        <mc:AlternateContent>
          <mc:Choice Requires="wps">
            <w:drawing>
              <wp:anchor distT="0" distB="0" distL="114300" distR="114300" simplePos="0" relativeHeight="251727872" behindDoc="0" locked="0" layoutInCell="1" allowOverlap="1" wp14:anchorId="331A6874" wp14:editId="1725F825">
                <wp:simplePos x="0" y="0"/>
                <wp:positionH relativeFrom="column">
                  <wp:posOffset>2754313</wp:posOffset>
                </wp:positionH>
                <wp:positionV relativeFrom="paragraph">
                  <wp:posOffset>136525</wp:posOffset>
                </wp:positionV>
                <wp:extent cx="516890" cy="635"/>
                <wp:effectExtent l="54610" t="6985" r="59055" b="19050"/>
                <wp:wrapNone/>
                <wp:docPr id="38"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1689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A30820"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 o:spid="_x0000_s1026" type="#_x0000_t34" style="position:absolute;margin-left:216.9pt;margin-top:10.75pt;width:40.7pt;height:.05pt;rotation:90;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">
                <v:stroke endarrow="block"/>
              </v:shape>
            </w:pict>
          </mc:Fallback>
        </mc:AlternateContent>
      </w:r>
    </w:p>
    <w:p w:rsidR="000E2C33" w:rsidRPr="00545127" w:rsidRDefault="000E2C33" w:rsidP="000E2C33">
      <w:pPr>
        <w:spacing w:after="0"/>
        <w:jc w:val="both"/>
        <w:rPr>
          <w:rFonts w:ascii="Times New Roman" w:hAnsi="Times New Roman" w:cs="Times New Roman"/>
          <w:sz w:val="24"/>
          <w:szCs w:val="24"/>
          <w:highlight w:val="yellow"/>
          <w:lang w:val="uk-UA"/>
        </w:rPr>
      </w:pPr>
    </w:p>
    <w:p w:rsidR="000E2C33" w:rsidRPr="00545127" w:rsidRDefault="003746FC" w:rsidP="000E2C33">
      <w:pPr>
        <w:spacing w:after="0"/>
        <w:jc w:val="both"/>
        <w:rPr>
          <w:rFonts w:ascii="Times New Roman" w:hAnsi="Times New Roman" w:cs="Times New Roman"/>
          <w:sz w:val="24"/>
          <w:szCs w:val="24"/>
          <w:highlight w:val="yellow"/>
          <w:lang w:val="uk-UA"/>
        </w:rPr>
      </w:pPr>
      <w:r w:rsidRPr="00545127">
        <w:rPr>
          <w:rFonts w:ascii="Times New Roman" w:hAnsi="Times New Roman" w:cs="Times New Roman"/>
          <w:noProof/>
          <w:sz w:val="24"/>
          <w:szCs w:val="24"/>
          <w:highlight w:val="yellow"/>
          <w:lang w:val="uk-UA" w:eastAsia="uk-UA"/>
        </w:rPr>
        <mc:AlternateContent>
          <mc:Choice Requires="wps">
            <w:drawing>
              <wp:anchor distT="0" distB="0" distL="114300" distR="114300" simplePos="0" relativeHeight="251723776" behindDoc="0" locked="0" layoutInCell="1" allowOverlap="1" wp14:anchorId="76F6AD3B" wp14:editId="7060A339">
                <wp:simplePos x="0" y="0"/>
                <wp:positionH relativeFrom="column">
                  <wp:posOffset>1776095</wp:posOffset>
                </wp:positionH>
                <wp:positionV relativeFrom="paragraph">
                  <wp:posOffset>4832</wp:posOffset>
                </wp:positionV>
                <wp:extent cx="2373989" cy="1017767"/>
                <wp:effectExtent l="0" t="0" r="26670" b="11430"/>
                <wp:wrapNone/>
                <wp:docPr id="3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3989" cy="1017767"/>
                        </a:xfrm>
                        <a:prstGeom prst="roundRect">
                          <a:avLst>
                            <a:gd name="adj" fmla="val 16667"/>
                          </a:avLst>
                        </a:prstGeom>
                        <a:solidFill>
                          <a:srgbClr val="FFFFFF"/>
                        </a:solidFill>
                        <a:ln w="9525">
                          <a:solidFill>
                            <a:srgbClr val="000000"/>
                          </a:solidFill>
                          <a:round/>
                          <a:headEnd/>
                          <a:tailEnd/>
                        </a:ln>
                      </wps:spPr>
                      <wps:txbx>
                        <w:txbxContent>
                          <w:p w:rsidR="005C77AD" w:rsidRPr="00C86729" w:rsidRDefault="005C77AD" w:rsidP="000E2C33">
                            <w:pPr>
                              <w:spacing w:after="0"/>
                              <w:jc w:val="center"/>
                              <w:rPr>
                                <w:rFonts w:ascii="Times New Roman" w:hAnsi="Times New Roman" w:cs="Times New Roman"/>
                                <w:b/>
                                <w:lang w:val="uk-UA"/>
                              </w:rPr>
                            </w:pPr>
                            <w:r w:rsidRPr="00C86729">
                              <w:rPr>
                                <w:rFonts w:ascii="Times New Roman" w:hAnsi="Times New Roman" w:cs="Times New Roman"/>
                                <w:b/>
                                <w:lang w:val="uk-UA"/>
                              </w:rPr>
                              <w:t xml:space="preserve">Субвенції з бюджетів різного рівня  - </w:t>
                            </w:r>
                          </w:p>
                          <w:p w:rsidR="005C77AD" w:rsidRDefault="005C77AD" w:rsidP="003746FC">
                            <w:pPr>
                              <w:spacing w:after="0"/>
                              <w:rPr>
                                <w:rFonts w:ascii="Times New Roman" w:hAnsi="Times New Roman" w:cs="Times New Roman"/>
                                <w:b/>
                                <w:lang w:val="uk-UA"/>
                              </w:rPr>
                            </w:pPr>
                            <w:r>
                              <w:rPr>
                                <w:rFonts w:ascii="Times New Roman" w:hAnsi="Times New Roman" w:cs="Times New Roman"/>
                                <w:b/>
                                <w:lang w:val="uk-UA"/>
                              </w:rPr>
                              <w:t xml:space="preserve">165 993,0 </w:t>
                            </w:r>
                            <w:r w:rsidRPr="00C86729">
                              <w:rPr>
                                <w:rFonts w:ascii="Times New Roman" w:hAnsi="Times New Roman" w:cs="Times New Roman"/>
                                <w:b/>
                                <w:lang w:val="uk-UA"/>
                              </w:rPr>
                              <w:t xml:space="preserve"> тис. грн</w:t>
                            </w:r>
                            <w:r>
                              <w:rPr>
                                <w:rFonts w:ascii="Times New Roman" w:hAnsi="Times New Roman" w:cs="Times New Roman"/>
                                <w:b/>
                                <w:lang w:val="uk-UA"/>
                              </w:rPr>
                              <w:t xml:space="preserve">, </w:t>
                            </w:r>
                            <w:r w:rsidRPr="00C86729">
                              <w:rPr>
                                <w:rFonts w:ascii="Times New Roman" w:hAnsi="Times New Roman" w:cs="Times New Roman"/>
                                <w:b/>
                                <w:lang w:val="uk-UA"/>
                              </w:rPr>
                              <w:t xml:space="preserve"> </w:t>
                            </w:r>
                            <w:r>
                              <w:rPr>
                                <w:rFonts w:ascii="Times New Roman" w:hAnsi="Times New Roman" w:cs="Times New Roman"/>
                                <w:b/>
                                <w:i/>
                                <w:sz w:val="18"/>
                                <w:szCs w:val="18"/>
                                <w:lang w:val="uk-UA"/>
                              </w:rPr>
                              <w:t>у</w:t>
                            </w:r>
                            <w:r w:rsidRPr="003445A4">
                              <w:rPr>
                                <w:rFonts w:ascii="Times New Roman" w:hAnsi="Times New Roman" w:cs="Times New Roman"/>
                                <w:b/>
                                <w:i/>
                                <w:sz w:val="18"/>
                                <w:szCs w:val="18"/>
                                <w:lang w:val="uk-UA"/>
                              </w:rPr>
                              <w:t>.</w:t>
                            </w:r>
                            <w:r>
                              <w:rPr>
                                <w:rFonts w:ascii="Times New Roman" w:hAnsi="Times New Roman" w:cs="Times New Roman"/>
                                <w:b/>
                                <w:i/>
                                <w:sz w:val="18"/>
                                <w:szCs w:val="18"/>
                                <w:lang w:val="uk-UA"/>
                              </w:rPr>
                              <w:t xml:space="preserve"> </w:t>
                            </w:r>
                            <w:r w:rsidRPr="003445A4">
                              <w:rPr>
                                <w:rFonts w:ascii="Times New Roman" w:hAnsi="Times New Roman" w:cs="Times New Roman"/>
                                <w:b/>
                                <w:i/>
                                <w:sz w:val="18"/>
                                <w:szCs w:val="18"/>
                                <w:lang w:val="uk-UA"/>
                              </w:rPr>
                              <w:t>т</w:t>
                            </w:r>
                            <w:r>
                              <w:rPr>
                                <w:rFonts w:ascii="Times New Roman" w:hAnsi="Times New Roman" w:cs="Times New Roman"/>
                                <w:b/>
                                <w:i/>
                                <w:sz w:val="18"/>
                                <w:szCs w:val="18"/>
                                <w:lang w:val="uk-UA"/>
                              </w:rPr>
                              <w:t xml:space="preserve"> </w:t>
                            </w:r>
                            <w:r w:rsidRPr="003445A4">
                              <w:rPr>
                                <w:rFonts w:ascii="Times New Roman" w:hAnsi="Times New Roman" w:cs="Times New Roman"/>
                                <w:b/>
                                <w:i/>
                                <w:sz w:val="18"/>
                                <w:szCs w:val="18"/>
                                <w:lang w:val="uk-UA"/>
                              </w:rPr>
                              <w:t>.ч. освітня субвенція 159 192,9</w:t>
                            </w:r>
                            <w:r>
                              <w:rPr>
                                <w:rFonts w:ascii="Times New Roman" w:hAnsi="Times New Roman" w:cs="Times New Roman"/>
                                <w:b/>
                                <w:i/>
                                <w:sz w:val="18"/>
                                <w:szCs w:val="18"/>
                                <w:lang w:val="uk-UA"/>
                              </w:rPr>
                              <w:t xml:space="preserve"> тис. грн  </w:t>
                            </w:r>
                            <w:r>
                              <w:rPr>
                                <w:rFonts w:ascii="Times New Roman" w:hAnsi="Times New Roman" w:cs="Times New Roman"/>
                                <w:b/>
                                <w:lang w:val="uk-UA"/>
                              </w:rPr>
                              <w:t xml:space="preserve"> (16,5 %)</w:t>
                            </w:r>
                          </w:p>
                          <w:p w:rsidR="005C77AD" w:rsidRPr="003746FC" w:rsidRDefault="005C77AD">
                            <w:pPr>
                              <w:rPr>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F6AD3B" id="AutoShape 5" o:spid="_x0000_s1030" style="position:absolute;left:0;text-align:left;margin-left:139.85pt;margin-top:.4pt;width:186.95pt;height:80.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">
                <v:textbox>
                  <w:txbxContent>
                    <w:p w:rsidR="005C77AD" w:rsidRPr="00C86729" w:rsidRDefault="005C77AD" w:rsidP="000E2C33">
                      <w:pPr>
                        <w:spacing w:after="0"/>
                        <w:jc w:val="center"/>
                        <w:rPr>
                          <w:rFonts w:ascii="Times New Roman" w:hAnsi="Times New Roman" w:cs="Times New Roman"/>
                          <w:b/>
                          <w:lang w:val="uk-UA"/>
                        </w:rPr>
                      </w:pPr>
                      <w:r w:rsidRPr="00C86729">
                        <w:rPr>
                          <w:rFonts w:ascii="Times New Roman" w:hAnsi="Times New Roman" w:cs="Times New Roman"/>
                          <w:b/>
                          <w:lang w:val="uk-UA"/>
                        </w:rPr>
                        <w:t xml:space="preserve">Субвенції з бюджетів різного рівня  - </w:t>
                      </w:r>
                    </w:p>
                    <w:p w:rsidR="005C77AD" w:rsidRDefault="005C77AD" w:rsidP="003746FC">
                      <w:pPr>
                        <w:spacing w:after="0"/>
                        <w:rPr>
                          <w:rFonts w:ascii="Times New Roman" w:hAnsi="Times New Roman" w:cs="Times New Roman"/>
                          <w:b/>
                          <w:lang w:val="uk-UA"/>
                        </w:rPr>
                      </w:pPr>
                      <w:r>
                        <w:rPr>
                          <w:rFonts w:ascii="Times New Roman" w:hAnsi="Times New Roman" w:cs="Times New Roman"/>
                          <w:b/>
                          <w:lang w:val="uk-UA"/>
                        </w:rPr>
                        <w:t xml:space="preserve">165 993,0 </w:t>
                      </w:r>
                      <w:r w:rsidRPr="00C86729">
                        <w:rPr>
                          <w:rFonts w:ascii="Times New Roman" w:hAnsi="Times New Roman" w:cs="Times New Roman"/>
                          <w:b/>
                          <w:lang w:val="uk-UA"/>
                        </w:rPr>
                        <w:t xml:space="preserve"> тис. грн</w:t>
                      </w:r>
                      <w:r>
                        <w:rPr>
                          <w:rFonts w:ascii="Times New Roman" w:hAnsi="Times New Roman" w:cs="Times New Roman"/>
                          <w:b/>
                          <w:lang w:val="uk-UA"/>
                        </w:rPr>
                        <w:t xml:space="preserve">, </w:t>
                      </w:r>
                      <w:r w:rsidRPr="00C86729">
                        <w:rPr>
                          <w:rFonts w:ascii="Times New Roman" w:hAnsi="Times New Roman" w:cs="Times New Roman"/>
                          <w:b/>
                          <w:lang w:val="uk-UA"/>
                        </w:rPr>
                        <w:t xml:space="preserve"> </w:t>
                      </w:r>
                      <w:r>
                        <w:rPr>
                          <w:rFonts w:ascii="Times New Roman" w:hAnsi="Times New Roman" w:cs="Times New Roman"/>
                          <w:b/>
                          <w:i/>
                          <w:sz w:val="18"/>
                          <w:szCs w:val="18"/>
                          <w:lang w:val="uk-UA"/>
                        </w:rPr>
                        <w:t>у</w:t>
                      </w:r>
                      <w:r w:rsidRPr="003445A4">
                        <w:rPr>
                          <w:rFonts w:ascii="Times New Roman" w:hAnsi="Times New Roman" w:cs="Times New Roman"/>
                          <w:b/>
                          <w:i/>
                          <w:sz w:val="18"/>
                          <w:szCs w:val="18"/>
                          <w:lang w:val="uk-UA"/>
                        </w:rPr>
                        <w:t>.</w:t>
                      </w:r>
                      <w:r>
                        <w:rPr>
                          <w:rFonts w:ascii="Times New Roman" w:hAnsi="Times New Roman" w:cs="Times New Roman"/>
                          <w:b/>
                          <w:i/>
                          <w:sz w:val="18"/>
                          <w:szCs w:val="18"/>
                          <w:lang w:val="uk-UA"/>
                        </w:rPr>
                        <w:t xml:space="preserve"> </w:t>
                      </w:r>
                      <w:r w:rsidRPr="003445A4">
                        <w:rPr>
                          <w:rFonts w:ascii="Times New Roman" w:hAnsi="Times New Roman" w:cs="Times New Roman"/>
                          <w:b/>
                          <w:i/>
                          <w:sz w:val="18"/>
                          <w:szCs w:val="18"/>
                          <w:lang w:val="uk-UA"/>
                        </w:rPr>
                        <w:t>т</w:t>
                      </w:r>
                      <w:r>
                        <w:rPr>
                          <w:rFonts w:ascii="Times New Roman" w:hAnsi="Times New Roman" w:cs="Times New Roman"/>
                          <w:b/>
                          <w:i/>
                          <w:sz w:val="18"/>
                          <w:szCs w:val="18"/>
                          <w:lang w:val="uk-UA"/>
                        </w:rPr>
                        <w:t xml:space="preserve"> </w:t>
                      </w:r>
                      <w:r w:rsidRPr="003445A4">
                        <w:rPr>
                          <w:rFonts w:ascii="Times New Roman" w:hAnsi="Times New Roman" w:cs="Times New Roman"/>
                          <w:b/>
                          <w:i/>
                          <w:sz w:val="18"/>
                          <w:szCs w:val="18"/>
                          <w:lang w:val="uk-UA"/>
                        </w:rPr>
                        <w:t>.ч. освітня субвенція 159 192,9</w:t>
                      </w:r>
                      <w:r>
                        <w:rPr>
                          <w:rFonts w:ascii="Times New Roman" w:hAnsi="Times New Roman" w:cs="Times New Roman"/>
                          <w:b/>
                          <w:i/>
                          <w:sz w:val="18"/>
                          <w:szCs w:val="18"/>
                          <w:lang w:val="uk-UA"/>
                        </w:rPr>
                        <w:t xml:space="preserve"> тис. грн  </w:t>
                      </w:r>
                      <w:r>
                        <w:rPr>
                          <w:rFonts w:ascii="Times New Roman" w:hAnsi="Times New Roman" w:cs="Times New Roman"/>
                          <w:b/>
                          <w:lang w:val="uk-UA"/>
                        </w:rPr>
                        <w:t xml:space="preserve"> (16,5 %)</w:t>
                      </w:r>
                    </w:p>
                    <w:p w:rsidR="005C77AD" w:rsidRPr="003746FC" w:rsidRDefault="005C77AD">
                      <w:pPr>
                        <w:rPr>
                          <w:lang w:val="uk-UA"/>
                        </w:rPr>
                      </w:pPr>
                    </w:p>
                  </w:txbxContent>
                </v:textbox>
              </v:roundrect>
            </w:pict>
          </mc:Fallback>
        </mc:AlternateContent>
      </w:r>
    </w:p>
    <w:p w:rsidR="000E2C33" w:rsidRPr="00545127" w:rsidRDefault="000E2C33" w:rsidP="000E2C33">
      <w:pPr>
        <w:spacing w:after="0"/>
        <w:jc w:val="both"/>
        <w:rPr>
          <w:rFonts w:ascii="Times New Roman" w:hAnsi="Times New Roman" w:cs="Times New Roman"/>
          <w:sz w:val="24"/>
          <w:szCs w:val="24"/>
          <w:highlight w:val="yellow"/>
          <w:lang w:val="uk-UA"/>
        </w:rPr>
      </w:pPr>
    </w:p>
    <w:p w:rsidR="000E2C33" w:rsidRPr="00545127" w:rsidRDefault="000E2C33" w:rsidP="000E2C33">
      <w:pPr>
        <w:spacing w:after="0"/>
        <w:jc w:val="center"/>
        <w:rPr>
          <w:rFonts w:ascii="Times New Roman" w:hAnsi="Times New Roman" w:cs="Times New Roman"/>
          <w:b/>
          <w:sz w:val="24"/>
          <w:szCs w:val="24"/>
          <w:highlight w:val="yellow"/>
          <w:u w:val="single"/>
          <w:lang w:val="uk-UA"/>
        </w:rPr>
      </w:pPr>
    </w:p>
    <w:p w:rsidR="000E2C33" w:rsidRPr="00545127" w:rsidRDefault="000E2C33" w:rsidP="000E2C33">
      <w:pPr>
        <w:spacing w:after="0"/>
        <w:jc w:val="center"/>
        <w:rPr>
          <w:rFonts w:ascii="Times New Roman" w:hAnsi="Times New Roman" w:cs="Times New Roman"/>
          <w:b/>
          <w:sz w:val="24"/>
          <w:szCs w:val="24"/>
          <w:highlight w:val="yellow"/>
          <w:u w:val="single"/>
          <w:lang w:val="uk-UA"/>
        </w:rPr>
      </w:pPr>
    </w:p>
    <w:p w:rsidR="000E2C33" w:rsidRPr="00545127" w:rsidRDefault="000E2C33" w:rsidP="000E2C33">
      <w:pPr>
        <w:spacing w:after="0"/>
        <w:jc w:val="center"/>
        <w:rPr>
          <w:rFonts w:ascii="Times New Roman" w:hAnsi="Times New Roman" w:cs="Times New Roman"/>
          <w:b/>
          <w:sz w:val="24"/>
          <w:szCs w:val="24"/>
          <w:highlight w:val="yellow"/>
          <w:u w:val="single"/>
          <w:lang w:val="uk-UA"/>
        </w:rPr>
      </w:pPr>
    </w:p>
    <w:p w:rsidR="007950F3" w:rsidRDefault="007950F3" w:rsidP="000E2C33">
      <w:pPr>
        <w:spacing w:after="0"/>
        <w:jc w:val="center"/>
        <w:rPr>
          <w:rFonts w:ascii="Times New Roman" w:hAnsi="Times New Roman" w:cs="Times New Roman"/>
          <w:b/>
          <w:sz w:val="24"/>
          <w:szCs w:val="24"/>
          <w:highlight w:val="yellow"/>
          <w:u w:val="single"/>
          <w:lang w:val="uk-UA"/>
        </w:rPr>
      </w:pPr>
    </w:p>
    <w:p w:rsidR="005E74D0" w:rsidRDefault="005E74D0" w:rsidP="000E2C33">
      <w:pPr>
        <w:spacing w:after="0"/>
        <w:jc w:val="center"/>
        <w:rPr>
          <w:rFonts w:ascii="Times New Roman" w:hAnsi="Times New Roman" w:cs="Times New Roman"/>
          <w:b/>
          <w:sz w:val="24"/>
          <w:szCs w:val="24"/>
          <w:u w:val="single"/>
          <w:lang w:val="uk-UA"/>
        </w:rPr>
      </w:pPr>
    </w:p>
    <w:p w:rsidR="000E2C33" w:rsidRDefault="000E2C33" w:rsidP="000E2C33">
      <w:pPr>
        <w:spacing w:after="0"/>
        <w:jc w:val="center"/>
        <w:rPr>
          <w:rFonts w:ascii="Times New Roman" w:hAnsi="Times New Roman" w:cs="Times New Roman"/>
          <w:b/>
          <w:sz w:val="24"/>
          <w:szCs w:val="24"/>
          <w:u w:val="single"/>
          <w:lang w:val="uk-UA"/>
        </w:rPr>
      </w:pPr>
      <w:r w:rsidRPr="00535E62">
        <w:rPr>
          <w:rFonts w:ascii="Times New Roman" w:hAnsi="Times New Roman" w:cs="Times New Roman"/>
          <w:b/>
          <w:sz w:val="24"/>
          <w:szCs w:val="24"/>
          <w:u w:val="single"/>
          <w:lang w:val="uk-UA"/>
        </w:rPr>
        <w:t>ЗАГАЛЬНИЙ ФОНД</w:t>
      </w:r>
    </w:p>
    <w:p w:rsidR="001516C3" w:rsidRPr="00535E62" w:rsidRDefault="001516C3" w:rsidP="000E2C33">
      <w:pPr>
        <w:spacing w:after="0"/>
        <w:jc w:val="center"/>
        <w:rPr>
          <w:rFonts w:ascii="Times New Roman" w:hAnsi="Times New Roman" w:cs="Times New Roman"/>
          <w:b/>
          <w:sz w:val="24"/>
          <w:szCs w:val="24"/>
          <w:u w:val="single"/>
          <w:lang w:val="uk-UA"/>
        </w:rPr>
      </w:pPr>
    </w:p>
    <w:p w:rsidR="000E2C33" w:rsidRPr="00535E62" w:rsidRDefault="000E2C33" w:rsidP="000E2C33">
      <w:pPr>
        <w:spacing w:after="0"/>
        <w:jc w:val="center"/>
        <w:rPr>
          <w:rFonts w:ascii="Times New Roman" w:hAnsi="Times New Roman" w:cs="Times New Roman"/>
          <w:sz w:val="24"/>
          <w:szCs w:val="24"/>
          <w:lang w:val="uk-UA"/>
        </w:rPr>
      </w:pPr>
      <w:r w:rsidRPr="00535E62">
        <w:rPr>
          <w:rFonts w:ascii="Times New Roman" w:hAnsi="Times New Roman" w:cs="Times New Roman"/>
          <w:b/>
          <w:bCs/>
          <w:sz w:val="24"/>
          <w:szCs w:val="24"/>
          <w:lang w:val="uk-UA"/>
        </w:rPr>
        <w:t>Структура надходжень до загального фонду</w:t>
      </w:r>
    </w:p>
    <w:p w:rsidR="000E2C33" w:rsidRDefault="000E2C33" w:rsidP="000E2C33">
      <w:pPr>
        <w:spacing w:after="0"/>
        <w:jc w:val="center"/>
        <w:rPr>
          <w:rFonts w:ascii="Times New Roman" w:hAnsi="Times New Roman" w:cs="Times New Roman"/>
          <w:b/>
          <w:bCs/>
          <w:sz w:val="24"/>
          <w:szCs w:val="24"/>
          <w:lang w:val="uk-UA"/>
        </w:rPr>
      </w:pPr>
      <w:r w:rsidRPr="00535E62">
        <w:rPr>
          <w:rFonts w:ascii="Times New Roman" w:hAnsi="Times New Roman" w:cs="Times New Roman"/>
          <w:b/>
          <w:bCs/>
          <w:sz w:val="24"/>
          <w:szCs w:val="24"/>
          <w:lang w:val="uk-UA"/>
        </w:rPr>
        <w:t>у 202</w:t>
      </w:r>
      <w:r w:rsidR="006847BC" w:rsidRPr="00535E62">
        <w:rPr>
          <w:rFonts w:ascii="Times New Roman" w:hAnsi="Times New Roman" w:cs="Times New Roman"/>
          <w:b/>
          <w:bCs/>
          <w:sz w:val="24"/>
          <w:szCs w:val="24"/>
          <w:lang w:val="uk-UA"/>
        </w:rPr>
        <w:t>4</w:t>
      </w:r>
      <w:r w:rsidRPr="00535E62">
        <w:rPr>
          <w:rFonts w:ascii="Times New Roman" w:hAnsi="Times New Roman" w:cs="Times New Roman"/>
          <w:b/>
          <w:bCs/>
          <w:sz w:val="24"/>
          <w:szCs w:val="24"/>
          <w:lang w:val="uk-UA"/>
        </w:rPr>
        <w:t xml:space="preserve"> році (без врахування субвенцій) – </w:t>
      </w:r>
      <w:r w:rsidR="00813634" w:rsidRPr="00535E62">
        <w:rPr>
          <w:rFonts w:ascii="Times New Roman" w:hAnsi="Times New Roman" w:cs="Times New Roman"/>
          <w:b/>
          <w:bCs/>
          <w:sz w:val="24"/>
          <w:szCs w:val="24"/>
          <w:lang w:val="uk-UA"/>
        </w:rPr>
        <w:t xml:space="preserve"> </w:t>
      </w:r>
      <w:r w:rsidR="008542F0">
        <w:rPr>
          <w:rFonts w:ascii="Times New Roman" w:hAnsi="Times New Roman" w:cs="Times New Roman"/>
          <w:b/>
          <w:bCs/>
          <w:sz w:val="24"/>
          <w:szCs w:val="24"/>
          <w:lang w:val="uk-UA"/>
        </w:rPr>
        <w:t>820,9</w:t>
      </w:r>
      <w:r w:rsidRPr="00535E62">
        <w:rPr>
          <w:rFonts w:ascii="Times New Roman" w:hAnsi="Times New Roman" w:cs="Times New Roman"/>
          <w:b/>
          <w:bCs/>
          <w:sz w:val="24"/>
          <w:szCs w:val="24"/>
          <w:lang w:val="uk-UA"/>
        </w:rPr>
        <w:t xml:space="preserve"> млн. грн.</w:t>
      </w:r>
    </w:p>
    <w:p w:rsidR="0037719D" w:rsidRDefault="0037719D" w:rsidP="000E2C33">
      <w:pPr>
        <w:spacing w:after="0"/>
        <w:jc w:val="center"/>
        <w:rPr>
          <w:rFonts w:ascii="Times New Roman" w:hAnsi="Times New Roman" w:cs="Times New Roman"/>
          <w:b/>
          <w:bCs/>
          <w:sz w:val="24"/>
          <w:szCs w:val="24"/>
          <w:lang w:val="uk-UA"/>
        </w:rPr>
      </w:pPr>
    </w:p>
    <w:p w:rsidR="0037719D" w:rsidRDefault="001905DC" w:rsidP="009A1117">
      <w:pPr>
        <w:spacing w:after="0"/>
        <w:ind w:left="-567"/>
        <w:jc w:val="center"/>
        <w:rPr>
          <w:rFonts w:ascii="Times New Roman" w:hAnsi="Times New Roman" w:cs="Times New Roman"/>
          <w:b/>
          <w:bCs/>
          <w:sz w:val="24"/>
          <w:szCs w:val="24"/>
          <w:lang w:val="uk-UA"/>
        </w:rPr>
      </w:pPr>
      <w:r w:rsidRPr="00273040">
        <w:rPr>
          <w:rFonts w:ascii="Times New Roman" w:hAnsi="Times New Roman" w:cs="Times New Roman"/>
          <w:noProof/>
          <w:sz w:val="24"/>
          <w:szCs w:val="24"/>
          <w:lang w:val="uk-UA" w:eastAsia="uk-UA"/>
        </w:rPr>
        <w:drawing>
          <wp:inline distT="0" distB="0" distL="0" distR="0" wp14:anchorId="6CBB13B0" wp14:editId="5FEF3FDF">
            <wp:extent cx="6045200" cy="2834640"/>
            <wp:effectExtent l="0" t="0" r="12700" b="3810"/>
            <wp:docPr id="1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847BC" w:rsidRDefault="006847BC" w:rsidP="00FD23A2">
      <w:pPr>
        <w:spacing w:after="0" w:line="240" w:lineRule="auto"/>
        <w:ind w:firstLine="567"/>
        <w:jc w:val="both"/>
        <w:rPr>
          <w:rFonts w:ascii="Times New Roman" w:hAnsi="Times New Roman" w:cs="Times New Roman"/>
          <w:sz w:val="24"/>
          <w:szCs w:val="24"/>
          <w:highlight w:val="yellow"/>
          <w:lang w:val="uk-UA"/>
        </w:rPr>
      </w:pPr>
    </w:p>
    <w:p w:rsidR="000E2C33" w:rsidRPr="00B00CAA" w:rsidRDefault="000E2C33" w:rsidP="00FD23A2">
      <w:pPr>
        <w:spacing w:after="0" w:line="240" w:lineRule="auto"/>
        <w:ind w:firstLine="567"/>
        <w:jc w:val="both"/>
        <w:rPr>
          <w:rFonts w:ascii="Times New Roman" w:hAnsi="Times New Roman" w:cs="Times New Roman"/>
          <w:sz w:val="24"/>
          <w:szCs w:val="24"/>
          <w:lang w:val="uk-UA"/>
        </w:rPr>
      </w:pPr>
      <w:r w:rsidRPr="00B00CAA">
        <w:rPr>
          <w:rFonts w:ascii="Times New Roman" w:hAnsi="Times New Roman" w:cs="Times New Roman"/>
          <w:sz w:val="24"/>
          <w:szCs w:val="24"/>
          <w:lang w:val="uk-UA"/>
        </w:rPr>
        <w:t xml:space="preserve">Основним джерелом надходжень загального фонду є </w:t>
      </w:r>
      <w:r w:rsidRPr="00B00CAA">
        <w:rPr>
          <w:rFonts w:ascii="Times New Roman" w:hAnsi="Times New Roman" w:cs="Times New Roman"/>
          <w:b/>
          <w:sz w:val="24"/>
          <w:szCs w:val="24"/>
          <w:lang w:val="uk-UA"/>
        </w:rPr>
        <w:t>податок на доходи фізичних осіб</w:t>
      </w:r>
      <w:r w:rsidRPr="00B00CAA">
        <w:rPr>
          <w:rFonts w:ascii="Times New Roman" w:hAnsi="Times New Roman" w:cs="Times New Roman"/>
          <w:sz w:val="24"/>
          <w:szCs w:val="24"/>
          <w:lang w:val="uk-UA"/>
        </w:rPr>
        <w:t>, що становить 5</w:t>
      </w:r>
      <w:r w:rsidR="006C5AC6">
        <w:rPr>
          <w:rFonts w:ascii="Times New Roman" w:hAnsi="Times New Roman" w:cs="Times New Roman"/>
          <w:sz w:val="24"/>
          <w:szCs w:val="24"/>
          <w:lang w:val="uk-UA"/>
        </w:rPr>
        <w:t>4</w:t>
      </w:r>
      <w:r w:rsidRPr="00B00CAA">
        <w:rPr>
          <w:rFonts w:ascii="Times New Roman" w:hAnsi="Times New Roman" w:cs="Times New Roman"/>
          <w:sz w:val="24"/>
          <w:szCs w:val="24"/>
          <w:lang w:val="uk-UA"/>
        </w:rPr>
        <w:t>,</w:t>
      </w:r>
      <w:r w:rsidR="00156F71">
        <w:rPr>
          <w:rFonts w:ascii="Times New Roman" w:hAnsi="Times New Roman" w:cs="Times New Roman"/>
          <w:sz w:val="24"/>
          <w:szCs w:val="24"/>
          <w:lang w:val="uk-UA"/>
        </w:rPr>
        <w:t>7</w:t>
      </w:r>
      <w:r w:rsidRPr="00B00CAA">
        <w:rPr>
          <w:rFonts w:ascii="Times New Roman" w:hAnsi="Times New Roman" w:cs="Times New Roman"/>
          <w:sz w:val="24"/>
          <w:szCs w:val="24"/>
          <w:lang w:val="uk-UA"/>
        </w:rPr>
        <w:t>% від прогнозного показника доходів загального фонду 202</w:t>
      </w:r>
      <w:r w:rsidR="00135156" w:rsidRPr="00B00CAA">
        <w:rPr>
          <w:rFonts w:ascii="Times New Roman" w:hAnsi="Times New Roman" w:cs="Times New Roman"/>
          <w:sz w:val="24"/>
          <w:szCs w:val="24"/>
          <w:lang w:val="uk-UA"/>
        </w:rPr>
        <w:t>4</w:t>
      </w:r>
      <w:r w:rsidRPr="00B00CAA">
        <w:rPr>
          <w:rFonts w:ascii="Times New Roman" w:hAnsi="Times New Roman" w:cs="Times New Roman"/>
          <w:sz w:val="24"/>
          <w:szCs w:val="24"/>
          <w:lang w:val="uk-UA"/>
        </w:rPr>
        <w:t xml:space="preserve"> року (без субвенцій).</w:t>
      </w:r>
    </w:p>
    <w:p w:rsidR="00DB06BD" w:rsidRPr="00B00CAA" w:rsidRDefault="009607C0" w:rsidP="00FD23A2">
      <w:pPr>
        <w:pStyle w:val="rvps2"/>
        <w:spacing w:before="0" w:beforeAutospacing="0" w:after="0" w:afterAutospacing="0"/>
        <w:ind w:firstLine="567"/>
        <w:jc w:val="both"/>
        <w:rPr>
          <w:lang w:val="uk-UA"/>
        </w:rPr>
      </w:pPr>
      <w:r w:rsidRPr="00B00CAA">
        <w:rPr>
          <w:color w:val="000000" w:themeColor="text1"/>
          <w:shd w:val="clear" w:color="auto" w:fill="FFFFFF"/>
          <w:lang w:val="uk-UA"/>
        </w:rPr>
        <w:t>Відповідно до</w:t>
      </w:r>
      <w:r w:rsidR="00DB06BD" w:rsidRPr="00B00CAA">
        <w:rPr>
          <w:color w:val="000000" w:themeColor="text1"/>
          <w:shd w:val="clear" w:color="auto" w:fill="FFFFFF"/>
          <w:lang w:val="uk-UA"/>
        </w:rPr>
        <w:t xml:space="preserve"> п</w:t>
      </w:r>
      <w:r w:rsidR="00DB06BD" w:rsidRPr="00B00CAA">
        <w:rPr>
          <w:rStyle w:val="rvts11"/>
          <w:rFonts w:eastAsiaTheme="majorEastAsia"/>
          <w:iCs/>
          <w:lang w:val="uk-UA"/>
        </w:rPr>
        <w:t>ункту 1 частини першої статті 64 Бюджетного кодексу України  д</w:t>
      </w:r>
      <w:r w:rsidR="00DB06BD" w:rsidRPr="00B00CAA">
        <w:rPr>
          <w:lang w:val="uk-UA"/>
        </w:rPr>
        <w:t xml:space="preserve">о доходів загального фонду бюджетів сільських, селищних, міських територіальних громад належить, зокрема, </w:t>
      </w:r>
      <w:bookmarkStart w:id="2" w:name="n2142"/>
      <w:bookmarkStart w:id="3" w:name="n1017"/>
      <w:bookmarkEnd w:id="2"/>
      <w:bookmarkEnd w:id="3"/>
      <w:r w:rsidR="00DB06BD" w:rsidRPr="00B00CAA">
        <w:rPr>
          <w:lang w:val="uk-UA"/>
        </w:rPr>
        <w:t xml:space="preserve"> 60 відсотків податку на доходи фізичних осіб (крім податку на доходи фізичних осіб, визначеного </w:t>
      </w:r>
      <w:hyperlink r:id="rId15" w:anchor="n2015" w:history="1">
        <w:r w:rsidR="00DB06BD" w:rsidRPr="00B00CAA">
          <w:rPr>
            <w:rStyle w:val="aa"/>
            <w:color w:val="auto"/>
            <w:u w:val="none"/>
            <w:lang w:val="uk-UA"/>
          </w:rPr>
          <w:t>пунктом 1</w:t>
        </w:r>
      </w:hyperlink>
      <w:hyperlink r:id="rId16" w:anchor="n2015" w:history="1">
        <w:r w:rsidR="00DB06BD" w:rsidRPr="00B00CAA">
          <w:rPr>
            <w:rStyle w:val="aa"/>
            <w:color w:val="auto"/>
            <w:sz w:val="2"/>
            <w:szCs w:val="2"/>
            <w:u w:val="none"/>
            <w:lang w:val="uk-UA"/>
          </w:rPr>
          <w:t>-</w:t>
        </w:r>
        <w:r w:rsidR="00DB06BD" w:rsidRPr="00B00CAA">
          <w:rPr>
            <w:rStyle w:val="aa"/>
            <w:color w:val="auto"/>
            <w:u w:val="none"/>
            <w:lang w:val="uk-UA"/>
          </w:rPr>
          <w:t>1</w:t>
        </w:r>
      </w:hyperlink>
      <w:r w:rsidR="00DB06BD" w:rsidRPr="00B00CAA">
        <w:rPr>
          <w:lang w:val="uk-UA"/>
        </w:rPr>
        <w:t xml:space="preserve"> частини другої статті 29 цього Кодексу), що сплачується (перераховується) згідно з </w:t>
      </w:r>
      <w:hyperlink r:id="rId17" w:tgtFrame="_blank" w:history="1">
        <w:r w:rsidR="00DB06BD" w:rsidRPr="00B00CAA">
          <w:rPr>
            <w:rStyle w:val="aa"/>
            <w:color w:val="auto"/>
            <w:u w:val="none"/>
            <w:lang w:val="uk-UA"/>
          </w:rPr>
          <w:t>Податковим кодексом України</w:t>
        </w:r>
      </w:hyperlink>
      <w:r w:rsidR="00DB06BD" w:rsidRPr="00B00CAA">
        <w:rPr>
          <w:lang w:val="uk-UA"/>
        </w:rPr>
        <w:t xml:space="preserve"> на відповідній території (крім території міст Києва та Севастополя)</w:t>
      </w:r>
      <w:r w:rsidR="00FD23A2" w:rsidRPr="00B00CAA">
        <w:rPr>
          <w:lang w:val="uk-UA"/>
        </w:rPr>
        <w:t>.</w:t>
      </w:r>
    </w:p>
    <w:p w:rsidR="009607C0" w:rsidRPr="00B00CAA" w:rsidRDefault="00FD23A2" w:rsidP="00FD23A2">
      <w:pPr>
        <w:spacing w:after="0" w:line="240" w:lineRule="auto"/>
        <w:ind w:firstLine="567"/>
        <w:jc w:val="both"/>
        <w:rPr>
          <w:rFonts w:ascii="Times New Roman" w:hAnsi="Times New Roman" w:cs="Times New Roman"/>
          <w:color w:val="000000" w:themeColor="text1"/>
          <w:sz w:val="24"/>
          <w:szCs w:val="24"/>
          <w:shd w:val="clear" w:color="auto" w:fill="FFFFFF"/>
          <w:lang w:val="uk-UA"/>
        </w:rPr>
      </w:pPr>
      <w:r w:rsidRPr="00B00CAA">
        <w:rPr>
          <w:rFonts w:ascii="Times New Roman" w:hAnsi="Times New Roman" w:cs="Times New Roman"/>
          <w:color w:val="000000" w:themeColor="text1"/>
          <w:sz w:val="24"/>
          <w:szCs w:val="24"/>
          <w:shd w:val="clear" w:color="auto" w:fill="FFFFFF"/>
          <w:lang w:val="uk-UA"/>
        </w:rPr>
        <w:t xml:space="preserve">Проте, як виняток, з </w:t>
      </w:r>
      <w:r w:rsidR="009607C0" w:rsidRPr="00B00CAA">
        <w:rPr>
          <w:rFonts w:ascii="Times New Roman" w:hAnsi="Times New Roman" w:cs="Times New Roman"/>
          <w:color w:val="000000" w:themeColor="text1"/>
          <w:sz w:val="24"/>
          <w:szCs w:val="24"/>
          <w:shd w:val="clear" w:color="auto" w:fill="FFFFFF"/>
          <w:lang w:val="uk-UA"/>
        </w:rPr>
        <w:t>01.0</w:t>
      </w:r>
      <w:r w:rsidR="003374E3" w:rsidRPr="00B00CAA">
        <w:rPr>
          <w:rFonts w:ascii="Times New Roman" w:hAnsi="Times New Roman" w:cs="Times New Roman"/>
          <w:color w:val="000000" w:themeColor="text1"/>
          <w:sz w:val="24"/>
          <w:szCs w:val="24"/>
          <w:shd w:val="clear" w:color="auto" w:fill="FFFFFF"/>
          <w:lang w:val="uk-UA"/>
        </w:rPr>
        <w:t>1</w:t>
      </w:r>
      <w:r w:rsidR="009607C0" w:rsidRPr="00B00CAA">
        <w:rPr>
          <w:rFonts w:ascii="Times New Roman" w:hAnsi="Times New Roman" w:cs="Times New Roman"/>
          <w:color w:val="000000" w:themeColor="text1"/>
          <w:sz w:val="24"/>
          <w:szCs w:val="24"/>
          <w:shd w:val="clear" w:color="auto" w:fill="FFFFFF"/>
          <w:lang w:val="uk-UA"/>
        </w:rPr>
        <w:t>.202</w:t>
      </w:r>
      <w:r w:rsidR="005C0389" w:rsidRPr="00B00CAA">
        <w:rPr>
          <w:rFonts w:ascii="Times New Roman" w:hAnsi="Times New Roman" w:cs="Times New Roman"/>
          <w:color w:val="000000" w:themeColor="text1"/>
          <w:sz w:val="24"/>
          <w:szCs w:val="24"/>
          <w:shd w:val="clear" w:color="auto" w:fill="FFFFFF"/>
          <w:lang w:val="uk-UA"/>
        </w:rPr>
        <w:t>4</w:t>
      </w:r>
      <w:r w:rsidR="009607C0" w:rsidRPr="00B00CAA">
        <w:rPr>
          <w:rFonts w:ascii="Times New Roman" w:hAnsi="Times New Roman" w:cs="Times New Roman"/>
          <w:color w:val="000000" w:themeColor="text1"/>
          <w:sz w:val="24"/>
          <w:szCs w:val="24"/>
          <w:shd w:val="clear" w:color="auto" w:fill="FFFFFF"/>
          <w:lang w:val="uk-UA"/>
        </w:rPr>
        <w:t xml:space="preserve"> року </w:t>
      </w:r>
      <w:r w:rsidRPr="00B00CAA">
        <w:rPr>
          <w:rFonts w:ascii="Times New Roman" w:hAnsi="Times New Roman" w:cs="Times New Roman"/>
          <w:color w:val="000000" w:themeColor="text1"/>
          <w:sz w:val="24"/>
          <w:szCs w:val="24"/>
          <w:shd w:val="clear" w:color="auto" w:fill="FFFFFF"/>
          <w:lang w:val="uk-UA"/>
        </w:rPr>
        <w:t xml:space="preserve">відповідно до </w:t>
      </w:r>
      <w:r w:rsidR="009607C0" w:rsidRPr="00B00CAA">
        <w:rPr>
          <w:rFonts w:ascii="Times New Roman" w:hAnsi="Times New Roman" w:cs="Times New Roman"/>
          <w:color w:val="000000" w:themeColor="text1"/>
          <w:sz w:val="24"/>
          <w:szCs w:val="24"/>
          <w:shd w:val="clear" w:color="auto" w:fill="FFFFFF"/>
          <w:lang w:val="uk-UA"/>
        </w:rPr>
        <w:t xml:space="preserve">ст. </w:t>
      </w:r>
      <w:r w:rsidR="005C0389" w:rsidRPr="00B00CAA">
        <w:rPr>
          <w:rFonts w:ascii="Times New Roman" w:hAnsi="Times New Roman" w:cs="Times New Roman"/>
          <w:color w:val="000000" w:themeColor="text1"/>
          <w:sz w:val="24"/>
          <w:szCs w:val="24"/>
          <w:shd w:val="clear" w:color="auto" w:fill="FFFFFF"/>
          <w:lang w:val="uk-UA"/>
        </w:rPr>
        <w:t>42</w:t>
      </w:r>
      <w:r w:rsidR="009607C0" w:rsidRPr="00B00CAA">
        <w:rPr>
          <w:rFonts w:ascii="Times New Roman" w:hAnsi="Times New Roman" w:cs="Times New Roman"/>
          <w:color w:val="000000" w:themeColor="text1"/>
          <w:sz w:val="24"/>
          <w:szCs w:val="24"/>
          <w:shd w:val="clear" w:color="auto" w:fill="FFFFFF"/>
          <w:lang w:val="uk-UA"/>
        </w:rPr>
        <w:t xml:space="preserve"> Закону України «Про Державний бюджет України на 202</w:t>
      </w:r>
      <w:r w:rsidR="005C0389" w:rsidRPr="00B00CAA">
        <w:rPr>
          <w:rFonts w:ascii="Times New Roman" w:hAnsi="Times New Roman" w:cs="Times New Roman"/>
          <w:color w:val="000000" w:themeColor="text1"/>
          <w:sz w:val="24"/>
          <w:szCs w:val="24"/>
          <w:shd w:val="clear" w:color="auto" w:fill="FFFFFF"/>
          <w:lang w:val="uk-UA"/>
        </w:rPr>
        <w:t>4</w:t>
      </w:r>
      <w:r w:rsidR="009607C0" w:rsidRPr="00B00CAA">
        <w:rPr>
          <w:rFonts w:ascii="Times New Roman" w:hAnsi="Times New Roman" w:cs="Times New Roman"/>
          <w:color w:val="000000" w:themeColor="text1"/>
          <w:sz w:val="24"/>
          <w:szCs w:val="24"/>
          <w:shd w:val="clear" w:color="auto" w:fill="FFFFFF"/>
          <w:lang w:val="uk-UA"/>
        </w:rPr>
        <w:t xml:space="preserve"> рік» передбачено, що до</w:t>
      </w:r>
      <w:r w:rsidR="00663C1C">
        <w:rPr>
          <w:rFonts w:ascii="Times New Roman" w:hAnsi="Times New Roman" w:cs="Times New Roman"/>
          <w:color w:val="000000" w:themeColor="text1"/>
          <w:sz w:val="24"/>
          <w:szCs w:val="24"/>
          <w:shd w:val="clear" w:color="auto" w:fill="FFFFFF"/>
          <w:lang w:val="uk-UA"/>
        </w:rPr>
        <w:t xml:space="preserve"> загально фонду бюджетів </w:t>
      </w:r>
      <w:r w:rsidR="00211AEA">
        <w:rPr>
          <w:rFonts w:ascii="Times New Roman" w:hAnsi="Times New Roman" w:cs="Times New Roman"/>
          <w:color w:val="000000" w:themeColor="text1"/>
          <w:sz w:val="24"/>
          <w:szCs w:val="24"/>
          <w:shd w:val="clear" w:color="auto" w:fill="FFFFFF"/>
          <w:lang w:val="uk-UA"/>
        </w:rPr>
        <w:t xml:space="preserve">сільських, селищних, міських територіальних громад </w:t>
      </w:r>
      <w:r w:rsidR="009607C0" w:rsidRPr="00B00CAA">
        <w:rPr>
          <w:rFonts w:ascii="Times New Roman" w:hAnsi="Times New Roman" w:cs="Times New Roman"/>
          <w:color w:val="000000" w:themeColor="text1"/>
          <w:sz w:val="24"/>
          <w:szCs w:val="24"/>
          <w:shd w:val="clear" w:color="auto" w:fill="FFFFFF"/>
          <w:lang w:val="uk-UA"/>
        </w:rPr>
        <w:t xml:space="preserve">податок на доходи фізичних осіб зараховується в розмірі 64%. </w:t>
      </w:r>
      <w:r w:rsidRPr="00B00CAA">
        <w:rPr>
          <w:rFonts w:ascii="Times New Roman" w:hAnsi="Times New Roman" w:cs="Times New Roman"/>
          <w:color w:val="000000" w:themeColor="text1"/>
          <w:sz w:val="24"/>
          <w:szCs w:val="24"/>
          <w:shd w:val="clear" w:color="auto" w:fill="FFFFFF"/>
          <w:lang w:val="uk-UA"/>
        </w:rPr>
        <w:t>.</w:t>
      </w:r>
    </w:p>
    <w:p w:rsidR="00FD23A2" w:rsidRPr="00B00CAA" w:rsidRDefault="00FD23A2" w:rsidP="00FD23A2">
      <w:pPr>
        <w:spacing w:after="0" w:line="240" w:lineRule="auto"/>
        <w:ind w:firstLine="567"/>
        <w:jc w:val="both"/>
        <w:rPr>
          <w:rFonts w:ascii="Times New Roman" w:eastAsia="Times New Roman" w:hAnsi="Times New Roman" w:cs="Times New Roman"/>
          <w:sz w:val="24"/>
          <w:szCs w:val="24"/>
          <w:lang w:val="uk-UA"/>
        </w:rPr>
      </w:pPr>
      <w:r w:rsidRPr="00B00CAA">
        <w:rPr>
          <w:rFonts w:ascii="Times New Roman" w:eastAsia="Times New Roman" w:hAnsi="Times New Roman" w:cs="Times New Roman"/>
          <w:sz w:val="24"/>
          <w:szCs w:val="24"/>
          <w:lang w:val="uk-UA" w:eastAsia="ru-RU"/>
        </w:rPr>
        <w:lastRenderedPageBreak/>
        <w:t>Нормативи розмежування податку на до</w:t>
      </w:r>
      <w:r w:rsidR="00C6093A">
        <w:rPr>
          <w:rFonts w:ascii="Times New Roman" w:eastAsia="Times New Roman" w:hAnsi="Times New Roman" w:cs="Times New Roman"/>
          <w:sz w:val="24"/>
          <w:szCs w:val="24"/>
          <w:lang w:val="uk-UA" w:eastAsia="ru-RU"/>
        </w:rPr>
        <w:t>ходи фізичних осіб у 2024</w:t>
      </w:r>
      <w:r w:rsidRPr="00B00CAA">
        <w:rPr>
          <w:rFonts w:ascii="Times New Roman" w:eastAsia="Times New Roman" w:hAnsi="Times New Roman" w:cs="Times New Roman"/>
          <w:sz w:val="24"/>
          <w:szCs w:val="24"/>
          <w:lang w:val="uk-UA" w:eastAsia="ru-RU"/>
        </w:rPr>
        <w:t> році, становлять:</w:t>
      </w:r>
    </w:p>
    <w:p w:rsidR="00FD23A2" w:rsidRPr="00B00CAA" w:rsidRDefault="00FD23A2" w:rsidP="00E67FF2">
      <w:pPr>
        <w:numPr>
          <w:ilvl w:val="0"/>
          <w:numId w:val="11"/>
        </w:numPr>
        <w:tabs>
          <w:tab w:val="left" w:pos="0"/>
          <w:tab w:val="left" w:pos="720"/>
          <w:tab w:val="left" w:pos="851"/>
        </w:tabs>
        <w:spacing w:after="0" w:line="240" w:lineRule="auto"/>
        <w:ind w:left="0" w:firstLine="567"/>
        <w:jc w:val="both"/>
        <w:rPr>
          <w:rFonts w:ascii="Times New Roman" w:eastAsia="Times New Roman" w:hAnsi="Times New Roman" w:cs="Times New Roman"/>
          <w:sz w:val="24"/>
          <w:szCs w:val="24"/>
          <w:lang w:val="uk-UA" w:eastAsia="ru-RU"/>
        </w:rPr>
      </w:pPr>
      <w:r w:rsidRPr="00B00CAA">
        <w:rPr>
          <w:rFonts w:ascii="Times New Roman" w:eastAsia="Times New Roman" w:hAnsi="Times New Roman" w:cs="Times New Roman"/>
          <w:sz w:val="24"/>
          <w:szCs w:val="24"/>
          <w:lang w:val="uk-UA" w:eastAsia="ru-RU"/>
        </w:rPr>
        <w:t>до державного бюджету – 21 %;</w:t>
      </w:r>
    </w:p>
    <w:p w:rsidR="00FD23A2" w:rsidRPr="00B00CAA" w:rsidRDefault="00FD23A2" w:rsidP="00E67FF2">
      <w:pPr>
        <w:numPr>
          <w:ilvl w:val="0"/>
          <w:numId w:val="11"/>
        </w:numPr>
        <w:tabs>
          <w:tab w:val="left" w:pos="0"/>
          <w:tab w:val="left" w:pos="720"/>
          <w:tab w:val="left" w:pos="851"/>
        </w:tabs>
        <w:spacing w:after="0" w:line="240" w:lineRule="auto"/>
        <w:ind w:left="0" w:firstLine="567"/>
        <w:jc w:val="both"/>
        <w:rPr>
          <w:rFonts w:ascii="Times New Roman" w:eastAsia="Times New Roman" w:hAnsi="Times New Roman" w:cs="Times New Roman"/>
          <w:sz w:val="24"/>
          <w:szCs w:val="24"/>
          <w:lang w:val="uk-UA" w:eastAsia="ru-RU"/>
        </w:rPr>
      </w:pPr>
      <w:r w:rsidRPr="00B00CAA">
        <w:rPr>
          <w:rFonts w:ascii="Times New Roman" w:eastAsia="Times New Roman" w:hAnsi="Times New Roman" w:cs="Times New Roman"/>
          <w:sz w:val="24"/>
          <w:szCs w:val="24"/>
          <w:lang w:val="uk-UA" w:eastAsia="ru-RU"/>
        </w:rPr>
        <w:t>до обласного бюджету Одеської області – 15 %;</w:t>
      </w:r>
    </w:p>
    <w:p w:rsidR="00FD23A2" w:rsidRPr="00B00CAA" w:rsidRDefault="00FD23A2" w:rsidP="00E67FF2">
      <w:pPr>
        <w:numPr>
          <w:ilvl w:val="0"/>
          <w:numId w:val="11"/>
        </w:numPr>
        <w:tabs>
          <w:tab w:val="left" w:pos="0"/>
          <w:tab w:val="left" w:pos="720"/>
          <w:tab w:val="left" w:pos="851"/>
        </w:tabs>
        <w:spacing w:after="0" w:line="240" w:lineRule="auto"/>
        <w:ind w:left="0" w:firstLine="567"/>
        <w:jc w:val="both"/>
        <w:rPr>
          <w:rFonts w:ascii="Times New Roman" w:eastAsia="Times New Roman" w:hAnsi="Times New Roman" w:cs="Times New Roman"/>
          <w:sz w:val="28"/>
          <w:szCs w:val="28"/>
          <w:lang w:val="uk-UA" w:eastAsia="ru-RU"/>
        </w:rPr>
      </w:pPr>
      <w:r w:rsidRPr="00B00CAA">
        <w:rPr>
          <w:rFonts w:ascii="Times New Roman" w:eastAsia="Times New Roman" w:hAnsi="Times New Roman" w:cs="Times New Roman"/>
          <w:sz w:val="24"/>
          <w:szCs w:val="24"/>
          <w:lang w:val="uk-UA" w:eastAsia="ru-RU"/>
        </w:rPr>
        <w:t xml:space="preserve">до бюджету Чорноморської міської територіальної громади  – 64 %. </w:t>
      </w:r>
      <w:r w:rsidRPr="00B00CAA">
        <w:rPr>
          <w:rFonts w:ascii="Times New Roman" w:eastAsia="Times New Roman" w:hAnsi="Times New Roman" w:cs="Times New Roman"/>
          <w:sz w:val="28"/>
          <w:szCs w:val="28"/>
          <w:lang w:val="uk-UA" w:eastAsia="ru-RU"/>
        </w:rPr>
        <w:t xml:space="preserve"> </w:t>
      </w:r>
    </w:p>
    <w:p w:rsidR="00FD23A2" w:rsidRPr="001C14B0" w:rsidRDefault="00FD23A2" w:rsidP="00FD23A2">
      <w:pPr>
        <w:spacing w:after="0" w:line="240" w:lineRule="auto"/>
        <w:ind w:firstLine="567"/>
        <w:jc w:val="both"/>
        <w:rPr>
          <w:rFonts w:ascii="Times New Roman" w:hAnsi="Times New Roman" w:cs="Times New Roman"/>
          <w:color w:val="000000" w:themeColor="text1"/>
          <w:sz w:val="24"/>
          <w:szCs w:val="24"/>
          <w:shd w:val="clear" w:color="auto" w:fill="FFFFFF"/>
          <w:lang w:val="uk-UA"/>
        </w:rPr>
      </w:pPr>
    </w:p>
    <w:p w:rsidR="00CD67E3" w:rsidRDefault="000E2C33" w:rsidP="003A1786">
      <w:pPr>
        <w:spacing w:after="0" w:line="240" w:lineRule="auto"/>
        <w:ind w:firstLine="567"/>
        <w:jc w:val="both"/>
        <w:rPr>
          <w:rFonts w:ascii="Times New Roman" w:hAnsi="Times New Roman" w:cs="Times New Roman"/>
          <w:sz w:val="24"/>
          <w:szCs w:val="24"/>
          <w:highlight w:val="yellow"/>
          <w:lang w:val="uk-UA"/>
        </w:rPr>
      </w:pPr>
      <w:r w:rsidRPr="001C14B0">
        <w:rPr>
          <w:rFonts w:ascii="Times New Roman" w:hAnsi="Times New Roman" w:cs="Times New Roman"/>
          <w:b/>
          <w:sz w:val="24"/>
          <w:szCs w:val="24"/>
          <w:lang w:val="uk-UA"/>
        </w:rPr>
        <w:t xml:space="preserve">11010000 </w:t>
      </w:r>
      <w:r w:rsidR="00DE1743" w:rsidRPr="001C14B0">
        <w:rPr>
          <w:rFonts w:ascii="Times New Roman" w:hAnsi="Times New Roman" w:cs="Times New Roman"/>
          <w:b/>
          <w:sz w:val="24"/>
          <w:szCs w:val="24"/>
          <w:lang w:val="uk-UA"/>
        </w:rPr>
        <w:t>«</w:t>
      </w:r>
      <w:r w:rsidRPr="001C14B0">
        <w:rPr>
          <w:rFonts w:ascii="Times New Roman" w:hAnsi="Times New Roman" w:cs="Times New Roman"/>
          <w:b/>
          <w:sz w:val="24"/>
          <w:szCs w:val="24"/>
          <w:lang w:val="uk-UA"/>
        </w:rPr>
        <w:t>Податок та збір на доходи фізичних осіб</w:t>
      </w:r>
      <w:r w:rsidR="00DE1743" w:rsidRPr="001C14B0">
        <w:rPr>
          <w:rFonts w:ascii="Times New Roman" w:hAnsi="Times New Roman" w:cs="Times New Roman"/>
          <w:b/>
          <w:sz w:val="24"/>
          <w:szCs w:val="24"/>
          <w:lang w:val="uk-UA"/>
        </w:rPr>
        <w:t>»</w:t>
      </w:r>
      <w:r w:rsidRPr="001C14B0">
        <w:rPr>
          <w:rFonts w:ascii="Times New Roman" w:hAnsi="Times New Roman" w:cs="Times New Roman"/>
          <w:sz w:val="24"/>
          <w:szCs w:val="24"/>
          <w:lang w:val="uk-UA"/>
        </w:rPr>
        <w:t xml:space="preserve"> </w:t>
      </w:r>
      <w:r w:rsidR="00FD23A2" w:rsidRPr="001C14B0">
        <w:rPr>
          <w:rFonts w:ascii="Times New Roman" w:hAnsi="Times New Roman" w:cs="Times New Roman"/>
          <w:sz w:val="24"/>
          <w:szCs w:val="24"/>
          <w:lang w:val="uk-UA"/>
        </w:rPr>
        <w:t xml:space="preserve">розраховано у сумі </w:t>
      </w:r>
      <w:r w:rsidRPr="001C14B0">
        <w:rPr>
          <w:rFonts w:ascii="Times New Roman" w:hAnsi="Times New Roman" w:cs="Times New Roman"/>
          <w:sz w:val="24"/>
          <w:szCs w:val="24"/>
          <w:lang w:val="uk-UA"/>
        </w:rPr>
        <w:t xml:space="preserve"> </w:t>
      </w:r>
      <w:r w:rsidR="00B2008A" w:rsidRPr="001C14B0">
        <w:rPr>
          <w:rFonts w:ascii="Times New Roman" w:hAnsi="Times New Roman" w:cs="Times New Roman"/>
          <w:sz w:val="24"/>
          <w:szCs w:val="24"/>
          <w:lang w:val="uk-UA"/>
        </w:rPr>
        <w:t>448 820,0</w:t>
      </w:r>
      <w:r w:rsidR="005E74D0">
        <w:rPr>
          <w:rFonts w:ascii="Times New Roman" w:hAnsi="Times New Roman" w:cs="Times New Roman"/>
          <w:sz w:val="24"/>
          <w:szCs w:val="24"/>
          <w:lang w:val="uk-UA"/>
        </w:rPr>
        <w:t> </w:t>
      </w:r>
      <w:r w:rsidR="00B2008A" w:rsidRPr="001C14B0">
        <w:rPr>
          <w:rFonts w:ascii="Times New Roman" w:hAnsi="Times New Roman" w:cs="Times New Roman"/>
          <w:sz w:val="24"/>
          <w:szCs w:val="24"/>
          <w:lang w:val="uk-UA"/>
        </w:rPr>
        <w:t>тис.</w:t>
      </w:r>
      <w:r w:rsidR="00DF56C5" w:rsidRPr="001C14B0">
        <w:rPr>
          <w:rFonts w:ascii="Times New Roman" w:hAnsi="Times New Roman" w:cs="Times New Roman"/>
          <w:sz w:val="24"/>
          <w:szCs w:val="24"/>
          <w:lang w:val="uk-UA"/>
        </w:rPr>
        <w:t> </w:t>
      </w:r>
      <w:r w:rsidR="009607C0" w:rsidRPr="001C14B0">
        <w:rPr>
          <w:rFonts w:ascii="Times New Roman" w:hAnsi="Times New Roman" w:cs="Times New Roman"/>
          <w:sz w:val="24"/>
          <w:szCs w:val="24"/>
          <w:lang w:val="uk-UA"/>
        </w:rPr>
        <w:t>грн</w:t>
      </w:r>
      <w:r w:rsidRPr="001C14B0">
        <w:rPr>
          <w:rFonts w:ascii="Times New Roman" w:hAnsi="Times New Roman" w:cs="Times New Roman"/>
          <w:sz w:val="24"/>
          <w:szCs w:val="24"/>
          <w:lang w:val="uk-UA"/>
        </w:rPr>
        <w:t>,</w:t>
      </w:r>
      <w:r w:rsidR="00B2008A" w:rsidRPr="001C14B0">
        <w:rPr>
          <w:rFonts w:ascii="Times New Roman" w:hAnsi="Times New Roman" w:cs="Times New Roman"/>
          <w:sz w:val="24"/>
          <w:szCs w:val="24"/>
          <w:lang w:val="uk-UA"/>
        </w:rPr>
        <w:t xml:space="preserve"> що на</w:t>
      </w:r>
      <w:r w:rsidR="00AB431D" w:rsidRPr="001C14B0">
        <w:rPr>
          <w:rFonts w:ascii="Times New Roman" w:hAnsi="Times New Roman" w:cs="Times New Roman"/>
          <w:sz w:val="24"/>
          <w:szCs w:val="24"/>
          <w:lang w:val="uk-UA"/>
        </w:rPr>
        <w:t xml:space="preserve"> 160 806,7 тис. грн або</w:t>
      </w:r>
      <w:r w:rsidR="007A78A3" w:rsidRPr="001C14B0">
        <w:rPr>
          <w:rFonts w:ascii="Times New Roman" w:hAnsi="Times New Roman" w:cs="Times New Roman"/>
          <w:sz w:val="24"/>
          <w:szCs w:val="24"/>
          <w:lang w:val="uk-UA"/>
        </w:rPr>
        <w:t xml:space="preserve"> на</w:t>
      </w:r>
      <w:r w:rsidR="00B2008A" w:rsidRPr="001C14B0">
        <w:rPr>
          <w:rFonts w:ascii="Times New Roman" w:hAnsi="Times New Roman" w:cs="Times New Roman"/>
          <w:sz w:val="24"/>
          <w:szCs w:val="24"/>
          <w:lang w:val="uk-UA"/>
        </w:rPr>
        <w:t xml:space="preserve"> </w:t>
      </w:r>
      <w:r w:rsidR="007C156B">
        <w:rPr>
          <w:rFonts w:ascii="Times New Roman" w:hAnsi="Times New Roman" w:cs="Times New Roman"/>
          <w:sz w:val="24"/>
          <w:szCs w:val="24"/>
          <w:lang w:val="uk-UA"/>
        </w:rPr>
        <w:t>26,4</w:t>
      </w:r>
      <w:r w:rsidR="00E627AF" w:rsidRPr="001C14B0">
        <w:rPr>
          <w:rFonts w:ascii="Times New Roman" w:hAnsi="Times New Roman" w:cs="Times New Roman"/>
          <w:sz w:val="24"/>
          <w:szCs w:val="24"/>
          <w:lang w:val="uk-UA"/>
        </w:rPr>
        <w:t xml:space="preserve"> % </w:t>
      </w:r>
      <w:r w:rsidR="00CD67E3" w:rsidRPr="001C14B0">
        <w:rPr>
          <w:rFonts w:ascii="Times New Roman" w:hAnsi="Times New Roman" w:cs="Times New Roman"/>
          <w:sz w:val="24"/>
          <w:szCs w:val="24"/>
          <w:lang w:val="uk-UA"/>
        </w:rPr>
        <w:t>менше</w:t>
      </w:r>
      <w:r w:rsidR="007A78A3" w:rsidRPr="001C14B0">
        <w:rPr>
          <w:rFonts w:ascii="Times New Roman" w:hAnsi="Times New Roman" w:cs="Times New Roman"/>
          <w:sz w:val="24"/>
          <w:szCs w:val="24"/>
          <w:lang w:val="uk-UA"/>
        </w:rPr>
        <w:t>, ніж очікувані</w:t>
      </w:r>
      <w:r w:rsidR="00CD67E3" w:rsidRPr="001C14B0">
        <w:rPr>
          <w:rFonts w:ascii="Times New Roman" w:hAnsi="Times New Roman" w:cs="Times New Roman"/>
          <w:sz w:val="24"/>
          <w:szCs w:val="24"/>
          <w:lang w:val="uk-UA"/>
        </w:rPr>
        <w:t xml:space="preserve"> надходжен</w:t>
      </w:r>
      <w:r w:rsidR="007A78A3" w:rsidRPr="001C14B0">
        <w:rPr>
          <w:rFonts w:ascii="Times New Roman" w:hAnsi="Times New Roman" w:cs="Times New Roman"/>
          <w:sz w:val="24"/>
          <w:szCs w:val="24"/>
          <w:lang w:val="uk-UA"/>
        </w:rPr>
        <w:t xml:space="preserve">ня у </w:t>
      </w:r>
      <w:r w:rsidR="00CD67E3" w:rsidRPr="001C14B0">
        <w:rPr>
          <w:rFonts w:ascii="Times New Roman" w:hAnsi="Times New Roman" w:cs="Times New Roman"/>
          <w:sz w:val="24"/>
          <w:szCs w:val="24"/>
          <w:lang w:val="uk-UA"/>
        </w:rPr>
        <w:t>2023 ро</w:t>
      </w:r>
      <w:r w:rsidR="007A78A3" w:rsidRPr="001C14B0">
        <w:rPr>
          <w:rFonts w:ascii="Times New Roman" w:hAnsi="Times New Roman" w:cs="Times New Roman"/>
          <w:sz w:val="24"/>
          <w:szCs w:val="24"/>
          <w:lang w:val="uk-UA"/>
        </w:rPr>
        <w:t>ці</w:t>
      </w:r>
      <w:r w:rsidR="00CD67E3" w:rsidRPr="001C14B0">
        <w:rPr>
          <w:rFonts w:ascii="Times New Roman" w:hAnsi="Times New Roman" w:cs="Times New Roman"/>
          <w:sz w:val="24"/>
          <w:szCs w:val="24"/>
          <w:lang w:val="uk-UA"/>
        </w:rPr>
        <w:t xml:space="preserve">. Причиною </w:t>
      </w:r>
      <w:r w:rsidR="00DD0CBB" w:rsidRPr="001C14B0">
        <w:rPr>
          <w:rFonts w:ascii="Times New Roman" w:hAnsi="Times New Roman" w:cs="Times New Roman"/>
          <w:sz w:val="24"/>
          <w:szCs w:val="24"/>
          <w:lang w:val="uk-UA"/>
        </w:rPr>
        <w:t xml:space="preserve">такого зменшення </w:t>
      </w:r>
      <w:r w:rsidR="00857582" w:rsidRPr="001C14B0">
        <w:rPr>
          <w:rFonts w:ascii="Times New Roman" w:hAnsi="Times New Roman" w:cs="Times New Roman"/>
          <w:sz w:val="24"/>
          <w:szCs w:val="24"/>
          <w:lang w:val="uk-UA"/>
        </w:rPr>
        <w:t xml:space="preserve"> в бюджеті Чорноморської міської ТГ </w:t>
      </w:r>
      <w:r w:rsidR="00DD0CBB" w:rsidRPr="001C14B0">
        <w:rPr>
          <w:rFonts w:ascii="Times New Roman" w:hAnsi="Times New Roman" w:cs="Times New Roman"/>
          <w:sz w:val="24"/>
          <w:szCs w:val="24"/>
          <w:lang w:val="uk-UA"/>
        </w:rPr>
        <w:t xml:space="preserve">є </w:t>
      </w:r>
      <w:r w:rsidR="00CA0CD8" w:rsidRPr="001C14B0">
        <w:rPr>
          <w:rFonts w:ascii="Times New Roman" w:hAnsi="Times New Roman" w:cs="Times New Roman"/>
          <w:sz w:val="24"/>
          <w:szCs w:val="24"/>
          <w:lang w:val="uk-UA"/>
        </w:rPr>
        <w:t>спрямування</w:t>
      </w:r>
      <w:r w:rsidR="00DD0CBB" w:rsidRPr="001C14B0">
        <w:rPr>
          <w:rFonts w:ascii="Times New Roman" w:hAnsi="Times New Roman" w:cs="Times New Roman"/>
          <w:sz w:val="24"/>
          <w:szCs w:val="24"/>
          <w:lang w:val="uk-UA"/>
        </w:rPr>
        <w:t xml:space="preserve"> </w:t>
      </w:r>
      <w:r w:rsidR="00116E8E" w:rsidRPr="001C14B0">
        <w:rPr>
          <w:rFonts w:ascii="Times New Roman" w:hAnsi="Times New Roman" w:cs="Times New Roman"/>
          <w:sz w:val="24"/>
          <w:szCs w:val="24"/>
          <w:lang w:val="uk-UA"/>
        </w:rPr>
        <w:t xml:space="preserve">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w:t>
      </w:r>
      <w:r w:rsidR="00DD0CBB" w:rsidRPr="001C14B0">
        <w:rPr>
          <w:rFonts w:ascii="Times New Roman" w:hAnsi="Times New Roman" w:cs="Times New Roman"/>
          <w:sz w:val="24"/>
          <w:szCs w:val="24"/>
          <w:lang w:val="uk-UA"/>
        </w:rPr>
        <w:t xml:space="preserve">до </w:t>
      </w:r>
      <w:r w:rsidR="00B81C9A" w:rsidRPr="001C14B0">
        <w:rPr>
          <w:rFonts w:ascii="Times New Roman" w:hAnsi="Times New Roman" w:cs="Times New Roman"/>
          <w:sz w:val="24"/>
          <w:szCs w:val="24"/>
          <w:lang w:val="uk-UA"/>
        </w:rPr>
        <w:t xml:space="preserve">спеціального фонду </w:t>
      </w:r>
      <w:r w:rsidR="00DD0CBB" w:rsidRPr="001C14B0">
        <w:rPr>
          <w:rFonts w:ascii="Times New Roman" w:hAnsi="Times New Roman" w:cs="Times New Roman"/>
          <w:sz w:val="24"/>
          <w:szCs w:val="24"/>
          <w:lang w:val="uk-UA"/>
        </w:rPr>
        <w:t>Державного бюджету</w:t>
      </w:r>
      <w:r w:rsidR="00CA0CD8" w:rsidRPr="001C14B0">
        <w:rPr>
          <w:rFonts w:ascii="Times New Roman" w:hAnsi="Times New Roman" w:cs="Times New Roman"/>
          <w:sz w:val="24"/>
          <w:szCs w:val="24"/>
          <w:lang w:val="uk-UA"/>
        </w:rPr>
        <w:t xml:space="preserve"> України </w:t>
      </w:r>
      <w:r w:rsidR="00FE7CF7" w:rsidRPr="001C14B0">
        <w:rPr>
          <w:rFonts w:ascii="Times New Roman" w:hAnsi="Times New Roman" w:cs="Times New Roman"/>
          <w:sz w:val="24"/>
          <w:szCs w:val="24"/>
          <w:lang w:val="uk-UA"/>
        </w:rPr>
        <w:t xml:space="preserve">відповідно до Закону України від 08 листопада 2023 року </w:t>
      </w:r>
      <w:r w:rsidR="00644C9E">
        <w:rPr>
          <w:rFonts w:ascii="Times New Roman" w:hAnsi="Times New Roman" w:cs="Times New Roman"/>
          <w:sz w:val="24"/>
          <w:szCs w:val="24"/>
          <w:lang w:val="uk-UA"/>
        </w:rPr>
        <w:t xml:space="preserve">                        </w:t>
      </w:r>
      <w:r w:rsidR="00FE7CF7" w:rsidRPr="001C14B0">
        <w:rPr>
          <w:rFonts w:ascii="Times New Roman" w:hAnsi="Times New Roman" w:cs="Times New Roman"/>
          <w:sz w:val="24"/>
          <w:szCs w:val="24"/>
          <w:lang w:val="uk-UA"/>
        </w:rPr>
        <w:t>№ 3428-</w:t>
      </w:r>
      <w:r w:rsidR="00FE7CF7" w:rsidRPr="001C14B0">
        <w:rPr>
          <w:rFonts w:ascii="Times New Roman" w:hAnsi="Times New Roman" w:cs="Times New Roman"/>
          <w:sz w:val="24"/>
          <w:szCs w:val="24"/>
          <w:lang w:val="en-US"/>
        </w:rPr>
        <w:t>IX</w:t>
      </w:r>
      <w:r w:rsidR="00FE7CF7" w:rsidRPr="001C14B0">
        <w:rPr>
          <w:rFonts w:ascii="Times New Roman" w:hAnsi="Times New Roman" w:cs="Times New Roman"/>
          <w:sz w:val="24"/>
          <w:szCs w:val="24"/>
          <w:lang w:val="uk-UA"/>
        </w:rPr>
        <w:t xml:space="preserve"> «</w:t>
      </w:r>
      <w:r w:rsidR="00857582" w:rsidRPr="001C14B0">
        <w:rPr>
          <w:rFonts w:ascii="Times New Roman" w:hAnsi="Times New Roman" w:cs="Times New Roman"/>
          <w:sz w:val="24"/>
          <w:szCs w:val="24"/>
          <w:lang w:val="uk-UA"/>
        </w:rPr>
        <w:t>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w:t>
      </w:r>
      <w:r w:rsidR="00FE7CF7" w:rsidRPr="001C14B0">
        <w:rPr>
          <w:rFonts w:ascii="Times New Roman" w:hAnsi="Times New Roman" w:cs="Times New Roman"/>
          <w:sz w:val="24"/>
          <w:szCs w:val="24"/>
          <w:lang w:val="uk-UA"/>
        </w:rPr>
        <w:t>»</w:t>
      </w:r>
      <w:r w:rsidR="00644C9E">
        <w:rPr>
          <w:rFonts w:ascii="Times New Roman" w:hAnsi="Times New Roman" w:cs="Times New Roman"/>
          <w:sz w:val="24"/>
          <w:szCs w:val="24"/>
          <w:lang w:val="uk-UA"/>
        </w:rPr>
        <w:t xml:space="preserve">. </w:t>
      </w:r>
      <w:r w:rsidR="00116E8E">
        <w:rPr>
          <w:rFonts w:ascii="Times New Roman" w:hAnsi="Times New Roman" w:cs="Times New Roman"/>
          <w:sz w:val="24"/>
          <w:szCs w:val="24"/>
          <w:highlight w:val="yellow"/>
          <w:lang w:val="uk-UA"/>
        </w:rPr>
        <w:t xml:space="preserve"> </w:t>
      </w:r>
    </w:p>
    <w:p w:rsidR="002A5069" w:rsidRPr="00F51260" w:rsidRDefault="000E2C33" w:rsidP="002A5069">
      <w:pPr>
        <w:spacing w:after="0" w:line="240" w:lineRule="auto"/>
        <w:ind w:firstLine="567"/>
        <w:jc w:val="both"/>
        <w:rPr>
          <w:rFonts w:ascii="Times New Roman" w:hAnsi="Times New Roman" w:cs="Times New Roman"/>
          <w:sz w:val="24"/>
          <w:szCs w:val="24"/>
          <w:lang w:val="uk-UA"/>
        </w:rPr>
      </w:pPr>
      <w:r w:rsidRPr="00C6093A">
        <w:rPr>
          <w:rFonts w:ascii="Times New Roman" w:hAnsi="Times New Roman" w:cs="Times New Roman"/>
          <w:sz w:val="24"/>
          <w:szCs w:val="24"/>
          <w:lang w:val="uk-UA"/>
        </w:rPr>
        <w:t xml:space="preserve"> </w:t>
      </w:r>
      <w:r w:rsidR="002A5069" w:rsidRPr="00C6093A">
        <w:rPr>
          <w:rFonts w:ascii="Times New Roman" w:hAnsi="Times New Roman" w:cs="Times New Roman"/>
          <w:sz w:val="24"/>
          <w:szCs w:val="24"/>
          <w:lang w:val="uk-UA"/>
        </w:rPr>
        <w:t>В</w:t>
      </w:r>
      <w:r w:rsidR="002A5069" w:rsidRPr="00F51260">
        <w:rPr>
          <w:rFonts w:ascii="Times New Roman" w:hAnsi="Times New Roman" w:cs="Times New Roman"/>
          <w:sz w:val="24"/>
          <w:szCs w:val="24"/>
          <w:lang w:val="uk-UA"/>
        </w:rPr>
        <w:t xml:space="preserve"> структурі надходжень цього податку 97,6 % займає податок на доходи фізичних осіб, що сплачується податковими агентами, із доходів платника податку у вигляді заробітної плати. Кількість платників на 01.12.2023р. складає 1 200 осіб, з них юридичних   осіб - 825,  фізичних - 375 осіб.</w:t>
      </w:r>
    </w:p>
    <w:p w:rsidR="002A5069" w:rsidRPr="00F51260" w:rsidRDefault="002A5069" w:rsidP="002A5069">
      <w:pPr>
        <w:spacing w:after="0" w:line="240" w:lineRule="auto"/>
        <w:ind w:firstLine="567"/>
        <w:jc w:val="both"/>
        <w:rPr>
          <w:rFonts w:ascii="Times New Roman" w:hAnsi="Times New Roman" w:cs="Times New Roman"/>
          <w:b/>
          <w:lang w:val="uk-UA"/>
        </w:rPr>
      </w:pPr>
    </w:p>
    <w:p w:rsidR="002A5069" w:rsidRPr="00F51260" w:rsidRDefault="002A5069" w:rsidP="002A5069">
      <w:pPr>
        <w:spacing w:after="0"/>
        <w:jc w:val="center"/>
        <w:rPr>
          <w:rFonts w:ascii="Times New Roman" w:hAnsi="Times New Roman" w:cs="Times New Roman"/>
          <w:b/>
          <w:sz w:val="28"/>
          <w:szCs w:val="28"/>
          <w:lang w:val="uk-UA"/>
        </w:rPr>
      </w:pPr>
      <w:r w:rsidRPr="00F51260">
        <w:rPr>
          <w:rFonts w:ascii="Times New Roman" w:hAnsi="Times New Roman" w:cs="Times New Roman"/>
          <w:b/>
          <w:sz w:val="28"/>
          <w:szCs w:val="28"/>
          <w:lang w:val="uk-UA"/>
        </w:rPr>
        <w:t>Розрахунок надходжень податку на доходи в розрізі кодів класифікації доходів бюджету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276"/>
        <w:gridCol w:w="1276"/>
        <w:gridCol w:w="1134"/>
        <w:gridCol w:w="1275"/>
        <w:gridCol w:w="1134"/>
      </w:tblGrid>
      <w:tr w:rsidR="002A5069" w:rsidRPr="00F51260" w:rsidTr="002A5069">
        <w:tc>
          <w:tcPr>
            <w:tcW w:w="3652" w:type="dxa"/>
            <w:vAlign w:val="center"/>
          </w:tcPr>
          <w:p w:rsidR="002A5069" w:rsidRPr="00F51260" w:rsidRDefault="002A5069" w:rsidP="002A5069">
            <w:pPr>
              <w:spacing w:after="0" w:line="240" w:lineRule="auto"/>
              <w:jc w:val="center"/>
              <w:rPr>
                <w:rFonts w:ascii="Times New Roman" w:hAnsi="Times New Roman" w:cs="Times New Roman"/>
                <w:b/>
                <w:sz w:val="20"/>
                <w:szCs w:val="20"/>
                <w:lang w:val="uk-UA"/>
              </w:rPr>
            </w:pPr>
            <w:r w:rsidRPr="00F51260">
              <w:rPr>
                <w:rFonts w:ascii="Times New Roman" w:hAnsi="Times New Roman" w:cs="Times New Roman"/>
                <w:b/>
                <w:sz w:val="20"/>
                <w:szCs w:val="20"/>
                <w:lang w:val="uk-UA"/>
              </w:rPr>
              <w:t xml:space="preserve">Код бюджетної класифікації </w:t>
            </w:r>
          </w:p>
          <w:p w:rsidR="002A5069" w:rsidRPr="00F51260" w:rsidRDefault="002A5069" w:rsidP="002A5069">
            <w:pPr>
              <w:spacing w:after="0" w:line="240" w:lineRule="auto"/>
              <w:jc w:val="center"/>
              <w:rPr>
                <w:rFonts w:ascii="Times New Roman" w:hAnsi="Times New Roman" w:cs="Times New Roman"/>
                <w:b/>
                <w:sz w:val="20"/>
                <w:szCs w:val="20"/>
                <w:lang w:val="uk-UA"/>
              </w:rPr>
            </w:pPr>
            <w:r w:rsidRPr="00F51260">
              <w:rPr>
                <w:rFonts w:ascii="Times New Roman" w:hAnsi="Times New Roman" w:cs="Times New Roman"/>
                <w:b/>
                <w:sz w:val="20"/>
                <w:szCs w:val="20"/>
                <w:lang w:val="uk-UA"/>
              </w:rPr>
              <w:t>доходів бюджету</w:t>
            </w:r>
          </w:p>
        </w:tc>
        <w:tc>
          <w:tcPr>
            <w:tcW w:w="1276" w:type="dxa"/>
            <w:vAlign w:val="center"/>
          </w:tcPr>
          <w:p w:rsidR="002A5069" w:rsidRPr="00F51260" w:rsidRDefault="002A5069" w:rsidP="002A5069">
            <w:pPr>
              <w:spacing w:after="0" w:line="240" w:lineRule="auto"/>
              <w:jc w:val="center"/>
              <w:rPr>
                <w:rFonts w:ascii="Times New Roman" w:hAnsi="Times New Roman" w:cs="Times New Roman"/>
                <w:b/>
                <w:sz w:val="18"/>
                <w:szCs w:val="18"/>
                <w:lang w:val="uk-UA"/>
              </w:rPr>
            </w:pPr>
            <w:r w:rsidRPr="00F51260">
              <w:rPr>
                <w:rFonts w:ascii="Times New Roman" w:hAnsi="Times New Roman" w:cs="Times New Roman"/>
                <w:b/>
                <w:sz w:val="18"/>
                <w:szCs w:val="18"/>
                <w:lang w:val="uk-UA"/>
              </w:rPr>
              <w:t xml:space="preserve">Факт 2022 року, </w:t>
            </w:r>
          </w:p>
          <w:p w:rsidR="002A5069" w:rsidRPr="00F51260" w:rsidRDefault="002A5069" w:rsidP="002A5069">
            <w:pPr>
              <w:spacing w:after="0" w:line="240" w:lineRule="auto"/>
              <w:jc w:val="center"/>
              <w:rPr>
                <w:rFonts w:ascii="Times New Roman" w:hAnsi="Times New Roman" w:cs="Times New Roman"/>
                <w:b/>
                <w:sz w:val="18"/>
                <w:szCs w:val="18"/>
                <w:lang w:val="uk-UA"/>
              </w:rPr>
            </w:pPr>
            <w:r w:rsidRPr="00F51260">
              <w:rPr>
                <w:rFonts w:ascii="Times New Roman" w:hAnsi="Times New Roman" w:cs="Times New Roman"/>
                <w:b/>
                <w:sz w:val="18"/>
                <w:szCs w:val="18"/>
                <w:lang w:val="uk-UA"/>
              </w:rPr>
              <w:t xml:space="preserve">тис. грн. </w:t>
            </w:r>
            <w:r w:rsidRPr="00F51260">
              <w:rPr>
                <w:rFonts w:ascii="Times New Roman" w:hAnsi="Times New Roman" w:cs="Times New Roman"/>
                <w:b/>
                <w:sz w:val="18"/>
                <w:szCs w:val="18"/>
                <w:u w:val="single"/>
                <w:lang w:val="uk-UA"/>
              </w:rPr>
              <w:t>(в контингенті)</w:t>
            </w:r>
          </w:p>
        </w:tc>
        <w:tc>
          <w:tcPr>
            <w:tcW w:w="1276" w:type="dxa"/>
            <w:vAlign w:val="center"/>
          </w:tcPr>
          <w:p w:rsidR="002A5069" w:rsidRPr="00F51260" w:rsidRDefault="002A5069" w:rsidP="002A5069">
            <w:pPr>
              <w:spacing w:after="0" w:line="240" w:lineRule="auto"/>
              <w:jc w:val="center"/>
              <w:rPr>
                <w:rFonts w:ascii="Times New Roman" w:hAnsi="Times New Roman" w:cs="Times New Roman"/>
                <w:b/>
                <w:sz w:val="18"/>
                <w:szCs w:val="18"/>
                <w:lang w:val="uk-UA"/>
              </w:rPr>
            </w:pPr>
            <w:r w:rsidRPr="00F51260">
              <w:rPr>
                <w:rFonts w:ascii="Times New Roman" w:hAnsi="Times New Roman" w:cs="Times New Roman"/>
                <w:b/>
                <w:sz w:val="18"/>
                <w:szCs w:val="18"/>
                <w:lang w:val="uk-UA"/>
              </w:rPr>
              <w:t xml:space="preserve">Очікуваний факт 2023 року, </w:t>
            </w:r>
          </w:p>
          <w:p w:rsidR="002A5069" w:rsidRPr="00F51260" w:rsidRDefault="002A5069" w:rsidP="002A5069">
            <w:pPr>
              <w:spacing w:after="0" w:line="240" w:lineRule="auto"/>
              <w:jc w:val="center"/>
              <w:rPr>
                <w:rFonts w:ascii="Times New Roman" w:hAnsi="Times New Roman" w:cs="Times New Roman"/>
                <w:b/>
                <w:sz w:val="18"/>
                <w:szCs w:val="18"/>
                <w:lang w:val="uk-UA"/>
              </w:rPr>
            </w:pPr>
            <w:r w:rsidRPr="00F51260">
              <w:rPr>
                <w:rFonts w:ascii="Times New Roman" w:hAnsi="Times New Roman" w:cs="Times New Roman"/>
                <w:b/>
                <w:sz w:val="18"/>
                <w:szCs w:val="18"/>
                <w:lang w:val="uk-UA"/>
              </w:rPr>
              <w:t xml:space="preserve">тис. грн. </w:t>
            </w:r>
            <w:r w:rsidRPr="00F51260">
              <w:rPr>
                <w:rFonts w:ascii="Times New Roman" w:hAnsi="Times New Roman" w:cs="Times New Roman"/>
                <w:b/>
                <w:sz w:val="18"/>
                <w:szCs w:val="18"/>
                <w:u w:val="single"/>
                <w:lang w:val="uk-UA"/>
              </w:rPr>
              <w:t>(в контингенті</w:t>
            </w:r>
            <w:r w:rsidRPr="00F51260">
              <w:rPr>
                <w:rFonts w:ascii="Times New Roman" w:hAnsi="Times New Roman" w:cs="Times New Roman"/>
                <w:b/>
                <w:sz w:val="18"/>
                <w:szCs w:val="18"/>
                <w:lang w:val="uk-UA"/>
              </w:rPr>
              <w:t>)</w:t>
            </w:r>
          </w:p>
        </w:tc>
        <w:tc>
          <w:tcPr>
            <w:tcW w:w="1134" w:type="dxa"/>
            <w:vAlign w:val="center"/>
          </w:tcPr>
          <w:p w:rsidR="002A5069" w:rsidRPr="00F51260" w:rsidRDefault="002A5069" w:rsidP="002A5069">
            <w:pPr>
              <w:spacing w:after="0" w:line="240" w:lineRule="auto"/>
              <w:jc w:val="center"/>
              <w:rPr>
                <w:rFonts w:ascii="Times New Roman" w:hAnsi="Times New Roman" w:cs="Times New Roman"/>
                <w:b/>
                <w:i/>
                <w:sz w:val="20"/>
                <w:szCs w:val="20"/>
                <w:lang w:val="uk-UA"/>
              </w:rPr>
            </w:pPr>
            <w:r w:rsidRPr="00F51260">
              <w:rPr>
                <w:rFonts w:ascii="Times New Roman" w:hAnsi="Times New Roman" w:cs="Times New Roman"/>
                <w:b/>
                <w:i/>
                <w:sz w:val="20"/>
                <w:szCs w:val="20"/>
                <w:lang w:val="uk-UA"/>
              </w:rPr>
              <w:t>Темп росту</w:t>
            </w:r>
          </w:p>
          <w:p w:rsidR="002A5069" w:rsidRPr="00F51260" w:rsidRDefault="002A5069" w:rsidP="002A5069">
            <w:pPr>
              <w:spacing w:after="0" w:line="240" w:lineRule="auto"/>
              <w:jc w:val="center"/>
              <w:rPr>
                <w:rFonts w:ascii="Times New Roman" w:hAnsi="Times New Roman" w:cs="Times New Roman"/>
                <w:b/>
                <w:i/>
                <w:sz w:val="20"/>
                <w:szCs w:val="20"/>
                <w:lang w:val="uk-UA"/>
              </w:rPr>
            </w:pPr>
            <w:r w:rsidRPr="00F51260">
              <w:rPr>
                <w:rFonts w:ascii="Times New Roman" w:hAnsi="Times New Roman" w:cs="Times New Roman"/>
                <w:b/>
                <w:i/>
                <w:sz w:val="20"/>
                <w:szCs w:val="20"/>
                <w:lang w:val="uk-UA"/>
              </w:rPr>
              <w:t>2023/</w:t>
            </w:r>
          </w:p>
          <w:p w:rsidR="002A5069" w:rsidRPr="00F51260" w:rsidRDefault="002A5069" w:rsidP="002A5069">
            <w:pPr>
              <w:spacing w:after="0" w:line="240" w:lineRule="auto"/>
              <w:jc w:val="center"/>
              <w:rPr>
                <w:rFonts w:ascii="Times New Roman" w:hAnsi="Times New Roman" w:cs="Times New Roman"/>
                <w:b/>
                <w:i/>
                <w:sz w:val="20"/>
                <w:szCs w:val="20"/>
                <w:lang w:val="uk-UA"/>
              </w:rPr>
            </w:pPr>
            <w:r w:rsidRPr="00F51260">
              <w:rPr>
                <w:rFonts w:ascii="Times New Roman" w:hAnsi="Times New Roman" w:cs="Times New Roman"/>
                <w:b/>
                <w:i/>
                <w:sz w:val="20"/>
                <w:szCs w:val="20"/>
                <w:lang w:val="uk-UA"/>
              </w:rPr>
              <w:t>2022</w:t>
            </w:r>
          </w:p>
        </w:tc>
        <w:tc>
          <w:tcPr>
            <w:tcW w:w="1275" w:type="dxa"/>
            <w:vAlign w:val="center"/>
          </w:tcPr>
          <w:p w:rsidR="002A5069" w:rsidRPr="00F51260" w:rsidRDefault="002A5069" w:rsidP="002A5069">
            <w:pPr>
              <w:spacing w:after="0" w:line="240" w:lineRule="auto"/>
              <w:jc w:val="center"/>
              <w:rPr>
                <w:rFonts w:ascii="Times New Roman" w:hAnsi="Times New Roman" w:cs="Times New Roman"/>
                <w:b/>
                <w:sz w:val="18"/>
                <w:szCs w:val="18"/>
                <w:lang w:val="uk-UA"/>
              </w:rPr>
            </w:pPr>
            <w:r w:rsidRPr="00F51260">
              <w:rPr>
                <w:rFonts w:ascii="Times New Roman" w:hAnsi="Times New Roman" w:cs="Times New Roman"/>
                <w:b/>
                <w:sz w:val="18"/>
                <w:szCs w:val="18"/>
                <w:lang w:val="uk-UA"/>
              </w:rPr>
              <w:t xml:space="preserve">Прогноз 2024 року, </w:t>
            </w:r>
          </w:p>
          <w:p w:rsidR="002A5069" w:rsidRPr="00F51260" w:rsidRDefault="002A5069" w:rsidP="002A5069">
            <w:pPr>
              <w:spacing w:after="0" w:line="240" w:lineRule="auto"/>
              <w:jc w:val="center"/>
              <w:rPr>
                <w:rFonts w:ascii="Times New Roman" w:hAnsi="Times New Roman" w:cs="Times New Roman"/>
                <w:b/>
                <w:sz w:val="18"/>
                <w:szCs w:val="18"/>
                <w:lang w:val="uk-UA"/>
              </w:rPr>
            </w:pPr>
            <w:r w:rsidRPr="00F51260">
              <w:rPr>
                <w:rFonts w:ascii="Times New Roman" w:hAnsi="Times New Roman" w:cs="Times New Roman"/>
                <w:b/>
                <w:sz w:val="18"/>
                <w:szCs w:val="18"/>
                <w:lang w:val="uk-UA"/>
              </w:rPr>
              <w:t xml:space="preserve">тис. грн. </w:t>
            </w:r>
            <w:r w:rsidRPr="00F51260">
              <w:rPr>
                <w:rFonts w:ascii="Times New Roman" w:hAnsi="Times New Roman" w:cs="Times New Roman"/>
                <w:b/>
                <w:sz w:val="18"/>
                <w:szCs w:val="18"/>
                <w:u w:val="single"/>
                <w:lang w:val="uk-UA"/>
              </w:rPr>
              <w:t>(в контингенті)</w:t>
            </w:r>
          </w:p>
        </w:tc>
        <w:tc>
          <w:tcPr>
            <w:tcW w:w="1134" w:type="dxa"/>
            <w:shd w:val="clear" w:color="auto" w:fill="auto"/>
            <w:vAlign w:val="center"/>
          </w:tcPr>
          <w:p w:rsidR="002A5069" w:rsidRPr="00F51260" w:rsidRDefault="002A5069" w:rsidP="002A5069">
            <w:pPr>
              <w:spacing w:after="0" w:line="240" w:lineRule="auto"/>
              <w:jc w:val="center"/>
              <w:rPr>
                <w:rFonts w:ascii="Times New Roman" w:hAnsi="Times New Roman" w:cs="Times New Roman"/>
                <w:b/>
                <w:i/>
                <w:sz w:val="20"/>
                <w:szCs w:val="20"/>
                <w:lang w:val="uk-UA"/>
              </w:rPr>
            </w:pPr>
            <w:r w:rsidRPr="00F51260">
              <w:rPr>
                <w:rFonts w:ascii="Times New Roman" w:hAnsi="Times New Roman" w:cs="Times New Roman"/>
                <w:b/>
                <w:i/>
                <w:sz w:val="20"/>
                <w:szCs w:val="20"/>
                <w:lang w:val="uk-UA"/>
              </w:rPr>
              <w:t>Темп росту 2024/</w:t>
            </w:r>
          </w:p>
          <w:p w:rsidR="002A5069" w:rsidRPr="00F51260" w:rsidRDefault="002A5069" w:rsidP="002A5069">
            <w:pPr>
              <w:spacing w:after="0" w:line="240" w:lineRule="auto"/>
              <w:jc w:val="center"/>
              <w:rPr>
                <w:rFonts w:ascii="Times New Roman" w:hAnsi="Times New Roman" w:cs="Times New Roman"/>
                <w:b/>
                <w:i/>
                <w:sz w:val="20"/>
                <w:szCs w:val="20"/>
                <w:lang w:val="uk-UA"/>
              </w:rPr>
            </w:pPr>
            <w:r w:rsidRPr="00F51260">
              <w:rPr>
                <w:rFonts w:ascii="Times New Roman" w:hAnsi="Times New Roman" w:cs="Times New Roman"/>
                <w:b/>
                <w:i/>
                <w:sz w:val="20"/>
                <w:szCs w:val="20"/>
                <w:lang w:val="uk-UA"/>
              </w:rPr>
              <w:t>2023</w:t>
            </w:r>
          </w:p>
        </w:tc>
      </w:tr>
      <w:tr w:rsidR="002A5069" w:rsidRPr="00F51260" w:rsidTr="002A5069">
        <w:trPr>
          <w:trHeight w:val="1120"/>
        </w:trPr>
        <w:tc>
          <w:tcPr>
            <w:tcW w:w="3652" w:type="dxa"/>
          </w:tcPr>
          <w:p w:rsidR="002A5069" w:rsidRPr="00F51260" w:rsidRDefault="002A5069" w:rsidP="002A5069">
            <w:pPr>
              <w:spacing w:after="0" w:line="240" w:lineRule="auto"/>
              <w:jc w:val="both"/>
              <w:rPr>
                <w:rFonts w:ascii="Times New Roman" w:hAnsi="Times New Roman" w:cs="Times New Roman"/>
                <w:sz w:val="20"/>
                <w:szCs w:val="20"/>
                <w:lang w:val="uk-UA"/>
              </w:rPr>
            </w:pPr>
            <w:r w:rsidRPr="00F51260">
              <w:rPr>
                <w:rFonts w:ascii="Times New Roman" w:hAnsi="Times New Roman" w:cs="Times New Roman"/>
                <w:b/>
                <w:sz w:val="20"/>
                <w:szCs w:val="20"/>
                <w:lang w:val="uk-UA"/>
              </w:rPr>
              <w:t>11010100</w:t>
            </w:r>
            <w:r w:rsidRPr="00F51260">
              <w:rPr>
                <w:rFonts w:ascii="Times New Roman" w:hAnsi="Times New Roman" w:cs="Times New Roman"/>
                <w:sz w:val="20"/>
                <w:szCs w:val="20"/>
                <w:lang w:val="uk-UA"/>
              </w:rPr>
              <w:t xml:space="preserve"> «Податок на доходи фізичних осіб, що сплачується податковими агентами, із доходів платника податку у вигляді заробітної плати»</w:t>
            </w:r>
          </w:p>
        </w:tc>
        <w:tc>
          <w:tcPr>
            <w:tcW w:w="1276" w:type="dxa"/>
          </w:tcPr>
          <w:p w:rsidR="002A5069" w:rsidRPr="00F51260" w:rsidRDefault="002A5069" w:rsidP="002A5069">
            <w:pPr>
              <w:jc w:val="both"/>
              <w:rPr>
                <w:rFonts w:ascii="Times New Roman" w:hAnsi="Times New Roman" w:cs="Times New Roman"/>
                <w:sz w:val="24"/>
                <w:szCs w:val="24"/>
                <w:lang w:val="uk-UA"/>
              </w:rPr>
            </w:pPr>
            <w:r w:rsidRPr="00F51260">
              <w:rPr>
                <w:rFonts w:ascii="Times New Roman" w:hAnsi="Times New Roman" w:cs="Times New Roman"/>
                <w:sz w:val="24"/>
                <w:szCs w:val="24"/>
                <w:lang w:val="uk-UA"/>
              </w:rPr>
              <w:t>550 308,4</w:t>
            </w:r>
          </w:p>
        </w:tc>
        <w:tc>
          <w:tcPr>
            <w:tcW w:w="1276" w:type="dxa"/>
          </w:tcPr>
          <w:p w:rsidR="002A5069" w:rsidRPr="00F51260" w:rsidRDefault="002A5069" w:rsidP="002A5069">
            <w:pPr>
              <w:jc w:val="both"/>
              <w:rPr>
                <w:rFonts w:ascii="Times New Roman" w:hAnsi="Times New Roman" w:cs="Times New Roman"/>
                <w:sz w:val="24"/>
                <w:szCs w:val="24"/>
                <w:lang w:val="uk-UA"/>
              </w:rPr>
            </w:pPr>
            <w:r w:rsidRPr="00F51260">
              <w:rPr>
                <w:rFonts w:ascii="Times New Roman" w:hAnsi="Times New Roman" w:cs="Times New Roman"/>
                <w:sz w:val="24"/>
                <w:szCs w:val="24"/>
                <w:lang w:val="uk-UA"/>
              </w:rPr>
              <w:t>623 914,8</w:t>
            </w:r>
          </w:p>
        </w:tc>
        <w:tc>
          <w:tcPr>
            <w:tcW w:w="1134" w:type="dxa"/>
          </w:tcPr>
          <w:p w:rsidR="002A5069" w:rsidRPr="00F51260" w:rsidRDefault="002A5069" w:rsidP="002A5069">
            <w:pPr>
              <w:ind w:hanging="80"/>
              <w:jc w:val="both"/>
              <w:rPr>
                <w:rFonts w:ascii="Times New Roman" w:hAnsi="Times New Roman" w:cs="Times New Roman"/>
                <w:i/>
                <w:lang w:val="uk-UA"/>
              </w:rPr>
            </w:pPr>
            <w:r w:rsidRPr="00F51260">
              <w:rPr>
                <w:rFonts w:ascii="Times New Roman" w:hAnsi="Times New Roman" w:cs="Times New Roman"/>
                <w:i/>
                <w:lang w:val="uk-UA"/>
              </w:rPr>
              <w:t xml:space="preserve">   113,4 %</w:t>
            </w:r>
          </w:p>
        </w:tc>
        <w:tc>
          <w:tcPr>
            <w:tcW w:w="1275" w:type="dxa"/>
          </w:tcPr>
          <w:p w:rsidR="002A5069" w:rsidRPr="00F51260" w:rsidRDefault="002A5069" w:rsidP="002A5069">
            <w:pPr>
              <w:rPr>
                <w:rFonts w:ascii="Times New Roman" w:hAnsi="Times New Roman" w:cs="Times New Roman"/>
                <w:sz w:val="24"/>
                <w:szCs w:val="24"/>
                <w:lang w:val="uk-UA"/>
              </w:rPr>
            </w:pPr>
            <w:r w:rsidRPr="00F51260">
              <w:rPr>
                <w:rFonts w:ascii="Times New Roman" w:hAnsi="Times New Roman" w:cs="Times New Roman"/>
                <w:sz w:val="24"/>
                <w:szCs w:val="24"/>
                <w:lang w:val="uk-UA"/>
              </w:rPr>
              <w:t>684 375,0</w:t>
            </w:r>
          </w:p>
        </w:tc>
        <w:tc>
          <w:tcPr>
            <w:tcW w:w="1134" w:type="dxa"/>
          </w:tcPr>
          <w:p w:rsidR="002A5069" w:rsidRPr="00F51260" w:rsidRDefault="002A5069" w:rsidP="002A5069">
            <w:pPr>
              <w:jc w:val="center"/>
              <w:rPr>
                <w:rFonts w:ascii="Times New Roman" w:hAnsi="Times New Roman" w:cs="Times New Roman"/>
                <w:i/>
                <w:sz w:val="24"/>
                <w:szCs w:val="24"/>
                <w:lang w:val="uk-UA"/>
              </w:rPr>
            </w:pPr>
            <w:r w:rsidRPr="00F51260">
              <w:rPr>
                <w:rFonts w:ascii="Times New Roman" w:hAnsi="Times New Roman" w:cs="Times New Roman"/>
                <w:i/>
                <w:sz w:val="24"/>
                <w:szCs w:val="24"/>
                <w:lang w:val="uk-UA"/>
              </w:rPr>
              <w:t>109,7 %</w:t>
            </w:r>
          </w:p>
        </w:tc>
      </w:tr>
      <w:tr w:rsidR="002A5069" w:rsidRPr="00F51260" w:rsidTr="002A5069">
        <w:trPr>
          <w:trHeight w:val="1635"/>
        </w:trPr>
        <w:tc>
          <w:tcPr>
            <w:tcW w:w="3652" w:type="dxa"/>
          </w:tcPr>
          <w:p w:rsidR="002A5069" w:rsidRPr="00F51260" w:rsidRDefault="002A5069" w:rsidP="002A5069">
            <w:pPr>
              <w:spacing w:line="240" w:lineRule="auto"/>
              <w:jc w:val="both"/>
              <w:rPr>
                <w:rFonts w:ascii="Times New Roman" w:hAnsi="Times New Roman" w:cs="Times New Roman"/>
                <w:sz w:val="20"/>
                <w:szCs w:val="20"/>
                <w:lang w:val="uk-UA"/>
              </w:rPr>
            </w:pPr>
            <w:r w:rsidRPr="00F51260">
              <w:rPr>
                <w:rFonts w:ascii="Times New Roman" w:hAnsi="Times New Roman" w:cs="Times New Roman"/>
                <w:b/>
                <w:sz w:val="20"/>
                <w:szCs w:val="20"/>
                <w:lang w:val="uk-UA"/>
              </w:rPr>
              <w:t>11010200</w:t>
            </w:r>
            <w:r w:rsidRPr="00F51260">
              <w:rPr>
                <w:rFonts w:ascii="Times New Roman" w:hAnsi="Times New Roman" w:cs="Times New Roman"/>
                <w:sz w:val="20"/>
                <w:szCs w:val="20"/>
                <w:lang w:val="uk-UA"/>
              </w:rPr>
              <w:t xml:space="preserve">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tc>
        <w:tc>
          <w:tcPr>
            <w:tcW w:w="1276" w:type="dxa"/>
          </w:tcPr>
          <w:p w:rsidR="002A5069" w:rsidRPr="00F51260" w:rsidRDefault="002A5069" w:rsidP="002A5069">
            <w:pPr>
              <w:jc w:val="both"/>
              <w:rPr>
                <w:rFonts w:ascii="Times New Roman" w:hAnsi="Times New Roman" w:cs="Times New Roman"/>
                <w:sz w:val="24"/>
                <w:szCs w:val="24"/>
                <w:lang w:val="uk-UA"/>
              </w:rPr>
            </w:pPr>
            <w:r w:rsidRPr="00F51260">
              <w:rPr>
                <w:rFonts w:ascii="Times New Roman" w:hAnsi="Times New Roman" w:cs="Times New Roman"/>
                <w:sz w:val="24"/>
                <w:szCs w:val="24"/>
                <w:lang w:val="uk-UA"/>
              </w:rPr>
              <w:t>151 438,2</w:t>
            </w:r>
          </w:p>
        </w:tc>
        <w:tc>
          <w:tcPr>
            <w:tcW w:w="1276" w:type="dxa"/>
          </w:tcPr>
          <w:p w:rsidR="002A5069" w:rsidRPr="00F51260" w:rsidRDefault="002A5069" w:rsidP="002A5069">
            <w:pPr>
              <w:jc w:val="both"/>
              <w:rPr>
                <w:rFonts w:ascii="Times New Roman" w:hAnsi="Times New Roman" w:cs="Times New Roman"/>
                <w:sz w:val="24"/>
                <w:szCs w:val="24"/>
                <w:lang w:val="uk-UA"/>
              </w:rPr>
            </w:pPr>
            <w:r w:rsidRPr="00F51260">
              <w:rPr>
                <w:rFonts w:ascii="Times New Roman" w:hAnsi="Times New Roman" w:cs="Times New Roman"/>
                <w:sz w:val="24"/>
                <w:szCs w:val="24"/>
                <w:lang w:val="uk-UA"/>
              </w:rPr>
              <w:t>313 518,2</w:t>
            </w:r>
          </w:p>
          <w:p w:rsidR="002A5069" w:rsidRPr="00F51260" w:rsidRDefault="002A5069" w:rsidP="002A5069">
            <w:pPr>
              <w:jc w:val="both"/>
              <w:rPr>
                <w:rFonts w:ascii="Times New Roman" w:hAnsi="Times New Roman" w:cs="Times New Roman"/>
                <w:sz w:val="24"/>
                <w:szCs w:val="24"/>
                <w:lang w:val="uk-UA"/>
              </w:rPr>
            </w:pPr>
          </w:p>
        </w:tc>
        <w:tc>
          <w:tcPr>
            <w:tcW w:w="1134" w:type="dxa"/>
          </w:tcPr>
          <w:p w:rsidR="002A5069" w:rsidRPr="00F51260" w:rsidRDefault="002A5069" w:rsidP="002A5069">
            <w:pPr>
              <w:ind w:left="-80"/>
              <w:jc w:val="both"/>
              <w:rPr>
                <w:rFonts w:ascii="Times New Roman" w:hAnsi="Times New Roman" w:cs="Times New Roman"/>
                <w:i/>
                <w:sz w:val="24"/>
                <w:szCs w:val="24"/>
                <w:lang w:val="uk-UA"/>
              </w:rPr>
            </w:pPr>
            <w:r w:rsidRPr="00F51260">
              <w:rPr>
                <w:rFonts w:ascii="Times New Roman" w:hAnsi="Times New Roman" w:cs="Times New Roman"/>
                <w:i/>
                <w:sz w:val="24"/>
                <w:szCs w:val="24"/>
                <w:lang w:val="uk-UA"/>
              </w:rPr>
              <w:t xml:space="preserve">  у 2 рази</w:t>
            </w:r>
          </w:p>
        </w:tc>
        <w:tc>
          <w:tcPr>
            <w:tcW w:w="1275" w:type="dxa"/>
          </w:tcPr>
          <w:p w:rsidR="002A5069" w:rsidRPr="00F51260" w:rsidRDefault="002A5069" w:rsidP="002A5069">
            <w:pPr>
              <w:jc w:val="center"/>
              <w:rPr>
                <w:rFonts w:ascii="Times New Roman" w:hAnsi="Times New Roman" w:cs="Times New Roman"/>
                <w:sz w:val="24"/>
                <w:szCs w:val="24"/>
                <w:lang w:val="uk-UA"/>
              </w:rPr>
            </w:pPr>
            <w:r w:rsidRPr="00F51260">
              <w:rPr>
                <w:rFonts w:ascii="Times New Roman" w:hAnsi="Times New Roman" w:cs="Times New Roman"/>
                <w:sz w:val="24"/>
                <w:szCs w:val="24"/>
                <w:lang w:val="uk-UA"/>
              </w:rPr>
              <w:t>0,0</w:t>
            </w:r>
          </w:p>
          <w:p w:rsidR="002A5069" w:rsidRPr="00F51260" w:rsidRDefault="002A5069" w:rsidP="002A5069">
            <w:pPr>
              <w:jc w:val="center"/>
              <w:rPr>
                <w:rFonts w:ascii="Times New Roman" w:hAnsi="Times New Roman" w:cs="Times New Roman"/>
                <w:sz w:val="24"/>
                <w:szCs w:val="24"/>
                <w:lang w:val="uk-UA"/>
              </w:rPr>
            </w:pPr>
          </w:p>
        </w:tc>
        <w:tc>
          <w:tcPr>
            <w:tcW w:w="1134" w:type="dxa"/>
          </w:tcPr>
          <w:p w:rsidR="002A5069" w:rsidRPr="00F51260" w:rsidRDefault="002A5069" w:rsidP="002A5069">
            <w:pPr>
              <w:jc w:val="both"/>
              <w:rPr>
                <w:rFonts w:ascii="Times New Roman" w:hAnsi="Times New Roman" w:cs="Times New Roman"/>
                <w:i/>
                <w:sz w:val="24"/>
                <w:szCs w:val="24"/>
                <w:lang w:val="uk-UA"/>
              </w:rPr>
            </w:pPr>
            <w:r w:rsidRPr="00F51260">
              <w:rPr>
                <w:rFonts w:ascii="Times New Roman" w:hAnsi="Times New Roman" w:cs="Times New Roman"/>
                <w:i/>
                <w:sz w:val="24"/>
                <w:szCs w:val="24"/>
                <w:lang w:val="uk-UA"/>
              </w:rPr>
              <w:t xml:space="preserve">  0 %</w:t>
            </w:r>
          </w:p>
        </w:tc>
      </w:tr>
      <w:tr w:rsidR="002A5069" w:rsidRPr="00F51260" w:rsidTr="002A5069">
        <w:trPr>
          <w:trHeight w:val="952"/>
        </w:trPr>
        <w:tc>
          <w:tcPr>
            <w:tcW w:w="3652" w:type="dxa"/>
          </w:tcPr>
          <w:p w:rsidR="002A5069" w:rsidRPr="00F51260" w:rsidRDefault="002A5069" w:rsidP="002A5069">
            <w:pPr>
              <w:spacing w:line="240" w:lineRule="auto"/>
              <w:jc w:val="both"/>
              <w:rPr>
                <w:rFonts w:ascii="Times New Roman" w:hAnsi="Times New Roman" w:cs="Times New Roman"/>
                <w:sz w:val="20"/>
                <w:szCs w:val="20"/>
                <w:lang w:val="uk-UA"/>
              </w:rPr>
            </w:pPr>
            <w:r w:rsidRPr="00F51260">
              <w:rPr>
                <w:rFonts w:ascii="Times New Roman" w:hAnsi="Times New Roman" w:cs="Times New Roman"/>
                <w:b/>
                <w:sz w:val="20"/>
                <w:szCs w:val="20"/>
                <w:lang w:val="uk-UA"/>
              </w:rPr>
              <w:t>11010400</w:t>
            </w:r>
            <w:r w:rsidRPr="00F51260">
              <w:rPr>
                <w:rFonts w:ascii="Times New Roman" w:hAnsi="Times New Roman" w:cs="Times New Roman"/>
                <w:sz w:val="20"/>
                <w:szCs w:val="20"/>
                <w:lang w:val="uk-UA"/>
              </w:rPr>
              <w:t xml:space="preserve"> «Податок на доходи фізичних осіб, що сплачується податковими агентами, із доходів платника податку інших ніж заробітна плата»</w:t>
            </w:r>
          </w:p>
        </w:tc>
        <w:tc>
          <w:tcPr>
            <w:tcW w:w="1276" w:type="dxa"/>
          </w:tcPr>
          <w:p w:rsidR="002A5069" w:rsidRPr="00F51260" w:rsidRDefault="002A5069" w:rsidP="002A5069">
            <w:pPr>
              <w:jc w:val="both"/>
              <w:rPr>
                <w:rFonts w:ascii="Times New Roman" w:hAnsi="Times New Roman" w:cs="Times New Roman"/>
                <w:sz w:val="24"/>
                <w:szCs w:val="24"/>
                <w:lang w:val="uk-UA"/>
              </w:rPr>
            </w:pPr>
            <w:r w:rsidRPr="00F51260">
              <w:rPr>
                <w:rFonts w:ascii="Times New Roman" w:hAnsi="Times New Roman" w:cs="Times New Roman"/>
                <w:sz w:val="24"/>
                <w:szCs w:val="24"/>
                <w:lang w:val="uk-UA"/>
              </w:rPr>
              <w:t>7 539,2</w:t>
            </w:r>
          </w:p>
        </w:tc>
        <w:tc>
          <w:tcPr>
            <w:tcW w:w="1276" w:type="dxa"/>
          </w:tcPr>
          <w:p w:rsidR="002A5069" w:rsidRPr="00F51260" w:rsidRDefault="002A5069" w:rsidP="007C156B">
            <w:pPr>
              <w:jc w:val="both"/>
              <w:rPr>
                <w:rFonts w:ascii="Times New Roman" w:hAnsi="Times New Roman" w:cs="Times New Roman"/>
                <w:sz w:val="24"/>
                <w:szCs w:val="24"/>
                <w:lang w:val="uk-UA"/>
              </w:rPr>
            </w:pPr>
            <w:r w:rsidRPr="00F51260">
              <w:rPr>
                <w:rFonts w:ascii="Times New Roman" w:hAnsi="Times New Roman" w:cs="Times New Roman"/>
                <w:sz w:val="24"/>
                <w:szCs w:val="24"/>
                <w:lang w:val="uk-UA"/>
              </w:rPr>
              <w:t>7</w:t>
            </w:r>
            <w:r w:rsidR="007C156B">
              <w:rPr>
                <w:rFonts w:ascii="Times New Roman" w:hAnsi="Times New Roman" w:cs="Times New Roman"/>
                <w:sz w:val="24"/>
                <w:szCs w:val="24"/>
                <w:lang w:val="uk-UA"/>
              </w:rPr>
              <w:t> 302,7</w:t>
            </w:r>
          </w:p>
        </w:tc>
        <w:tc>
          <w:tcPr>
            <w:tcW w:w="1134" w:type="dxa"/>
          </w:tcPr>
          <w:p w:rsidR="002A5069" w:rsidRPr="00F51260" w:rsidRDefault="002A5069" w:rsidP="002A5069">
            <w:pPr>
              <w:jc w:val="both"/>
              <w:rPr>
                <w:rFonts w:ascii="Times New Roman" w:hAnsi="Times New Roman" w:cs="Times New Roman"/>
                <w:i/>
                <w:sz w:val="24"/>
                <w:szCs w:val="24"/>
                <w:lang w:val="uk-UA"/>
              </w:rPr>
            </w:pPr>
            <w:r w:rsidRPr="00F51260">
              <w:rPr>
                <w:rFonts w:ascii="Times New Roman" w:hAnsi="Times New Roman" w:cs="Times New Roman"/>
                <w:i/>
                <w:sz w:val="24"/>
                <w:szCs w:val="24"/>
                <w:lang w:val="uk-UA"/>
              </w:rPr>
              <w:t>96,9 %</w:t>
            </w:r>
          </w:p>
        </w:tc>
        <w:tc>
          <w:tcPr>
            <w:tcW w:w="1275" w:type="dxa"/>
          </w:tcPr>
          <w:p w:rsidR="002A5069" w:rsidRPr="00F51260" w:rsidRDefault="002A5069" w:rsidP="002A5069">
            <w:pPr>
              <w:jc w:val="center"/>
              <w:rPr>
                <w:rFonts w:ascii="Times New Roman" w:hAnsi="Times New Roman" w:cs="Times New Roman"/>
                <w:sz w:val="24"/>
                <w:szCs w:val="24"/>
                <w:lang w:val="uk-UA"/>
              </w:rPr>
            </w:pPr>
            <w:r w:rsidRPr="00F51260">
              <w:rPr>
                <w:rFonts w:ascii="Times New Roman" w:hAnsi="Times New Roman" w:cs="Times New Roman"/>
                <w:sz w:val="24"/>
                <w:szCs w:val="24"/>
                <w:lang w:val="uk-UA"/>
              </w:rPr>
              <w:t>8 046,9</w:t>
            </w:r>
          </w:p>
        </w:tc>
        <w:tc>
          <w:tcPr>
            <w:tcW w:w="1134" w:type="dxa"/>
          </w:tcPr>
          <w:p w:rsidR="002A5069" w:rsidRPr="00F51260" w:rsidRDefault="002A5069" w:rsidP="002A5069">
            <w:pPr>
              <w:jc w:val="center"/>
              <w:rPr>
                <w:rFonts w:ascii="Times New Roman" w:hAnsi="Times New Roman" w:cs="Times New Roman"/>
                <w:i/>
                <w:sz w:val="24"/>
                <w:szCs w:val="24"/>
                <w:lang w:val="uk-UA"/>
              </w:rPr>
            </w:pPr>
            <w:r w:rsidRPr="00F51260">
              <w:rPr>
                <w:rFonts w:ascii="Times New Roman" w:hAnsi="Times New Roman" w:cs="Times New Roman"/>
                <w:i/>
                <w:sz w:val="24"/>
                <w:szCs w:val="24"/>
                <w:lang w:val="uk-UA"/>
              </w:rPr>
              <w:t>110,2 %</w:t>
            </w:r>
          </w:p>
        </w:tc>
      </w:tr>
      <w:tr w:rsidR="002A5069" w:rsidRPr="00F51260" w:rsidTr="002A5069">
        <w:trPr>
          <w:trHeight w:val="954"/>
        </w:trPr>
        <w:tc>
          <w:tcPr>
            <w:tcW w:w="3652" w:type="dxa"/>
          </w:tcPr>
          <w:p w:rsidR="002A5069" w:rsidRPr="00F51260" w:rsidRDefault="002A5069" w:rsidP="002A5069">
            <w:pPr>
              <w:spacing w:line="240" w:lineRule="auto"/>
              <w:jc w:val="both"/>
              <w:rPr>
                <w:rFonts w:ascii="Times New Roman" w:hAnsi="Times New Roman" w:cs="Times New Roman"/>
                <w:sz w:val="20"/>
                <w:szCs w:val="20"/>
                <w:lang w:val="uk-UA"/>
              </w:rPr>
            </w:pPr>
            <w:r w:rsidRPr="00F51260">
              <w:rPr>
                <w:rFonts w:ascii="Times New Roman" w:hAnsi="Times New Roman" w:cs="Times New Roman"/>
                <w:b/>
                <w:sz w:val="20"/>
                <w:szCs w:val="20"/>
                <w:lang w:val="uk-UA"/>
              </w:rPr>
              <w:t>11010500</w:t>
            </w:r>
            <w:r w:rsidRPr="00F51260">
              <w:rPr>
                <w:rFonts w:ascii="Times New Roman" w:hAnsi="Times New Roman" w:cs="Times New Roman"/>
                <w:sz w:val="20"/>
                <w:szCs w:val="20"/>
                <w:lang w:val="uk-UA"/>
              </w:rPr>
              <w:t xml:space="preserve"> «Податок на доходи фізичних осіб, що сплачується фізичними особами за результатами річного декларування»</w:t>
            </w:r>
          </w:p>
        </w:tc>
        <w:tc>
          <w:tcPr>
            <w:tcW w:w="1276" w:type="dxa"/>
          </w:tcPr>
          <w:p w:rsidR="002A5069" w:rsidRPr="00F51260" w:rsidRDefault="002A5069" w:rsidP="002A5069">
            <w:pPr>
              <w:jc w:val="both"/>
              <w:rPr>
                <w:rFonts w:ascii="Times New Roman" w:hAnsi="Times New Roman" w:cs="Times New Roman"/>
                <w:sz w:val="24"/>
                <w:szCs w:val="24"/>
                <w:lang w:val="uk-UA"/>
              </w:rPr>
            </w:pPr>
            <w:r w:rsidRPr="00F51260">
              <w:rPr>
                <w:rFonts w:ascii="Times New Roman" w:hAnsi="Times New Roman" w:cs="Times New Roman"/>
                <w:sz w:val="24"/>
                <w:szCs w:val="24"/>
                <w:lang w:val="uk-UA"/>
              </w:rPr>
              <w:t>4 404,7</w:t>
            </w:r>
          </w:p>
        </w:tc>
        <w:tc>
          <w:tcPr>
            <w:tcW w:w="1276" w:type="dxa"/>
          </w:tcPr>
          <w:p w:rsidR="002A5069" w:rsidRPr="00F51260" w:rsidRDefault="002A5069" w:rsidP="002A5069">
            <w:pPr>
              <w:jc w:val="both"/>
              <w:rPr>
                <w:rFonts w:ascii="Times New Roman" w:hAnsi="Times New Roman" w:cs="Times New Roman"/>
                <w:sz w:val="24"/>
                <w:szCs w:val="24"/>
                <w:lang w:val="uk-UA"/>
              </w:rPr>
            </w:pPr>
            <w:r w:rsidRPr="00F51260">
              <w:rPr>
                <w:rFonts w:ascii="Times New Roman" w:hAnsi="Times New Roman" w:cs="Times New Roman"/>
                <w:sz w:val="24"/>
                <w:szCs w:val="24"/>
                <w:lang w:val="uk-UA"/>
              </w:rPr>
              <w:t>7 804,4</w:t>
            </w:r>
          </w:p>
        </w:tc>
        <w:tc>
          <w:tcPr>
            <w:tcW w:w="1134" w:type="dxa"/>
          </w:tcPr>
          <w:p w:rsidR="002A5069" w:rsidRPr="00F51260" w:rsidRDefault="002A5069" w:rsidP="007C156B">
            <w:pPr>
              <w:ind w:left="-221" w:firstLine="141"/>
              <w:jc w:val="both"/>
              <w:rPr>
                <w:rFonts w:ascii="Times New Roman" w:hAnsi="Times New Roman" w:cs="Times New Roman"/>
                <w:i/>
                <w:sz w:val="24"/>
                <w:szCs w:val="24"/>
                <w:lang w:val="uk-UA"/>
              </w:rPr>
            </w:pPr>
            <w:r w:rsidRPr="00F51260">
              <w:rPr>
                <w:rFonts w:ascii="Times New Roman" w:hAnsi="Times New Roman" w:cs="Times New Roman"/>
                <w:i/>
                <w:sz w:val="24"/>
                <w:szCs w:val="24"/>
                <w:lang w:val="uk-UA"/>
              </w:rPr>
              <w:t xml:space="preserve">  </w:t>
            </w:r>
            <w:r w:rsidR="007C156B">
              <w:rPr>
                <w:rFonts w:ascii="Times New Roman" w:hAnsi="Times New Roman" w:cs="Times New Roman"/>
                <w:i/>
                <w:sz w:val="24"/>
                <w:szCs w:val="24"/>
                <w:lang w:val="uk-UA"/>
              </w:rPr>
              <w:t>177,2</w:t>
            </w:r>
            <w:r w:rsidRPr="00F51260">
              <w:rPr>
                <w:rFonts w:ascii="Times New Roman" w:hAnsi="Times New Roman" w:cs="Times New Roman"/>
                <w:i/>
                <w:sz w:val="24"/>
                <w:szCs w:val="24"/>
                <w:lang w:val="uk-UA"/>
              </w:rPr>
              <w:t xml:space="preserve"> %</w:t>
            </w:r>
          </w:p>
        </w:tc>
        <w:tc>
          <w:tcPr>
            <w:tcW w:w="1275" w:type="dxa"/>
          </w:tcPr>
          <w:p w:rsidR="002A5069" w:rsidRPr="00F51260" w:rsidRDefault="002A5069" w:rsidP="002A5069">
            <w:pPr>
              <w:jc w:val="center"/>
              <w:rPr>
                <w:rFonts w:ascii="Times New Roman" w:hAnsi="Times New Roman" w:cs="Times New Roman"/>
                <w:sz w:val="24"/>
                <w:szCs w:val="24"/>
                <w:lang w:val="uk-UA"/>
              </w:rPr>
            </w:pPr>
            <w:r w:rsidRPr="00F51260">
              <w:rPr>
                <w:rFonts w:ascii="Times New Roman" w:hAnsi="Times New Roman" w:cs="Times New Roman"/>
                <w:sz w:val="24"/>
                <w:szCs w:val="24"/>
                <w:lang w:val="uk-UA"/>
              </w:rPr>
              <w:t>8 859,4</w:t>
            </w:r>
          </w:p>
        </w:tc>
        <w:tc>
          <w:tcPr>
            <w:tcW w:w="1134" w:type="dxa"/>
          </w:tcPr>
          <w:p w:rsidR="002A5069" w:rsidRPr="00F51260" w:rsidRDefault="002A5069" w:rsidP="002A5069">
            <w:pPr>
              <w:ind w:hanging="221"/>
              <w:jc w:val="both"/>
              <w:rPr>
                <w:rFonts w:ascii="Times New Roman" w:hAnsi="Times New Roman" w:cs="Times New Roman"/>
                <w:i/>
                <w:sz w:val="24"/>
                <w:szCs w:val="24"/>
                <w:lang w:val="uk-UA"/>
              </w:rPr>
            </w:pPr>
            <w:r w:rsidRPr="00F51260">
              <w:rPr>
                <w:rFonts w:ascii="Times New Roman" w:hAnsi="Times New Roman" w:cs="Times New Roman"/>
                <w:i/>
                <w:sz w:val="24"/>
                <w:szCs w:val="24"/>
                <w:lang w:val="uk-UA"/>
              </w:rPr>
              <w:t xml:space="preserve">   113,5 %</w:t>
            </w:r>
          </w:p>
        </w:tc>
      </w:tr>
      <w:tr w:rsidR="002A5069" w:rsidRPr="00F51260" w:rsidTr="002A5069">
        <w:trPr>
          <w:trHeight w:val="529"/>
        </w:trPr>
        <w:tc>
          <w:tcPr>
            <w:tcW w:w="3652" w:type="dxa"/>
          </w:tcPr>
          <w:p w:rsidR="002A5069" w:rsidRPr="00F51260" w:rsidRDefault="002A5069" w:rsidP="002A5069">
            <w:pPr>
              <w:spacing w:line="240" w:lineRule="auto"/>
              <w:jc w:val="both"/>
              <w:rPr>
                <w:rFonts w:ascii="Times New Roman" w:hAnsi="Times New Roman" w:cs="Times New Roman"/>
                <w:b/>
                <w:lang w:val="uk-UA"/>
              </w:rPr>
            </w:pPr>
            <w:r w:rsidRPr="00F51260">
              <w:rPr>
                <w:rFonts w:ascii="Times New Roman" w:hAnsi="Times New Roman" w:cs="Times New Roman"/>
                <w:b/>
                <w:lang w:val="uk-UA"/>
              </w:rPr>
              <w:t>Податок на доходи фізичних осіб (разом) - контингент 100 %</w:t>
            </w:r>
          </w:p>
        </w:tc>
        <w:tc>
          <w:tcPr>
            <w:tcW w:w="1276" w:type="dxa"/>
          </w:tcPr>
          <w:p w:rsidR="002A5069" w:rsidRPr="00F51260" w:rsidRDefault="002A5069" w:rsidP="002A5069">
            <w:pPr>
              <w:jc w:val="both"/>
              <w:rPr>
                <w:rFonts w:ascii="Times New Roman" w:hAnsi="Times New Roman" w:cs="Times New Roman"/>
                <w:b/>
                <w:sz w:val="24"/>
                <w:szCs w:val="24"/>
                <w:lang w:val="uk-UA"/>
              </w:rPr>
            </w:pPr>
            <w:r w:rsidRPr="00F51260">
              <w:rPr>
                <w:rFonts w:ascii="Times New Roman" w:hAnsi="Times New Roman" w:cs="Times New Roman"/>
                <w:b/>
                <w:sz w:val="24"/>
                <w:szCs w:val="24"/>
                <w:lang w:val="uk-UA"/>
              </w:rPr>
              <w:t>713 690,5</w:t>
            </w:r>
          </w:p>
        </w:tc>
        <w:tc>
          <w:tcPr>
            <w:tcW w:w="1276" w:type="dxa"/>
          </w:tcPr>
          <w:p w:rsidR="002A5069" w:rsidRPr="00F51260" w:rsidRDefault="00901FBE" w:rsidP="002A5069">
            <w:pPr>
              <w:jc w:val="both"/>
              <w:rPr>
                <w:rFonts w:ascii="Times New Roman" w:hAnsi="Times New Roman" w:cs="Times New Roman"/>
                <w:b/>
                <w:sz w:val="24"/>
                <w:szCs w:val="24"/>
                <w:lang w:val="uk-UA"/>
              </w:rPr>
            </w:pPr>
            <w:r>
              <w:rPr>
                <w:rFonts w:ascii="Times New Roman" w:hAnsi="Times New Roman" w:cs="Times New Roman"/>
                <w:b/>
                <w:sz w:val="24"/>
                <w:szCs w:val="24"/>
                <w:lang w:val="uk-UA"/>
              </w:rPr>
              <w:t>952 541,7</w:t>
            </w:r>
          </w:p>
        </w:tc>
        <w:tc>
          <w:tcPr>
            <w:tcW w:w="1134" w:type="dxa"/>
          </w:tcPr>
          <w:p w:rsidR="002A5069" w:rsidRPr="00F51260" w:rsidRDefault="002A5069" w:rsidP="002A5069">
            <w:pPr>
              <w:jc w:val="both"/>
              <w:rPr>
                <w:rFonts w:ascii="Times New Roman" w:hAnsi="Times New Roman" w:cs="Times New Roman"/>
                <w:b/>
                <w:i/>
                <w:lang w:val="uk-UA"/>
              </w:rPr>
            </w:pPr>
            <w:r w:rsidRPr="00F51260">
              <w:rPr>
                <w:rFonts w:ascii="Times New Roman" w:hAnsi="Times New Roman" w:cs="Times New Roman"/>
                <w:b/>
                <w:i/>
                <w:lang w:val="uk-UA"/>
              </w:rPr>
              <w:t xml:space="preserve">  133,5 %</w:t>
            </w:r>
          </w:p>
        </w:tc>
        <w:tc>
          <w:tcPr>
            <w:tcW w:w="1275" w:type="dxa"/>
          </w:tcPr>
          <w:p w:rsidR="002A5069" w:rsidRPr="00F51260" w:rsidRDefault="002A5069" w:rsidP="002A5069">
            <w:pPr>
              <w:jc w:val="both"/>
              <w:rPr>
                <w:rFonts w:ascii="Times New Roman" w:hAnsi="Times New Roman" w:cs="Times New Roman"/>
                <w:b/>
                <w:sz w:val="24"/>
                <w:szCs w:val="24"/>
                <w:lang w:val="uk-UA"/>
              </w:rPr>
            </w:pPr>
            <w:r w:rsidRPr="00F51260">
              <w:rPr>
                <w:rFonts w:ascii="Times New Roman" w:hAnsi="Times New Roman" w:cs="Times New Roman"/>
                <w:b/>
                <w:sz w:val="24"/>
                <w:szCs w:val="24"/>
                <w:lang w:val="uk-UA"/>
              </w:rPr>
              <w:t>701 281,3</w:t>
            </w:r>
          </w:p>
        </w:tc>
        <w:tc>
          <w:tcPr>
            <w:tcW w:w="1134" w:type="dxa"/>
          </w:tcPr>
          <w:p w:rsidR="002A5069" w:rsidRPr="00F51260" w:rsidRDefault="002A5069" w:rsidP="002A5069">
            <w:pPr>
              <w:jc w:val="both"/>
              <w:rPr>
                <w:rFonts w:ascii="Times New Roman" w:hAnsi="Times New Roman" w:cs="Times New Roman"/>
                <w:b/>
                <w:i/>
                <w:sz w:val="24"/>
                <w:szCs w:val="24"/>
                <w:lang w:val="uk-UA"/>
              </w:rPr>
            </w:pPr>
            <w:r w:rsidRPr="00F51260">
              <w:rPr>
                <w:rFonts w:ascii="Times New Roman" w:hAnsi="Times New Roman" w:cs="Times New Roman"/>
                <w:b/>
                <w:i/>
                <w:sz w:val="24"/>
                <w:szCs w:val="24"/>
                <w:lang w:val="uk-UA"/>
              </w:rPr>
              <w:t>73,6 %</w:t>
            </w:r>
          </w:p>
        </w:tc>
      </w:tr>
      <w:tr w:rsidR="002A5069" w:rsidRPr="00273040" w:rsidTr="002A5069">
        <w:trPr>
          <w:trHeight w:val="855"/>
        </w:trPr>
        <w:tc>
          <w:tcPr>
            <w:tcW w:w="3652" w:type="dxa"/>
          </w:tcPr>
          <w:p w:rsidR="002A5069" w:rsidRPr="00F51260" w:rsidRDefault="002A5069" w:rsidP="002A5069">
            <w:pPr>
              <w:spacing w:line="240" w:lineRule="auto"/>
              <w:jc w:val="both"/>
              <w:rPr>
                <w:rFonts w:ascii="Times New Roman" w:hAnsi="Times New Roman" w:cs="Times New Roman"/>
                <w:b/>
                <w:lang w:val="uk-UA"/>
              </w:rPr>
            </w:pPr>
            <w:r w:rsidRPr="00F51260">
              <w:rPr>
                <w:rFonts w:ascii="Times New Roman" w:hAnsi="Times New Roman" w:cs="Times New Roman"/>
                <w:b/>
                <w:lang w:val="uk-UA"/>
              </w:rPr>
              <w:t>Зарахування податку на доходи фізичних осіб до бюджету міської громади – (2022-64 %, 2023-64 %, 2024-64%)</w:t>
            </w:r>
          </w:p>
        </w:tc>
        <w:tc>
          <w:tcPr>
            <w:tcW w:w="1276" w:type="dxa"/>
          </w:tcPr>
          <w:p w:rsidR="002A5069" w:rsidRPr="00F51260" w:rsidRDefault="00901FBE" w:rsidP="002A5069">
            <w:pPr>
              <w:jc w:val="both"/>
              <w:rPr>
                <w:rFonts w:ascii="Times New Roman" w:hAnsi="Times New Roman" w:cs="Times New Roman"/>
                <w:b/>
                <w:sz w:val="24"/>
                <w:szCs w:val="24"/>
                <w:lang w:val="uk-UA"/>
              </w:rPr>
            </w:pPr>
            <w:r>
              <w:rPr>
                <w:rFonts w:ascii="Times New Roman" w:hAnsi="Times New Roman" w:cs="Times New Roman"/>
                <w:b/>
                <w:sz w:val="24"/>
                <w:szCs w:val="24"/>
                <w:lang w:val="uk-UA"/>
              </w:rPr>
              <w:t>609 626,7</w:t>
            </w:r>
          </w:p>
        </w:tc>
        <w:tc>
          <w:tcPr>
            <w:tcW w:w="1276" w:type="dxa"/>
          </w:tcPr>
          <w:p w:rsidR="002A5069" w:rsidRPr="00F51260" w:rsidRDefault="00901FBE" w:rsidP="002A5069">
            <w:pPr>
              <w:jc w:val="both"/>
              <w:rPr>
                <w:rFonts w:ascii="Times New Roman" w:hAnsi="Times New Roman" w:cs="Times New Roman"/>
                <w:b/>
                <w:sz w:val="24"/>
                <w:szCs w:val="24"/>
                <w:lang w:val="uk-UA"/>
              </w:rPr>
            </w:pPr>
            <w:r>
              <w:rPr>
                <w:rFonts w:ascii="Times New Roman" w:hAnsi="Times New Roman" w:cs="Times New Roman"/>
                <w:b/>
                <w:sz w:val="24"/>
                <w:szCs w:val="24"/>
                <w:lang w:val="uk-UA"/>
              </w:rPr>
              <w:t>609 626,7</w:t>
            </w:r>
          </w:p>
        </w:tc>
        <w:tc>
          <w:tcPr>
            <w:tcW w:w="1134" w:type="dxa"/>
          </w:tcPr>
          <w:p w:rsidR="002A5069" w:rsidRPr="00F51260" w:rsidRDefault="002A5069" w:rsidP="002A5069">
            <w:pPr>
              <w:jc w:val="both"/>
              <w:rPr>
                <w:rFonts w:ascii="Times New Roman" w:hAnsi="Times New Roman" w:cs="Times New Roman"/>
                <w:b/>
                <w:i/>
                <w:lang w:val="uk-UA"/>
              </w:rPr>
            </w:pPr>
            <w:r w:rsidRPr="00F51260">
              <w:rPr>
                <w:rFonts w:ascii="Times New Roman" w:hAnsi="Times New Roman" w:cs="Times New Roman"/>
                <w:b/>
                <w:i/>
                <w:lang w:val="uk-UA"/>
              </w:rPr>
              <w:t xml:space="preserve">  133,5 %</w:t>
            </w:r>
          </w:p>
        </w:tc>
        <w:tc>
          <w:tcPr>
            <w:tcW w:w="1275" w:type="dxa"/>
          </w:tcPr>
          <w:p w:rsidR="002A5069" w:rsidRPr="00F51260" w:rsidRDefault="002A5069" w:rsidP="002A5069">
            <w:pPr>
              <w:jc w:val="both"/>
              <w:rPr>
                <w:rFonts w:ascii="Times New Roman" w:hAnsi="Times New Roman" w:cs="Times New Roman"/>
                <w:b/>
                <w:sz w:val="24"/>
                <w:szCs w:val="24"/>
                <w:lang w:val="uk-UA"/>
              </w:rPr>
            </w:pPr>
            <w:r w:rsidRPr="00F51260">
              <w:rPr>
                <w:rFonts w:ascii="Times New Roman" w:hAnsi="Times New Roman" w:cs="Times New Roman"/>
                <w:b/>
                <w:sz w:val="24"/>
                <w:szCs w:val="24"/>
                <w:lang w:val="uk-UA"/>
              </w:rPr>
              <w:t>448 820,0</w:t>
            </w:r>
          </w:p>
        </w:tc>
        <w:tc>
          <w:tcPr>
            <w:tcW w:w="1134" w:type="dxa"/>
          </w:tcPr>
          <w:p w:rsidR="002A5069" w:rsidRPr="00273040" w:rsidRDefault="002A5069" w:rsidP="002A5069">
            <w:pPr>
              <w:jc w:val="both"/>
              <w:rPr>
                <w:rFonts w:ascii="Times New Roman" w:hAnsi="Times New Roman" w:cs="Times New Roman"/>
                <w:b/>
                <w:i/>
                <w:sz w:val="24"/>
                <w:szCs w:val="24"/>
                <w:lang w:val="uk-UA"/>
              </w:rPr>
            </w:pPr>
            <w:r w:rsidRPr="00F51260">
              <w:rPr>
                <w:rFonts w:ascii="Times New Roman" w:hAnsi="Times New Roman" w:cs="Times New Roman"/>
                <w:b/>
                <w:i/>
                <w:sz w:val="24"/>
                <w:szCs w:val="24"/>
                <w:lang w:val="uk-UA"/>
              </w:rPr>
              <w:t>73,6 %</w:t>
            </w:r>
          </w:p>
        </w:tc>
      </w:tr>
    </w:tbl>
    <w:p w:rsidR="00E96562" w:rsidRPr="000874F3" w:rsidRDefault="00EF226D" w:rsidP="000874F3">
      <w:pPr>
        <w:spacing w:after="0"/>
        <w:jc w:val="both"/>
        <w:rPr>
          <w:rFonts w:ascii="Times New Roman" w:hAnsi="Times New Roman" w:cs="Times New Roman"/>
          <w:sz w:val="24"/>
          <w:szCs w:val="24"/>
          <w:highlight w:val="yellow"/>
          <w:lang w:val="uk-UA"/>
        </w:rPr>
      </w:pPr>
      <w:r w:rsidRPr="00273040">
        <w:rPr>
          <w:noProof/>
          <w:lang w:val="uk-UA" w:eastAsia="uk-UA"/>
        </w:rPr>
        <w:lastRenderedPageBreak/>
        <w:drawing>
          <wp:inline distT="0" distB="0" distL="0" distR="0" wp14:anchorId="3EC67DD7" wp14:editId="5FD66DE8">
            <wp:extent cx="5939790" cy="3407434"/>
            <wp:effectExtent l="228600" t="228600" r="232410" b="23114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51609" w:rsidRPr="00951609" w:rsidRDefault="00CF3B1C" w:rsidP="00951609">
      <w:pPr>
        <w:spacing w:after="0" w:line="240" w:lineRule="auto"/>
        <w:ind w:firstLine="567"/>
        <w:jc w:val="both"/>
        <w:rPr>
          <w:rFonts w:ascii="Times New Roman" w:hAnsi="Times New Roman" w:cs="Times New Roman"/>
          <w:sz w:val="24"/>
          <w:szCs w:val="24"/>
          <w:highlight w:val="yellow"/>
          <w:lang w:val="uk-UA"/>
        </w:rPr>
      </w:pPr>
      <w:r w:rsidRPr="00822EBB">
        <w:rPr>
          <w:rFonts w:ascii="Times New Roman" w:hAnsi="Times New Roman" w:cs="Times New Roman"/>
          <w:b/>
          <w:sz w:val="24"/>
          <w:szCs w:val="24"/>
          <w:lang w:val="uk-UA"/>
        </w:rPr>
        <w:t xml:space="preserve">Податок на прибуток підприємств та фінансових установ комунальної власності </w:t>
      </w:r>
      <w:r w:rsidR="00951609" w:rsidRPr="00951609">
        <w:rPr>
          <w:rFonts w:ascii="Times New Roman" w:hAnsi="Times New Roman" w:cs="Times New Roman"/>
          <w:b/>
          <w:sz w:val="24"/>
          <w:szCs w:val="24"/>
          <w:lang w:val="uk-UA"/>
        </w:rPr>
        <w:t>(ККДБ 11020200)</w:t>
      </w:r>
      <w:r w:rsidR="00951609" w:rsidRPr="00951609">
        <w:rPr>
          <w:rFonts w:ascii="Times New Roman" w:hAnsi="Times New Roman" w:cs="Times New Roman"/>
          <w:sz w:val="24"/>
          <w:szCs w:val="24"/>
          <w:lang w:val="uk-UA"/>
        </w:rPr>
        <w:t xml:space="preserve"> </w:t>
      </w:r>
      <w:r w:rsidR="00B26F51" w:rsidRPr="00AB785C">
        <w:rPr>
          <w:rFonts w:ascii="Times New Roman" w:hAnsi="Times New Roman" w:cs="Times New Roman"/>
          <w:sz w:val="24"/>
          <w:szCs w:val="24"/>
          <w:lang w:val="uk-UA"/>
        </w:rPr>
        <w:t>на 2024 рік</w:t>
      </w:r>
      <w:r w:rsidR="00B26F51">
        <w:rPr>
          <w:rFonts w:ascii="Times New Roman" w:hAnsi="Times New Roman" w:cs="Times New Roman"/>
          <w:sz w:val="24"/>
          <w:szCs w:val="24"/>
          <w:lang w:val="uk-UA"/>
        </w:rPr>
        <w:t xml:space="preserve"> </w:t>
      </w:r>
      <w:r w:rsidR="00951609" w:rsidRPr="00951609">
        <w:rPr>
          <w:rFonts w:ascii="Times New Roman" w:hAnsi="Times New Roman" w:cs="Times New Roman"/>
          <w:sz w:val="24"/>
          <w:szCs w:val="24"/>
          <w:lang w:val="uk-UA"/>
        </w:rPr>
        <w:t>визначено у сумі</w:t>
      </w:r>
      <w:r w:rsidR="00951609" w:rsidRPr="00951609">
        <w:rPr>
          <w:rFonts w:ascii="Times New Roman" w:hAnsi="Times New Roman" w:cs="Times New Roman"/>
          <w:b/>
          <w:sz w:val="24"/>
          <w:szCs w:val="24"/>
          <w:lang w:val="uk-UA"/>
        </w:rPr>
        <w:t xml:space="preserve"> </w:t>
      </w:r>
      <w:r w:rsidRPr="00822EBB">
        <w:rPr>
          <w:rFonts w:ascii="Times New Roman" w:hAnsi="Times New Roman" w:cs="Times New Roman"/>
          <w:sz w:val="24"/>
          <w:szCs w:val="24"/>
          <w:lang w:val="uk-UA"/>
        </w:rPr>
        <w:t>1 </w:t>
      </w:r>
      <w:r w:rsidR="00951609" w:rsidRPr="00951609">
        <w:rPr>
          <w:rFonts w:ascii="Times New Roman" w:hAnsi="Times New Roman" w:cs="Times New Roman"/>
          <w:sz w:val="24"/>
          <w:szCs w:val="24"/>
          <w:lang w:val="uk-UA"/>
        </w:rPr>
        <w:t>000</w:t>
      </w:r>
      <w:r w:rsidRPr="00822EBB">
        <w:rPr>
          <w:rFonts w:ascii="Times New Roman" w:hAnsi="Times New Roman" w:cs="Times New Roman"/>
          <w:sz w:val="24"/>
          <w:szCs w:val="24"/>
          <w:lang w:val="uk-UA"/>
        </w:rPr>
        <w:t>,</w:t>
      </w:r>
      <w:r w:rsidR="00951609" w:rsidRPr="00951609">
        <w:rPr>
          <w:rFonts w:ascii="Times New Roman" w:hAnsi="Times New Roman" w:cs="Times New Roman"/>
          <w:sz w:val="24"/>
          <w:szCs w:val="24"/>
          <w:lang w:val="uk-UA"/>
        </w:rPr>
        <w:t>0</w:t>
      </w:r>
      <w:r w:rsidRPr="00822EBB">
        <w:rPr>
          <w:rFonts w:ascii="Times New Roman" w:hAnsi="Times New Roman" w:cs="Times New Roman"/>
          <w:sz w:val="24"/>
          <w:szCs w:val="24"/>
          <w:lang w:val="uk-UA"/>
        </w:rPr>
        <w:t xml:space="preserve"> тис</w:t>
      </w:r>
      <w:r w:rsidR="00951609" w:rsidRPr="00951609">
        <w:rPr>
          <w:rFonts w:ascii="Times New Roman" w:hAnsi="Times New Roman" w:cs="Times New Roman"/>
          <w:sz w:val="24"/>
          <w:szCs w:val="24"/>
          <w:lang w:val="uk-UA"/>
        </w:rPr>
        <w:t xml:space="preserve"> грн, надходження </w:t>
      </w:r>
      <w:r w:rsidRPr="00822EBB">
        <w:rPr>
          <w:rFonts w:ascii="Times New Roman" w:hAnsi="Times New Roman" w:cs="Times New Roman"/>
          <w:sz w:val="24"/>
          <w:szCs w:val="24"/>
          <w:lang w:val="uk-UA"/>
        </w:rPr>
        <w:t>якого прогнозується в основному</w:t>
      </w:r>
      <w:r w:rsidR="00951609" w:rsidRPr="00951609">
        <w:rPr>
          <w:rFonts w:ascii="Times New Roman" w:hAnsi="Times New Roman" w:cs="Times New Roman"/>
          <w:sz w:val="24"/>
          <w:szCs w:val="24"/>
          <w:lang w:val="uk-UA"/>
        </w:rPr>
        <w:t xml:space="preserve"> від </w:t>
      </w:r>
      <w:r w:rsidR="00C0272B" w:rsidRPr="00951609">
        <w:rPr>
          <w:rFonts w:ascii="Times New Roman" w:hAnsi="Times New Roman" w:cs="Times New Roman"/>
          <w:sz w:val="24"/>
          <w:szCs w:val="24"/>
          <w:lang w:val="uk-UA"/>
        </w:rPr>
        <w:t>КП «</w:t>
      </w:r>
      <w:proofErr w:type="spellStart"/>
      <w:r w:rsidR="00C0272B" w:rsidRPr="00951609">
        <w:rPr>
          <w:rFonts w:ascii="Times New Roman" w:hAnsi="Times New Roman" w:cs="Times New Roman"/>
          <w:sz w:val="24"/>
          <w:szCs w:val="24"/>
          <w:lang w:val="uk-UA"/>
        </w:rPr>
        <w:t>Чорноморськ</w:t>
      </w:r>
      <w:r w:rsidR="00C0272B">
        <w:rPr>
          <w:rFonts w:ascii="Times New Roman" w:hAnsi="Times New Roman" w:cs="Times New Roman"/>
          <w:sz w:val="24"/>
          <w:szCs w:val="24"/>
          <w:lang w:val="uk-UA"/>
        </w:rPr>
        <w:t>водоканал</w:t>
      </w:r>
      <w:proofErr w:type="spellEnd"/>
      <w:r w:rsidR="00C0272B" w:rsidRPr="00951609">
        <w:rPr>
          <w:rFonts w:ascii="Times New Roman" w:hAnsi="Times New Roman" w:cs="Times New Roman"/>
          <w:sz w:val="24"/>
          <w:szCs w:val="24"/>
          <w:lang w:val="uk-UA"/>
        </w:rPr>
        <w:t xml:space="preserve">» Чорноморської міської ради Одеського району Одеської області </w:t>
      </w:r>
      <w:r w:rsidR="00C0272B">
        <w:rPr>
          <w:rFonts w:ascii="Times New Roman" w:hAnsi="Times New Roman" w:cs="Times New Roman"/>
          <w:sz w:val="24"/>
          <w:szCs w:val="24"/>
          <w:lang w:val="uk-UA"/>
        </w:rPr>
        <w:t xml:space="preserve"> та  </w:t>
      </w:r>
      <w:r w:rsidR="00951609" w:rsidRPr="00951609">
        <w:rPr>
          <w:rFonts w:ascii="Times New Roman" w:hAnsi="Times New Roman" w:cs="Times New Roman"/>
          <w:sz w:val="24"/>
          <w:szCs w:val="24"/>
          <w:lang w:val="uk-UA"/>
        </w:rPr>
        <w:t>КП «МУЖКГ» Чорноморської міської ради Од</w:t>
      </w:r>
      <w:r w:rsidR="00C0272B">
        <w:rPr>
          <w:rFonts w:ascii="Times New Roman" w:hAnsi="Times New Roman" w:cs="Times New Roman"/>
          <w:sz w:val="24"/>
          <w:szCs w:val="24"/>
          <w:lang w:val="uk-UA"/>
        </w:rPr>
        <w:t>еського району Одеської області</w:t>
      </w:r>
      <w:r w:rsidR="00951609" w:rsidRPr="00951609">
        <w:rPr>
          <w:rFonts w:ascii="Times New Roman" w:hAnsi="Times New Roman" w:cs="Times New Roman"/>
          <w:sz w:val="24"/>
          <w:szCs w:val="24"/>
          <w:lang w:val="uk-UA"/>
        </w:rPr>
        <w:t xml:space="preserve">. Розрахунок проведено із урахуванням норм податкового законодавства відповідно до листів комунальних підприємств із врахуванням прогнозу прибутку підприємств та термінів нарахування та сплати податку. </w:t>
      </w:r>
    </w:p>
    <w:p w:rsidR="00951609" w:rsidRPr="00951609" w:rsidRDefault="00951609" w:rsidP="00951609">
      <w:pPr>
        <w:spacing w:after="0" w:line="240" w:lineRule="auto"/>
        <w:ind w:firstLine="567"/>
        <w:jc w:val="both"/>
        <w:rPr>
          <w:rFonts w:ascii="Times New Roman" w:hAnsi="Times New Roman" w:cs="Times New Roman"/>
          <w:b/>
          <w:sz w:val="24"/>
          <w:szCs w:val="24"/>
          <w:highlight w:val="yellow"/>
          <w:lang w:val="uk-UA"/>
        </w:rPr>
      </w:pPr>
    </w:p>
    <w:p w:rsidR="00951609" w:rsidRDefault="002F11C7" w:rsidP="00951609">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b/>
          <w:sz w:val="24"/>
          <w:szCs w:val="24"/>
          <w:lang w:val="uk-UA"/>
        </w:rPr>
        <w:t>Обсяг в</w:t>
      </w:r>
      <w:r w:rsidR="00B26F51" w:rsidRPr="00B26F51">
        <w:rPr>
          <w:rFonts w:ascii="Times New Roman" w:hAnsi="Times New Roman" w:cs="Times New Roman"/>
          <w:b/>
          <w:sz w:val="24"/>
          <w:szCs w:val="24"/>
          <w:lang w:val="uk-UA"/>
        </w:rPr>
        <w:t>нутрішні</w:t>
      </w:r>
      <w:r>
        <w:rPr>
          <w:rFonts w:ascii="Times New Roman" w:hAnsi="Times New Roman" w:cs="Times New Roman"/>
          <w:b/>
          <w:sz w:val="24"/>
          <w:szCs w:val="24"/>
          <w:lang w:val="uk-UA"/>
        </w:rPr>
        <w:t>х</w:t>
      </w:r>
      <w:r w:rsidR="00B26F51" w:rsidRPr="00B26F51">
        <w:rPr>
          <w:rFonts w:ascii="Times New Roman" w:hAnsi="Times New Roman" w:cs="Times New Roman"/>
          <w:b/>
          <w:sz w:val="24"/>
          <w:szCs w:val="24"/>
          <w:lang w:val="uk-UA"/>
        </w:rPr>
        <w:t xml:space="preserve"> податк</w:t>
      </w:r>
      <w:r>
        <w:rPr>
          <w:rFonts w:ascii="Times New Roman" w:hAnsi="Times New Roman" w:cs="Times New Roman"/>
          <w:b/>
          <w:sz w:val="24"/>
          <w:szCs w:val="24"/>
          <w:lang w:val="uk-UA"/>
        </w:rPr>
        <w:t>ів</w:t>
      </w:r>
      <w:r w:rsidR="00B26F51" w:rsidRPr="00B26F51">
        <w:rPr>
          <w:rFonts w:ascii="Times New Roman" w:hAnsi="Times New Roman" w:cs="Times New Roman"/>
          <w:b/>
          <w:sz w:val="24"/>
          <w:szCs w:val="24"/>
          <w:lang w:val="uk-UA"/>
        </w:rPr>
        <w:t xml:space="preserve"> на товари та </w:t>
      </w:r>
      <w:r w:rsidR="00B26F51" w:rsidRPr="00F37871">
        <w:rPr>
          <w:rFonts w:ascii="Times New Roman" w:hAnsi="Times New Roman" w:cs="Times New Roman"/>
          <w:b/>
          <w:sz w:val="24"/>
          <w:szCs w:val="24"/>
          <w:lang w:val="uk-UA"/>
        </w:rPr>
        <w:t xml:space="preserve">послуги </w:t>
      </w:r>
      <w:r w:rsidR="00951609" w:rsidRPr="00951609">
        <w:rPr>
          <w:rFonts w:ascii="Times New Roman" w:hAnsi="Times New Roman" w:cs="Times New Roman"/>
          <w:b/>
          <w:sz w:val="24"/>
          <w:szCs w:val="24"/>
          <w:lang w:val="uk-UA"/>
        </w:rPr>
        <w:t>(ККДБ 14000000)</w:t>
      </w:r>
      <w:r w:rsidR="00771ED7" w:rsidRPr="00F37871">
        <w:rPr>
          <w:rFonts w:ascii="Times New Roman" w:hAnsi="Times New Roman" w:cs="Times New Roman"/>
          <w:b/>
          <w:sz w:val="24"/>
          <w:szCs w:val="24"/>
          <w:lang w:val="uk-UA"/>
        </w:rPr>
        <w:t xml:space="preserve">, </w:t>
      </w:r>
      <w:r w:rsidR="00771ED7" w:rsidRPr="008060F1">
        <w:rPr>
          <w:rFonts w:ascii="Times New Roman" w:hAnsi="Times New Roman" w:cs="Times New Roman"/>
          <w:b/>
          <w:sz w:val="24"/>
          <w:szCs w:val="24"/>
          <w:lang w:val="uk-UA"/>
        </w:rPr>
        <w:t xml:space="preserve">а саме </w:t>
      </w:r>
      <w:r w:rsidRPr="008060F1">
        <w:rPr>
          <w:rFonts w:ascii="Times New Roman" w:hAnsi="Times New Roman" w:cs="Times New Roman"/>
          <w:b/>
          <w:sz w:val="24"/>
          <w:szCs w:val="24"/>
          <w:lang w:val="uk-UA"/>
        </w:rPr>
        <w:t>акцизного</w:t>
      </w:r>
      <w:r w:rsidR="00771ED7" w:rsidRPr="008060F1">
        <w:rPr>
          <w:rFonts w:ascii="Times New Roman" w:hAnsi="Times New Roman" w:cs="Times New Roman"/>
          <w:b/>
          <w:sz w:val="24"/>
          <w:szCs w:val="24"/>
          <w:lang w:val="uk-UA"/>
        </w:rPr>
        <w:t xml:space="preserve"> податк</w:t>
      </w:r>
      <w:r w:rsidRPr="008060F1">
        <w:rPr>
          <w:rFonts w:ascii="Times New Roman" w:hAnsi="Times New Roman" w:cs="Times New Roman"/>
          <w:b/>
          <w:sz w:val="24"/>
          <w:szCs w:val="24"/>
          <w:lang w:val="uk-UA"/>
        </w:rPr>
        <w:t>у</w:t>
      </w:r>
      <w:r w:rsidR="00771ED7" w:rsidRPr="008060F1">
        <w:rPr>
          <w:rFonts w:ascii="Times New Roman" w:hAnsi="Times New Roman" w:cs="Times New Roman"/>
          <w:b/>
          <w:sz w:val="24"/>
          <w:szCs w:val="24"/>
          <w:lang w:val="uk-UA"/>
        </w:rPr>
        <w:t xml:space="preserve"> </w:t>
      </w:r>
      <w:r w:rsidR="00B26F51" w:rsidRPr="00AB785C">
        <w:rPr>
          <w:rFonts w:ascii="Times New Roman" w:hAnsi="Times New Roman" w:cs="Times New Roman"/>
          <w:sz w:val="24"/>
          <w:szCs w:val="24"/>
          <w:lang w:val="uk-UA"/>
        </w:rPr>
        <w:t>на 2024</w:t>
      </w:r>
      <w:r w:rsidR="00951609" w:rsidRPr="00AB785C">
        <w:rPr>
          <w:rFonts w:ascii="Times New Roman" w:hAnsi="Times New Roman" w:cs="Times New Roman"/>
          <w:sz w:val="24"/>
          <w:szCs w:val="24"/>
          <w:lang w:val="uk-UA"/>
        </w:rPr>
        <w:t xml:space="preserve"> рік</w:t>
      </w:r>
      <w:r w:rsidR="00951609" w:rsidRPr="00951609">
        <w:rPr>
          <w:rFonts w:ascii="Times New Roman" w:hAnsi="Times New Roman" w:cs="Times New Roman"/>
          <w:sz w:val="24"/>
          <w:szCs w:val="24"/>
          <w:lang w:val="uk-UA"/>
        </w:rPr>
        <w:t xml:space="preserve"> визначено в </w:t>
      </w:r>
      <w:r w:rsidRPr="00F37871">
        <w:rPr>
          <w:rFonts w:ascii="Times New Roman" w:hAnsi="Times New Roman" w:cs="Times New Roman"/>
          <w:sz w:val="24"/>
          <w:szCs w:val="24"/>
          <w:lang w:val="uk-UA"/>
        </w:rPr>
        <w:t>розмірі</w:t>
      </w:r>
      <w:r w:rsidR="00951609" w:rsidRPr="00951609">
        <w:rPr>
          <w:rFonts w:ascii="Times New Roman" w:hAnsi="Times New Roman" w:cs="Times New Roman"/>
          <w:b/>
          <w:sz w:val="24"/>
          <w:szCs w:val="24"/>
          <w:lang w:val="uk-UA"/>
        </w:rPr>
        <w:t xml:space="preserve"> </w:t>
      </w:r>
      <w:r w:rsidR="001D4778" w:rsidRPr="001D4778">
        <w:rPr>
          <w:rFonts w:ascii="Times New Roman" w:hAnsi="Times New Roman" w:cs="Times New Roman"/>
          <w:sz w:val="24"/>
          <w:szCs w:val="24"/>
          <w:lang w:val="uk-UA"/>
        </w:rPr>
        <w:t>41 180,0</w:t>
      </w:r>
      <w:r w:rsidR="00B26F51" w:rsidRPr="00F37871">
        <w:rPr>
          <w:rFonts w:ascii="Times New Roman" w:hAnsi="Times New Roman" w:cs="Times New Roman"/>
          <w:sz w:val="24"/>
          <w:szCs w:val="24"/>
          <w:lang w:val="uk-UA"/>
        </w:rPr>
        <w:t xml:space="preserve"> тис</w:t>
      </w:r>
      <w:r w:rsidR="00756150" w:rsidRPr="00F37871">
        <w:rPr>
          <w:rFonts w:ascii="Times New Roman" w:hAnsi="Times New Roman" w:cs="Times New Roman"/>
          <w:sz w:val="24"/>
          <w:szCs w:val="24"/>
          <w:lang w:val="uk-UA"/>
        </w:rPr>
        <w:t>.</w:t>
      </w:r>
      <w:r w:rsidR="00756150" w:rsidRPr="00F37871">
        <w:rPr>
          <w:rFonts w:ascii="Times New Roman" w:hAnsi="Times New Roman" w:cs="Times New Roman"/>
          <w:b/>
          <w:sz w:val="24"/>
          <w:szCs w:val="24"/>
          <w:lang w:val="uk-UA"/>
        </w:rPr>
        <w:t xml:space="preserve"> </w:t>
      </w:r>
      <w:r w:rsidR="00951609" w:rsidRPr="00951609">
        <w:rPr>
          <w:rFonts w:ascii="Times New Roman" w:hAnsi="Times New Roman" w:cs="Times New Roman"/>
          <w:sz w:val="24"/>
          <w:szCs w:val="24"/>
          <w:lang w:val="uk-UA"/>
        </w:rPr>
        <w:t>грн.</w:t>
      </w:r>
    </w:p>
    <w:p w:rsidR="001251DF" w:rsidRDefault="001251DF" w:rsidP="00951609">
      <w:pPr>
        <w:spacing w:after="0" w:line="240" w:lineRule="auto"/>
        <w:ind w:firstLine="567"/>
        <w:jc w:val="both"/>
        <w:rPr>
          <w:rFonts w:ascii="Times New Roman" w:hAnsi="Times New Roman" w:cs="Times New Roman"/>
          <w:sz w:val="24"/>
          <w:szCs w:val="24"/>
          <w:lang w:val="uk-UA"/>
        </w:rPr>
      </w:pPr>
    </w:p>
    <w:p w:rsidR="009553F4" w:rsidRDefault="009553F4" w:rsidP="00D57560">
      <w:pPr>
        <w:spacing w:after="0" w:line="240" w:lineRule="auto"/>
        <w:jc w:val="both"/>
        <w:rPr>
          <w:rFonts w:ascii="Times New Roman" w:hAnsi="Times New Roman" w:cs="Times New Roman"/>
          <w:sz w:val="24"/>
          <w:szCs w:val="24"/>
          <w:lang w:val="uk-UA"/>
        </w:rPr>
      </w:pPr>
      <w:r>
        <w:rPr>
          <w:noProof/>
          <w:lang w:val="uk-UA" w:eastAsia="uk-UA"/>
        </w:rPr>
        <w:drawing>
          <wp:inline distT="0" distB="0" distL="0" distR="0" wp14:anchorId="4DB7E738" wp14:editId="232E3D91">
            <wp:extent cx="6029325" cy="3329796"/>
            <wp:effectExtent l="0" t="0" r="9525" b="4445"/>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553F4" w:rsidRPr="00951609" w:rsidRDefault="009553F4" w:rsidP="00951609">
      <w:pPr>
        <w:spacing w:after="0" w:line="240" w:lineRule="auto"/>
        <w:ind w:firstLine="567"/>
        <w:jc w:val="both"/>
        <w:rPr>
          <w:rFonts w:ascii="Times New Roman" w:hAnsi="Times New Roman" w:cs="Times New Roman"/>
          <w:sz w:val="24"/>
          <w:szCs w:val="24"/>
          <w:lang w:val="uk-UA"/>
        </w:rPr>
      </w:pPr>
    </w:p>
    <w:p w:rsidR="005E74D0" w:rsidRDefault="005E74D0" w:rsidP="00951609">
      <w:pPr>
        <w:spacing w:after="0" w:line="240" w:lineRule="auto"/>
        <w:ind w:right="-2" w:firstLine="567"/>
        <w:jc w:val="both"/>
        <w:rPr>
          <w:rFonts w:ascii="Times New Roman" w:eastAsia="Times New Roman" w:hAnsi="Times New Roman" w:cs="Times New Roman"/>
          <w:sz w:val="24"/>
          <w:szCs w:val="24"/>
          <w:lang w:val="uk-UA" w:eastAsia="ru-RU"/>
        </w:rPr>
      </w:pPr>
    </w:p>
    <w:p w:rsidR="005E74D0" w:rsidRDefault="005E74D0" w:rsidP="00951609">
      <w:pPr>
        <w:spacing w:after="0" w:line="240" w:lineRule="auto"/>
        <w:ind w:right="-2" w:firstLine="567"/>
        <w:jc w:val="both"/>
        <w:rPr>
          <w:rFonts w:ascii="Times New Roman" w:eastAsia="Times New Roman" w:hAnsi="Times New Roman" w:cs="Times New Roman"/>
          <w:sz w:val="24"/>
          <w:szCs w:val="24"/>
          <w:lang w:val="uk-UA" w:eastAsia="ru-RU"/>
        </w:rPr>
      </w:pPr>
    </w:p>
    <w:p w:rsidR="005E74D0" w:rsidRDefault="005E74D0" w:rsidP="00951609">
      <w:pPr>
        <w:spacing w:after="0" w:line="240" w:lineRule="auto"/>
        <w:ind w:right="-2" w:firstLine="567"/>
        <w:jc w:val="both"/>
        <w:rPr>
          <w:rFonts w:ascii="Times New Roman" w:eastAsia="Times New Roman" w:hAnsi="Times New Roman" w:cs="Times New Roman"/>
          <w:sz w:val="24"/>
          <w:szCs w:val="24"/>
          <w:lang w:val="uk-UA" w:eastAsia="ru-RU"/>
        </w:rPr>
      </w:pPr>
    </w:p>
    <w:p w:rsidR="005E74D0" w:rsidRDefault="005E74D0" w:rsidP="00951609">
      <w:pPr>
        <w:spacing w:after="0" w:line="240" w:lineRule="auto"/>
        <w:ind w:right="-2" w:firstLine="567"/>
        <w:jc w:val="both"/>
        <w:rPr>
          <w:rFonts w:ascii="Times New Roman" w:eastAsia="Times New Roman" w:hAnsi="Times New Roman" w:cs="Times New Roman"/>
          <w:sz w:val="24"/>
          <w:szCs w:val="24"/>
          <w:lang w:val="uk-UA" w:eastAsia="ru-RU"/>
        </w:rPr>
      </w:pPr>
    </w:p>
    <w:p w:rsidR="00813B2A" w:rsidRPr="00F37871" w:rsidRDefault="00951609" w:rsidP="00951609">
      <w:pPr>
        <w:spacing w:after="0" w:line="240" w:lineRule="auto"/>
        <w:ind w:right="-2" w:firstLine="567"/>
        <w:jc w:val="both"/>
        <w:rPr>
          <w:rFonts w:ascii="Times New Roman" w:eastAsia="Times New Roman" w:hAnsi="Times New Roman" w:cs="Times New Roman"/>
          <w:sz w:val="24"/>
          <w:szCs w:val="24"/>
          <w:lang w:val="uk-UA" w:eastAsia="ru-RU"/>
        </w:rPr>
      </w:pPr>
      <w:r w:rsidRPr="00951609">
        <w:rPr>
          <w:rFonts w:ascii="Times New Roman" w:eastAsia="Times New Roman" w:hAnsi="Times New Roman" w:cs="Times New Roman"/>
          <w:sz w:val="24"/>
          <w:szCs w:val="24"/>
          <w:lang w:val="uk-UA" w:eastAsia="ru-RU"/>
        </w:rPr>
        <w:t>Складовими частинами акцизного податку є</w:t>
      </w:r>
      <w:r w:rsidR="00813B2A" w:rsidRPr="00F37871">
        <w:rPr>
          <w:rFonts w:ascii="Times New Roman" w:eastAsia="Times New Roman" w:hAnsi="Times New Roman" w:cs="Times New Roman"/>
          <w:sz w:val="24"/>
          <w:szCs w:val="24"/>
          <w:lang w:val="uk-UA" w:eastAsia="ru-RU"/>
        </w:rPr>
        <w:t>:</w:t>
      </w:r>
    </w:p>
    <w:p w:rsidR="003B4D07" w:rsidRPr="00AD5FD1" w:rsidRDefault="003B4D07" w:rsidP="003B4D07">
      <w:pPr>
        <w:spacing w:after="0" w:line="240" w:lineRule="auto"/>
        <w:ind w:right="-2" w:firstLine="567"/>
        <w:jc w:val="both"/>
        <w:rPr>
          <w:rFonts w:ascii="Times New Roman" w:eastAsia="Times New Roman" w:hAnsi="Times New Roman" w:cs="Times New Roman"/>
          <w:sz w:val="24"/>
          <w:szCs w:val="24"/>
          <w:lang w:val="uk-UA"/>
        </w:rPr>
      </w:pPr>
      <w:r w:rsidRPr="00AD5FD1">
        <w:rPr>
          <w:rFonts w:ascii="Times New Roman" w:eastAsia="Times New Roman" w:hAnsi="Times New Roman" w:cs="Times New Roman"/>
          <w:sz w:val="24"/>
          <w:szCs w:val="24"/>
          <w:lang w:val="uk-UA"/>
        </w:rPr>
        <w:t>- акцизний податок з виробленого в Україні пального;</w:t>
      </w:r>
    </w:p>
    <w:p w:rsidR="003B4D07" w:rsidRPr="00951609" w:rsidRDefault="003B4D07" w:rsidP="003B4D07">
      <w:pPr>
        <w:spacing w:after="0" w:line="240" w:lineRule="auto"/>
        <w:ind w:right="-2" w:firstLine="567"/>
        <w:jc w:val="both"/>
        <w:rPr>
          <w:rFonts w:ascii="Times New Roman" w:eastAsia="Times New Roman" w:hAnsi="Times New Roman" w:cs="Times New Roman"/>
          <w:sz w:val="24"/>
          <w:szCs w:val="24"/>
          <w:highlight w:val="yellow"/>
          <w:lang w:val="uk-UA" w:eastAsia="ru-RU"/>
        </w:rPr>
      </w:pPr>
      <w:r w:rsidRPr="00AD5FD1">
        <w:rPr>
          <w:rFonts w:ascii="Times New Roman" w:eastAsia="Times New Roman" w:hAnsi="Times New Roman" w:cs="Times New Roman"/>
          <w:sz w:val="24"/>
          <w:szCs w:val="24"/>
          <w:lang w:val="uk-UA"/>
        </w:rPr>
        <w:t>- акцизний податок з ввезеного на митну територію України пального</w:t>
      </w:r>
      <w:r>
        <w:rPr>
          <w:rFonts w:ascii="Times New Roman" w:eastAsia="Times New Roman" w:hAnsi="Times New Roman" w:cs="Times New Roman"/>
          <w:sz w:val="24"/>
          <w:szCs w:val="24"/>
          <w:lang w:val="uk-UA"/>
        </w:rPr>
        <w:t>;</w:t>
      </w:r>
    </w:p>
    <w:p w:rsidR="00AD5FD1" w:rsidRPr="00AD5FD1" w:rsidRDefault="00AD5FD1" w:rsidP="00AD5FD1">
      <w:pPr>
        <w:spacing w:after="0" w:line="240" w:lineRule="auto"/>
        <w:ind w:right="-2" w:firstLine="567"/>
        <w:jc w:val="both"/>
        <w:rPr>
          <w:rFonts w:ascii="Times New Roman" w:eastAsia="Times New Roman" w:hAnsi="Times New Roman" w:cs="Times New Roman"/>
          <w:sz w:val="24"/>
          <w:szCs w:val="24"/>
          <w:lang w:val="uk-UA"/>
        </w:rPr>
      </w:pPr>
      <w:r w:rsidRPr="00AD5FD1">
        <w:rPr>
          <w:rFonts w:ascii="Times New Roman" w:eastAsia="Times New Roman" w:hAnsi="Times New Roman" w:cs="Times New Roman"/>
          <w:sz w:val="24"/>
          <w:szCs w:val="24"/>
          <w:lang w:val="uk-UA"/>
        </w:rPr>
        <w:t xml:space="preserve">- </w:t>
      </w:r>
      <w:r w:rsidR="003269D8">
        <w:rPr>
          <w:rFonts w:ascii="Times New Roman" w:eastAsia="Times New Roman" w:hAnsi="Times New Roman" w:cs="Times New Roman"/>
          <w:sz w:val="24"/>
          <w:szCs w:val="24"/>
          <w:lang w:val="uk-UA"/>
        </w:rPr>
        <w:t>а</w:t>
      </w:r>
      <w:r w:rsidR="003269D8" w:rsidRPr="003269D8">
        <w:rPr>
          <w:rFonts w:ascii="Times New Roman" w:eastAsia="Times New Roman" w:hAnsi="Times New Roman" w:cs="Times New Roman"/>
          <w:sz w:val="24"/>
          <w:szCs w:val="24"/>
          <w:lang w:val="uk-UA"/>
        </w:rPr>
        <w:t>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w:t>
      </w:r>
      <w:r w:rsidR="003269D8">
        <w:rPr>
          <w:rFonts w:ascii="Times New Roman" w:eastAsia="Times New Roman" w:hAnsi="Times New Roman" w:cs="Times New Roman"/>
          <w:sz w:val="24"/>
          <w:szCs w:val="24"/>
          <w:lang w:val="uk-UA"/>
        </w:rPr>
        <w:t>;</w:t>
      </w:r>
    </w:p>
    <w:p w:rsidR="00AD5FD1" w:rsidRPr="00AD5FD1" w:rsidRDefault="00AD5FD1" w:rsidP="00AD5FD1">
      <w:pPr>
        <w:spacing w:after="0" w:line="240" w:lineRule="auto"/>
        <w:ind w:right="-2" w:firstLine="567"/>
        <w:jc w:val="both"/>
        <w:rPr>
          <w:rFonts w:ascii="Times New Roman" w:eastAsia="Times New Roman" w:hAnsi="Times New Roman" w:cs="Times New Roman"/>
          <w:sz w:val="24"/>
          <w:szCs w:val="24"/>
          <w:lang w:val="uk-UA"/>
        </w:rPr>
      </w:pPr>
      <w:r w:rsidRPr="00AD5FD1">
        <w:rPr>
          <w:rFonts w:ascii="Times New Roman" w:eastAsia="Times New Roman" w:hAnsi="Times New Roman" w:cs="Times New Roman"/>
          <w:sz w:val="24"/>
          <w:szCs w:val="24"/>
          <w:lang w:val="uk-UA"/>
        </w:rPr>
        <w:t xml:space="preserve">- </w:t>
      </w:r>
      <w:r w:rsidR="003269D8">
        <w:rPr>
          <w:rFonts w:ascii="Times New Roman" w:eastAsia="Times New Roman" w:hAnsi="Times New Roman" w:cs="Times New Roman"/>
          <w:sz w:val="24"/>
          <w:szCs w:val="24"/>
          <w:lang w:val="uk-UA"/>
        </w:rPr>
        <w:t>а</w:t>
      </w:r>
      <w:r w:rsidR="003269D8" w:rsidRPr="003269D8">
        <w:rPr>
          <w:rFonts w:ascii="Times New Roman" w:eastAsia="Times New Roman" w:hAnsi="Times New Roman" w:cs="Times New Roman"/>
          <w:sz w:val="24"/>
          <w:szCs w:val="24"/>
          <w:lang w:val="uk-UA"/>
        </w:rPr>
        <w:t>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w:t>
      </w:r>
      <w:r w:rsidR="003269D8">
        <w:rPr>
          <w:rFonts w:ascii="Times New Roman" w:eastAsia="Times New Roman" w:hAnsi="Times New Roman" w:cs="Times New Roman"/>
          <w:sz w:val="24"/>
          <w:szCs w:val="24"/>
          <w:lang w:val="uk-UA"/>
        </w:rPr>
        <w:t>.</w:t>
      </w:r>
    </w:p>
    <w:p w:rsidR="00610352" w:rsidRPr="00610352" w:rsidRDefault="00610352" w:rsidP="00610352">
      <w:pPr>
        <w:spacing w:after="0" w:line="240" w:lineRule="auto"/>
        <w:ind w:firstLine="567"/>
        <w:jc w:val="both"/>
        <w:rPr>
          <w:rFonts w:ascii="Times New Roman" w:eastAsia="Times New Roman" w:hAnsi="Times New Roman" w:cs="Times New Roman"/>
          <w:sz w:val="24"/>
          <w:szCs w:val="24"/>
          <w:lang w:val="uk-UA" w:eastAsia="ru-RU"/>
        </w:rPr>
      </w:pPr>
      <w:r w:rsidRPr="00610352">
        <w:rPr>
          <w:rFonts w:ascii="Times New Roman" w:eastAsia="Times New Roman" w:hAnsi="Times New Roman" w:cs="Times New Roman"/>
          <w:sz w:val="24"/>
          <w:szCs w:val="24"/>
          <w:lang w:val="uk-UA" w:eastAsia="ru-RU"/>
        </w:rPr>
        <w:t>Частиною 3 статті 64 Бюджетного кодексу України встановлено, що акцизний податок з реалізації суб’єктами господарювання роздрібної торгівлі тютюнових виробів, тютюну та промислових замінників тютюну, рідин, що використовуються в електронних сигаретах, зараховується до бюджетів місцевого самоврядування автоматично відповідно до часток, що визначаються щомісячно.</w:t>
      </w:r>
    </w:p>
    <w:p w:rsidR="00610352" w:rsidRPr="00610352" w:rsidRDefault="00610352" w:rsidP="00610352">
      <w:pPr>
        <w:spacing w:after="0" w:line="240" w:lineRule="auto"/>
        <w:ind w:firstLine="567"/>
        <w:jc w:val="both"/>
        <w:rPr>
          <w:rFonts w:ascii="Times New Roman" w:eastAsia="Times New Roman" w:hAnsi="Times New Roman" w:cs="Times New Roman"/>
          <w:sz w:val="24"/>
          <w:szCs w:val="24"/>
          <w:lang w:val="uk-UA" w:eastAsia="ru-RU"/>
        </w:rPr>
      </w:pPr>
      <w:r w:rsidRPr="00610352">
        <w:rPr>
          <w:rFonts w:ascii="Times New Roman" w:eastAsia="Times New Roman" w:hAnsi="Times New Roman" w:cs="Times New Roman"/>
          <w:sz w:val="24"/>
          <w:szCs w:val="24"/>
          <w:lang w:val="uk-UA" w:eastAsia="ru-RU"/>
        </w:rPr>
        <w:t>Відповідно до Порядку зарахування акцизного податку з реалізації суб’єктами господарювання роздрібної торгівлі тютюнових виробів, тютюну, рідин що використовуються в електронних сигаретах, затвердженого постановою Кабінету Міністрів України від 03 травня 2022 року № 515, Державна податкова служба щомісяця визначає частки для зарахування акцизного податку у розрізі бюджетів місцевого самоврядування з урахуванням актуального довідника місцевих бюджетів та подають їх до Державної казначейської служби не пізніше 15 числа кожного місяця.</w:t>
      </w:r>
    </w:p>
    <w:p w:rsidR="00610352" w:rsidRPr="0097348E" w:rsidRDefault="00610352" w:rsidP="00C00B5C">
      <w:pPr>
        <w:spacing w:after="0" w:line="240" w:lineRule="auto"/>
        <w:ind w:firstLine="567"/>
        <w:jc w:val="both"/>
        <w:rPr>
          <w:rFonts w:ascii="Times New Roman" w:eastAsia="Times New Roman" w:hAnsi="Times New Roman" w:cs="Times New Roman"/>
          <w:sz w:val="24"/>
          <w:szCs w:val="24"/>
          <w:lang w:val="uk-UA" w:eastAsia="ru-RU"/>
        </w:rPr>
      </w:pPr>
      <w:r w:rsidRPr="00610352">
        <w:rPr>
          <w:rFonts w:ascii="Times New Roman" w:eastAsia="Times New Roman" w:hAnsi="Times New Roman" w:cs="Times New Roman"/>
          <w:sz w:val="24"/>
          <w:szCs w:val="24"/>
          <w:lang w:val="uk-UA" w:eastAsia="ru-RU"/>
        </w:rPr>
        <w:t>Державна казначейська служба щомісяця здійснює розподіл акцизного податку з реалізації суб’єктами господарювання роздрібної торгівлі тютюнових виробів, тютюну та промислових замінників тютюну, рідин, що використовуються в електронних сигаретах, між відповідними бюджетами місцевого самоврядування згідно з отриманими частками не пізніше останньог</w:t>
      </w:r>
      <w:r w:rsidR="00C00B5C">
        <w:rPr>
          <w:rFonts w:ascii="Times New Roman" w:eastAsia="Times New Roman" w:hAnsi="Times New Roman" w:cs="Times New Roman"/>
          <w:sz w:val="24"/>
          <w:szCs w:val="24"/>
          <w:lang w:val="uk-UA" w:eastAsia="ru-RU"/>
        </w:rPr>
        <w:t xml:space="preserve">о робочого дня кожного місяця. </w:t>
      </w:r>
    </w:p>
    <w:p w:rsidR="00B62245" w:rsidRPr="00B62245" w:rsidRDefault="00B62245" w:rsidP="00B62245">
      <w:pPr>
        <w:spacing w:after="0" w:line="240" w:lineRule="auto"/>
        <w:ind w:firstLine="567"/>
        <w:jc w:val="both"/>
        <w:rPr>
          <w:rFonts w:ascii="Times New Roman" w:eastAsia="Times New Roman" w:hAnsi="Times New Roman" w:cs="Times New Roman"/>
          <w:sz w:val="24"/>
          <w:szCs w:val="24"/>
          <w:lang w:val="uk-UA" w:eastAsia="ru-RU"/>
        </w:rPr>
      </w:pPr>
      <w:r w:rsidRPr="00B62245">
        <w:rPr>
          <w:rFonts w:ascii="Times New Roman" w:eastAsia="Times New Roman" w:hAnsi="Times New Roman" w:cs="Times New Roman"/>
          <w:sz w:val="24"/>
          <w:szCs w:val="24"/>
          <w:lang w:val="uk-UA" w:eastAsia="ru-RU"/>
        </w:rPr>
        <w:t>Пунктами 161, 162 статті 64 «Склад доходів загального фонду бюджетів сільських, селищних, міських територіальних громад» Бюджетного кодексу України встановлено, що 13,44 % акцизного податку з виробленого в Україні та ввезеного на митну територію України пального у порядку, визначеному Кабінетом Міністрів України, зараховуються до загального фонду відповідних бюджетів місцевого самоврядування автоматично:</w:t>
      </w:r>
    </w:p>
    <w:p w:rsidR="00B62245" w:rsidRPr="00B62245" w:rsidRDefault="00B62245" w:rsidP="00B62245">
      <w:pPr>
        <w:spacing w:after="0" w:line="240" w:lineRule="auto"/>
        <w:ind w:firstLine="567"/>
        <w:jc w:val="both"/>
        <w:rPr>
          <w:rFonts w:ascii="Times New Roman" w:eastAsia="Times New Roman" w:hAnsi="Times New Roman" w:cs="Times New Roman"/>
          <w:sz w:val="24"/>
          <w:szCs w:val="24"/>
          <w:lang w:val="uk-UA" w:eastAsia="ru-RU"/>
        </w:rPr>
      </w:pPr>
      <w:r w:rsidRPr="00B62245">
        <w:rPr>
          <w:rFonts w:ascii="Times New Roman" w:eastAsia="Times New Roman" w:hAnsi="Times New Roman" w:cs="Times New Roman"/>
          <w:sz w:val="24"/>
          <w:szCs w:val="24"/>
          <w:lang w:val="uk-UA" w:eastAsia="ru-RU"/>
        </w:rPr>
        <w:t>1)</w:t>
      </w:r>
      <w:r w:rsidR="004C4B7E">
        <w:rPr>
          <w:rFonts w:ascii="Times New Roman" w:eastAsia="Times New Roman" w:hAnsi="Times New Roman" w:cs="Times New Roman"/>
          <w:sz w:val="24"/>
          <w:szCs w:val="24"/>
          <w:lang w:val="uk-UA" w:eastAsia="ru-RU"/>
        </w:rPr>
        <w:t xml:space="preserve"> </w:t>
      </w:r>
      <w:r w:rsidRPr="00B62245">
        <w:rPr>
          <w:rFonts w:ascii="Times New Roman" w:eastAsia="Times New Roman" w:hAnsi="Times New Roman" w:cs="Times New Roman"/>
          <w:sz w:val="24"/>
          <w:szCs w:val="24"/>
          <w:lang w:val="uk-UA" w:eastAsia="ru-RU"/>
        </w:rPr>
        <w:t xml:space="preserve">у першому півріччі поточного бюджетного періоду – </w:t>
      </w:r>
      <w:proofErr w:type="spellStart"/>
      <w:r w:rsidRPr="00B62245">
        <w:rPr>
          <w:rFonts w:ascii="Times New Roman" w:eastAsia="Times New Roman" w:hAnsi="Times New Roman" w:cs="Times New Roman"/>
          <w:sz w:val="24"/>
          <w:szCs w:val="24"/>
          <w:lang w:val="uk-UA" w:eastAsia="ru-RU"/>
        </w:rPr>
        <w:t>пропорційно</w:t>
      </w:r>
      <w:proofErr w:type="spellEnd"/>
      <w:r w:rsidRPr="00B62245">
        <w:rPr>
          <w:rFonts w:ascii="Times New Roman" w:eastAsia="Times New Roman" w:hAnsi="Times New Roman" w:cs="Times New Roman"/>
          <w:sz w:val="24"/>
          <w:szCs w:val="24"/>
          <w:lang w:val="uk-UA" w:eastAsia="ru-RU"/>
        </w:rPr>
        <w:t xml:space="preserve"> до обсягу реалізованого суб’єктами господарювання роздрібної торгівлі пального на відповідній території за друге півріччя попереднього бюджетного періоду в загальному обсязі такого реалізованого пального в цілому по Україні за друге півріччя відповідного бюджетного періоду;</w:t>
      </w:r>
    </w:p>
    <w:p w:rsidR="00B62245" w:rsidRDefault="00B62245" w:rsidP="00B62245">
      <w:pPr>
        <w:spacing w:after="0" w:line="240" w:lineRule="auto"/>
        <w:ind w:firstLine="567"/>
        <w:jc w:val="both"/>
        <w:rPr>
          <w:rFonts w:ascii="Times New Roman" w:eastAsia="Times New Roman" w:hAnsi="Times New Roman" w:cs="Times New Roman"/>
          <w:sz w:val="24"/>
          <w:szCs w:val="24"/>
          <w:lang w:val="uk-UA" w:eastAsia="ru-RU"/>
        </w:rPr>
      </w:pPr>
      <w:r w:rsidRPr="00B62245">
        <w:rPr>
          <w:rFonts w:ascii="Times New Roman" w:eastAsia="Times New Roman" w:hAnsi="Times New Roman" w:cs="Times New Roman"/>
          <w:sz w:val="24"/>
          <w:szCs w:val="24"/>
          <w:lang w:val="uk-UA" w:eastAsia="ru-RU"/>
        </w:rPr>
        <w:t>2)</w:t>
      </w:r>
      <w:r w:rsidR="004C4B7E">
        <w:rPr>
          <w:rFonts w:ascii="Times New Roman" w:eastAsia="Times New Roman" w:hAnsi="Times New Roman" w:cs="Times New Roman"/>
          <w:sz w:val="24"/>
          <w:szCs w:val="24"/>
          <w:lang w:val="uk-UA" w:eastAsia="ru-RU"/>
        </w:rPr>
        <w:t xml:space="preserve"> </w:t>
      </w:r>
      <w:r w:rsidRPr="00B62245">
        <w:rPr>
          <w:rFonts w:ascii="Times New Roman" w:eastAsia="Times New Roman" w:hAnsi="Times New Roman" w:cs="Times New Roman"/>
          <w:sz w:val="24"/>
          <w:szCs w:val="24"/>
          <w:lang w:val="uk-UA" w:eastAsia="ru-RU"/>
        </w:rPr>
        <w:t xml:space="preserve">у другому півріччі поточного бюджетного періоду – </w:t>
      </w:r>
      <w:proofErr w:type="spellStart"/>
      <w:r w:rsidRPr="00B62245">
        <w:rPr>
          <w:rFonts w:ascii="Times New Roman" w:eastAsia="Times New Roman" w:hAnsi="Times New Roman" w:cs="Times New Roman"/>
          <w:sz w:val="24"/>
          <w:szCs w:val="24"/>
          <w:lang w:val="uk-UA" w:eastAsia="ru-RU"/>
        </w:rPr>
        <w:t>пропорційно</w:t>
      </w:r>
      <w:proofErr w:type="spellEnd"/>
      <w:r w:rsidRPr="00B62245">
        <w:rPr>
          <w:rFonts w:ascii="Times New Roman" w:eastAsia="Times New Roman" w:hAnsi="Times New Roman" w:cs="Times New Roman"/>
          <w:sz w:val="24"/>
          <w:szCs w:val="24"/>
          <w:lang w:val="uk-UA" w:eastAsia="ru-RU"/>
        </w:rPr>
        <w:t xml:space="preserve"> до обсягу реалізованого суб’єктами господарювання роздрібної торгівлі пального на відповідній території за перше півріччя поточного бюджетного періоду в загальному обсязі такого реалізованого пального в цілому по Україні за перше півріччя відповідного бюджетного періоду.</w:t>
      </w:r>
    </w:p>
    <w:p w:rsidR="00BD798A" w:rsidRDefault="00BD798A" w:rsidP="00BD798A">
      <w:pPr>
        <w:shd w:val="clear" w:color="auto" w:fill="FFFFFF"/>
        <w:tabs>
          <w:tab w:val="left" w:pos="709"/>
          <w:tab w:val="left" w:pos="851"/>
          <w:tab w:val="left" w:pos="1134"/>
        </w:tabs>
        <w:spacing w:after="0" w:line="240" w:lineRule="auto"/>
        <w:ind w:firstLine="567"/>
        <w:jc w:val="both"/>
        <w:rPr>
          <w:rFonts w:ascii="Times New Roman" w:eastAsia="Times New Roman" w:hAnsi="Times New Roman" w:cs="Times New Roman"/>
          <w:sz w:val="24"/>
          <w:szCs w:val="24"/>
          <w:lang w:val="uk-UA"/>
        </w:rPr>
      </w:pPr>
      <w:r w:rsidRPr="00951609">
        <w:rPr>
          <w:rFonts w:ascii="Times New Roman" w:eastAsia="Times New Roman" w:hAnsi="Times New Roman" w:cs="Times New Roman"/>
          <w:sz w:val="24"/>
          <w:szCs w:val="24"/>
          <w:lang w:val="uk-UA"/>
        </w:rPr>
        <w:t xml:space="preserve">Прогнозні надходження </w:t>
      </w:r>
      <w:r w:rsidRPr="00577228">
        <w:rPr>
          <w:rFonts w:ascii="Times New Roman" w:eastAsia="Times New Roman" w:hAnsi="Times New Roman" w:cs="Times New Roman"/>
          <w:sz w:val="24"/>
          <w:szCs w:val="24"/>
          <w:lang w:val="uk-UA"/>
        </w:rPr>
        <w:t xml:space="preserve">акцизного податку з вироблених в Україні та з ввезених на митну територію України  підакцизних товарів (продукції) (Пальне)  - </w:t>
      </w:r>
      <w:r w:rsidRPr="00951609">
        <w:rPr>
          <w:rFonts w:ascii="Times New Roman" w:eastAsia="Times New Roman" w:hAnsi="Times New Roman" w:cs="Times New Roman"/>
          <w:sz w:val="24"/>
          <w:szCs w:val="24"/>
          <w:lang w:val="uk-UA"/>
        </w:rPr>
        <w:t xml:space="preserve">враховані в проєкті бюджету у сумі </w:t>
      </w:r>
      <w:r w:rsidRPr="00577228">
        <w:rPr>
          <w:rFonts w:ascii="Times New Roman" w:eastAsia="Times New Roman" w:hAnsi="Times New Roman" w:cs="Times New Roman"/>
          <w:sz w:val="24"/>
          <w:szCs w:val="24"/>
          <w:lang w:val="uk-UA"/>
        </w:rPr>
        <w:t>11 500,0 тис.</w:t>
      </w:r>
      <w:r w:rsidRPr="00951609">
        <w:rPr>
          <w:rFonts w:ascii="Times New Roman" w:eastAsia="Times New Roman" w:hAnsi="Times New Roman" w:cs="Times New Roman"/>
          <w:sz w:val="24"/>
          <w:szCs w:val="24"/>
          <w:lang w:val="uk-UA"/>
        </w:rPr>
        <w:t xml:space="preserve"> грн, що складає 2</w:t>
      </w:r>
      <w:r>
        <w:rPr>
          <w:rFonts w:ascii="Times New Roman" w:eastAsia="Times New Roman" w:hAnsi="Times New Roman" w:cs="Times New Roman"/>
          <w:sz w:val="24"/>
          <w:szCs w:val="24"/>
          <w:lang w:val="uk-UA"/>
        </w:rPr>
        <w:t>7,9</w:t>
      </w:r>
      <w:r w:rsidRPr="00951609">
        <w:rPr>
          <w:rFonts w:ascii="Times New Roman" w:eastAsia="Times New Roman" w:hAnsi="Times New Roman" w:cs="Times New Roman"/>
          <w:sz w:val="24"/>
          <w:szCs w:val="24"/>
          <w:lang w:val="uk-UA"/>
        </w:rPr>
        <w:t xml:space="preserve"> %</w:t>
      </w:r>
      <w:r w:rsidR="004402CA">
        <w:rPr>
          <w:rFonts w:ascii="Times New Roman" w:eastAsia="Times New Roman" w:hAnsi="Times New Roman" w:cs="Times New Roman"/>
          <w:sz w:val="24"/>
          <w:szCs w:val="24"/>
          <w:lang w:val="uk-UA"/>
        </w:rPr>
        <w:t xml:space="preserve"> розрахункових </w:t>
      </w:r>
      <w:r w:rsidRPr="00951609">
        <w:rPr>
          <w:rFonts w:ascii="Times New Roman" w:eastAsia="Times New Roman" w:hAnsi="Times New Roman" w:cs="Times New Roman"/>
          <w:sz w:val="24"/>
          <w:szCs w:val="24"/>
          <w:lang w:val="uk-UA"/>
        </w:rPr>
        <w:t xml:space="preserve"> надходжень акцизного податку.</w:t>
      </w:r>
    </w:p>
    <w:p w:rsidR="00BD798A" w:rsidRDefault="00BD798A" w:rsidP="00BD798A">
      <w:pPr>
        <w:spacing w:after="0" w:line="240" w:lineRule="auto"/>
        <w:ind w:firstLine="567"/>
        <w:jc w:val="both"/>
        <w:rPr>
          <w:rFonts w:ascii="Times New Roman" w:eastAsia="Times New Roman" w:hAnsi="Times New Roman" w:cs="Times New Roman"/>
          <w:sz w:val="24"/>
          <w:szCs w:val="24"/>
          <w:lang w:val="uk-UA" w:eastAsia="ru-RU"/>
        </w:rPr>
      </w:pPr>
      <w:r w:rsidRPr="00951609">
        <w:rPr>
          <w:rFonts w:ascii="Times New Roman" w:eastAsia="Times New Roman" w:hAnsi="Times New Roman" w:cs="Times New Roman"/>
          <w:sz w:val="24"/>
          <w:szCs w:val="24"/>
          <w:lang w:val="uk-UA" w:eastAsia="ru-RU"/>
        </w:rPr>
        <w:t>Прогнозні</w:t>
      </w:r>
      <w:r>
        <w:rPr>
          <w:rFonts w:ascii="Times New Roman" w:eastAsia="Times New Roman" w:hAnsi="Times New Roman" w:cs="Times New Roman"/>
          <w:sz w:val="24"/>
          <w:szCs w:val="24"/>
          <w:lang w:val="uk-UA" w:eastAsia="ru-RU"/>
        </w:rPr>
        <w:t xml:space="preserve"> </w:t>
      </w:r>
      <w:r w:rsidRPr="00577228">
        <w:rPr>
          <w:rFonts w:ascii="Times New Roman" w:eastAsia="Times New Roman" w:hAnsi="Times New Roman" w:cs="Times New Roman"/>
          <w:sz w:val="24"/>
          <w:szCs w:val="24"/>
          <w:lang w:val="uk-UA" w:eastAsia="ru-RU"/>
        </w:rPr>
        <w:t>надходження акцизного податку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w:t>
      </w:r>
      <w:r w:rsidRPr="00951609">
        <w:rPr>
          <w:rFonts w:ascii="Times New Roman" w:eastAsia="Times New Roman" w:hAnsi="Times New Roman" w:cs="Times New Roman"/>
          <w:sz w:val="24"/>
          <w:szCs w:val="24"/>
          <w:lang w:val="uk-UA" w:eastAsia="ru-RU"/>
        </w:rPr>
        <w:t xml:space="preserve"> </w:t>
      </w:r>
      <w:r w:rsidRPr="00577228">
        <w:rPr>
          <w:rFonts w:ascii="Times New Roman" w:eastAsia="Times New Roman" w:hAnsi="Times New Roman" w:cs="Times New Roman"/>
          <w:sz w:val="24"/>
          <w:szCs w:val="24"/>
          <w:lang w:val="uk-UA" w:eastAsia="ru-RU"/>
        </w:rPr>
        <w:t xml:space="preserve"> враховані </w:t>
      </w:r>
      <w:r w:rsidRPr="00951609">
        <w:rPr>
          <w:rFonts w:ascii="Times New Roman" w:eastAsia="Times New Roman" w:hAnsi="Times New Roman" w:cs="Times New Roman"/>
          <w:sz w:val="24"/>
          <w:szCs w:val="24"/>
          <w:lang w:val="uk-UA" w:eastAsia="ru-RU"/>
        </w:rPr>
        <w:t xml:space="preserve">у сумі </w:t>
      </w:r>
      <w:r w:rsidRPr="00577228">
        <w:rPr>
          <w:rFonts w:ascii="Times New Roman" w:eastAsia="Times New Roman" w:hAnsi="Times New Roman" w:cs="Times New Roman"/>
          <w:sz w:val="24"/>
          <w:szCs w:val="24"/>
          <w:lang w:val="uk-UA" w:eastAsia="ru-RU"/>
        </w:rPr>
        <w:t>1</w:t>
      </w:r>
      <w:r>
        <w:rPr>
          <w:rFonts w:ascii="Times New Roman" w:eastAsia="Times New Roman" w:hAnsi="Times New Roman" w:cs="Times New Roman"/>
          <w:sz w:val="24"/>
          <w:szCs w:val="24"/>
          <w:lang w:val="uk-UA" w:eastAsia="ru-RU"/>
        </w:rPr>
        <w:t>5 48</w:t>
      </w:r>
      <w:r w:rsidRPr="00577228">
        <w:rPr>
          <w:rFonts w:ascii="Times New Roman" w:eastAsia="Times New Roman" w:hAnsi="Times New Roman" w:cs="Times New Roman"/>
          <w:sz w:val="24"/>
          <w:szCs w:val="24"/>
          <w:lang w:val="uk-UA" w:eastAsia="ru-RU"/>
        </w:rPr>
        <w:t>0,0 тис.</w:t>
      </w:r>
      <w:r w:rsidRPr="00951609">
        <w:rPr>
          <w:rFonts w:ascii="Times New Roman" w:eastAsia="Times New Roman" w:hAnsi="Times New Roman" w:cs="Times New Roman"/>
          <w:sz w:val="24"/>
          <w:szCs w:val="24"/>
          <w:lang w:val="uk-UA" w:eastAsia="ru-RU"/>
        </w:rPr>
        <w:t xml:space="preserve"> грн, що складе </w:t>
      </w:r>
      <w:r>
        <w:rPr>
          <w:rFonts w:ascii="Times New Roman" w:eastAsia="Times New Roman" w:hAnsi="Times New Roman" w:cs="Times New Roman"/>
          <w:sz w:val="24"/>
          <w:szCs w:val="24"/>
          <w:lang w:val="uk-UA" w:eastAsia="ru-RU"/>
        </w:rPr>
        <w:t>37,6</w:t>
      </w:r>
      <w:r w:rsidRPr="00951609">
        <w:rPr>
          <w:rFonts w:ascii="Times New Roman" w:eastAsia="Times New Roman" w:hAnsi="Times New Roman" w:cs="Times New Roman"/>
          <w:sz w:val="24"/>
          <w:szCs w:val="24"/>
          <w:lang w:val="uk-UA" w:eastAsia="ru-RU"/>
        </w:rPr>
        <w:t xml:space="preserve"> %</w:t>
      </w:r>
      <w:r w:rsidR="004402CA">
        <w:rPr>
          <w:rFonts w:ascii="Times New Roman" w:eastAsia="Times New Roman" w:hAnsi="Times New Roman" w:cs="Times New Roman"/>
          <w:sz w:val="24"/>
          <w:szCs w:val="24"/>
          <w:lang w:val="uk-UA" w:eastAsia="ru-RU"/>
        </w:rPr>
        <w:t xml:space="preserve"> розрахункових</w:t>
      </w:r>
      <w:r w:rsidRPr="00951609">
        <w:rPr>
          <w:rFonts w:ascii="Times New Roman" w:eastAsia="Times New Roman" w:hAnsi="Times New Roman" w:cs="Times New Roman"/>
          <w:sz w:val="24"/>
          <w:szCs w:val="24"/>
          <w:lang w:val="uk-UA" w:eastAsia="ru-RU"/>
        </w:rPr>
        <w:t xml:space="preserve"> надходжень акцизного податку.</w:t>
      </w:r>
    </w:p>
    <w:p w:rsidR="00BD798A" w:rsidRDefault="00BD798A" w:rsidP="00BD798A">
      <w:pPr>
        <w:spacing w:after="0" w:line="240" w:lineRule="auto"/>
        <w:ind w:firstLine="567"/>
        <w:jc w:val="both"/>
        <w:rPr>
          <w:rFonts w:ascii="Times New Roman" w:eastAsia="Times New Roman" w:hAnsi="Times New Roman" w:cs="Times New Roman"/>
          <w:sz w:val="24"/>
          <w:szCs w:val="24"/>
          <w:highlight w:val="yellow"/>
          <w:lang w:val="uk-UA" w:eastAsia="ru-RU"/>
        </w:rPr>
      </w:pPr>
      <w:r w:rsidRPr="006433B2">
        <w:rPr>
          <w:rFonts w:ascii="Times New Roman" w:eastAsia="Times New Roman" w:hAnsi="Times New Roman" w:cs="Times New Roman"/>
          <w:sz w:val="24"/>
          <w:szCs w:val="24"/>
          <w:lang w:val="uk-UA" w:eastAsia="ru-RU"/>
        </w:rPr>
        <w:t xml:space="preserve">Прогнозні надходження акцизного податку з реалізації суб`єктами господарювання роздрібної торгівлі підакцизних товарів (крім тих, що оподатковуються згідно з підпунктом </w:t>
      </w:r>
      <w:r w:rsidRPr="006433B2">
        <w:rPr>
          <w:rFonts w:ascii="Times New Roman" w:eastAsia="Times New Roman" w:hAnsi="Times New Roman" w:cs="Times New Roman"/>
          <w:sz w:val="24"/>
          <w:szCs w:val="24"/>
          <w:lang w:val="uk-UA" w:eastAsia="ru-RU"/>
        </w:rPr>
        <w:lastRenderedPageBreak/>
        <w:t xml:space="preserve">213.1.14 пункту 213.1 статті 213 Податкового кодексу України) визначені </w:t>
      </w:r>
      <w:r>
        <w:rPr>
          <w:rFonts w:ascii="Times New Roman" w:eastAsia="Times New Roman" w:hAnsi="Times New Roman" w:cs="Times New Roman"/>
          <w:sz w:val="24"/>
          <w:szCs w:val="24"/>
          <w:lang w:val="uk-UA" w:eastAsia="ru-RU"/>
        </w:rPr>
        <w:t xml:space="preserve">                                                      </w:t>
      </w:r>
      <w:r w:rsidR="004402CA">
        <w:rPr>
          <w:rFonts w:ascii="Times New Roman" w:eastAsia="Times New Roman" w:hAnsi="Times New Roman" w:cs="Times New Roman"/>
          <w:sz w:val="24"/>
          <w:szCs w:val="24"/>
          <w:lang w:val="uk-UA" w:eastAsia="ru-RU"/>
        </w:rPr>
        <w:t xml:space="preserve">у сумі </w:t>
      </w:r>
      <w:r w:rsidRPr="006433B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14 2</w:t>
      </w:r>
      <w:r w:rsidRPr="006433B2">
        <w:rPr>
          <w:rFonts w:ascii="Times New Roman" w:eastAsia="Times New Roman" w:hAnsi="Times New Roman" w:cs="Times New Roman"/>
          <w:sz w:val="24"/>
          <w:szCs w:val="24"/>
          <w:lang w:val="uk-UA" w:eastAsia="ru-RU"/>
        </w:rPr>
        <w:t>00,0 тис.</w:t>
      </w:r>
      <w:r>
        <w:rPr>
          <w:rFonts w:ascii="Times New Roman" w:eastAsia="Times New Roman" w:hAnsi="Times New Roman" w:cs="Times New Roman"/>
          <w:sz w:val="24"/>
          <w:szCs w:val="24"/>
          <w:lang w:val="uk-UA" w:eastAsia="ru-RU"/>
        </w:rPr>
        <w:t xml:space="preserve"> </w:t>
      </w:r>
      <w:r w:rsidRPr="006433B2">
        <w:rPr>
          <w:rFonts w:ascii="Times New Roman" w:eastAsia="Times New Roman" w:hAnsi="Times New Roman" w:cs="Times New Roman"/>
          <w:sz w:val="24"/>
          <w:szCs w:val="24"/>
          <w:lang w:val="uk-UA" w:eastAsia="ru-RU"/>
        </w:rPr>
        <w:t xml:space="preserve">грн. що складає </w:t>
      </w:r>
      <w:r>
        <w:rPr>
          <w:rFonts w:ascii="Times New Roman" w:eastAsia="Times New Roman" w:hAnsi="Times New Roman" w:cs="Times New Roman"/>
          <w:sz w:val="24"/>
          <w:szCs w:val="24"/>
          <w:lang w:val="uk-UA" w:eastAsia="ru-RU"/>
        </w:rPr>
        <w:t>3</w:t>
      </w:r>
      <w:r w:rsidR="00082C66">
        <w:rPr>
          <w:rFonts w:ascii="Times New Roman" w:eastAsia="Times New Roman" w:hAnsi="Times New Roman" w:cs="Times New Roman"/>
          <w:sz w:val="24"/>
          <w:szCs w:val="24"/>
          <w:lang w:val="uk-UA" w:eastAsia="ru-RU"/>
        </w:rPr>
        <w:t>4</w:t>
      </w:r>
      <w:r>
        <w:rPr>
          <w:rFonts w:ascii="Times New Roman" w:eastAsia="Times New Roman" w:hAnsi="Times New Roman" w:cs="Times New Roman"/>
          <w:sz w:val="24"/>
          <w:szCs w:val="24"/>
          <w:lang w:val="uk-UA" w:eastAsia="ru-RU"/>
        </w:rPr>
        <w:t>,5</w:t>
      </w:r>
      <w:r w:rsidRPr="006433B2">
        <w:rPr>
          <w:rFonts w:ascii="Times New Roman" w:eastAsia="Times New Roman" w:hAnsi="Times New Roman" w:cs="Times New Roman"/>
          <w:sz w:val="24"/>
          <w:szCs w:val="24"/>
          <w:lang w:val="uk-UA" w:eastAsia="ru-RU"/>
        </w:rPr>
        <w:t xml:space="preserve"> % </w:t>
      </w:r>
      <w:r w:rsidR="004402CA">
        <w:rPr>
          <w:rFonts w:ascii="Times New Roman" w:eastAsia="Times New Roman" w:hAnsi="Times New Roman" w:cs="Times New Roman"/>
          <w:sz w:val="24"/>
          <w:szCs w:val="24"/>
          <w:lang w:val="uk-UA" w:eastAsia="ru-RU"/>
        </w:rPr>
        <w:t xml:space="preserve">розрахункових </w:t>
      </w:r>
      <w:r w:rsidRPr="006433B2">
        <w:rPr>
          <w:rFonts w:ascii="Times New Roman" w:eastAsia="Times New Roman" w:hAnsi="Times New Roman" w:cs="Times New Roman"/>
          <w:sz w:val="24"/>
          <w:szCs w:val="24"/>
          <w:lang w:val="uk-UA" w:eastAsia="ru-RU"/>
        </w:rPr>
        <w:t>надходжень акцизного податку.</w:t>
      </w:r>
      <w:r w:rsidRPr="00951609">
        <w:rPr>
          <w:rFonts w:ascii="Times New Roman" w:eastAsia="Times New Roman" w:hAnsi="Times New Roman" w:cs="Times New Roman"/>
          <w:sz w:val="24"/>
          <w:szCs w:val="24"/>
          <w:highlight w:val="yellow"/>
          <w:lang w:val="uk-UA" w:eastAsia="ru-RU"/>
        </w:rPr>
        <w:t xml:space="preserve"> </w:t>
      </w:r>
    </w:p>
    <w:p w:rsidR="004B1D52" w:rsidRPr="00951609" w:rsidRDefault="004B1D52" w:rsidP="00BD798A">
      <w:pPr>
        <w:spacing w:after="0" w:line="240" w:lineRule="auto"/>
        <w:ind w:firstLine="567"/>
        <w:jc w:val="both"/>
        <w:rPr>
          <w:rFonts w:ascii="Times New Roman" w:eastAsia="Times New Roman" w:hAnsi="Times New Roman" w:cs="Times New Roman"/>
          <w:sz w:val="24"/>
          <w:szCs w:val="24"/>
          <w:highlight w:val="yellow"/>
          <w:lang w:val="uk-UA" w:eastAsia="ru-RU"/>
        </w:rPr>
      </w:pPr>
    </w:p>
    <w:p w:rsidR="002571A1" w:rsidRPr="00F7533D" w:rsidRDefault="002571A1" w:rsidP="002571A1">
      <w:pPr>
        <w:tabs>
          <w:tab w:val="left" w:pos="6820"/>
        </w:tabs>
        <w:jc w:val="center"/>
        <w:rPr>
          <w:rFonts w:ascii="Times New Roman" w:hAnsi="Times New Roman" w:cs="Times New Roman"/>
          <w:sz w:val="26"/>
          <w:szCs w:val="26"/>
          <w:lang w:val="uk-UA"/>
        </w:rPr>
      </w:pPr>
      <w:r w:rsidRPr="00F7533D">
        <w:rPr>
          <w:rFonts w:ascii="Times New Roman" w:hAnsi="Times New Roman" w:cs="Times New Roman"/>
          <w:b/>
          <w:bCs/>
          <w:sz w:val="26"/>
          <w:szCs w:val="26"/>
          <w:lang w:val="uk-UA"/>
        </w:rPr>
        <w:t>Надходження акцизного податку до бюджету  Чорноморської міської територіальної громади за 20</w:t>
      </w:r>
      <w:r w:rsidR="00A16D19">
        <w:rPr>
          <w:rFonts w:ascii="Times New Roman" w:hAnsi="Times New Roman" w:cs="Times New Roman"/>
          <w:b/>
          <w:bCs/>
          <w:sz w:val="26"/>
          <w:szCs w:val="26"/>
          <w:lang w:val="uk-UA"/>
        </w:rPr>
        <w:t>20</w:t>
      </w:r>
      <w:r w:rsidRPr="00F7533D">
        <w:rPr>
          <w:rFonts w:ascii="Times New Roman" w:hAnsi="Times New Roman" w:cs="Times New Roman"/>
          <w:b/>
          <w:bCs/>
          <w:sz w:val="26"/>
          <w:szCs w:val="26"/>
          <w:lang w:val="uk-UA"/>
        </w:rPr>
        <w:t>-2024 роки</w:t>
      </w:r>
      <w:r w:rsidR="0084076F">
        <w:rPr>
          <w:rFonts w:ascii="Times New Roman" w:hAnsi="Times New Roman" w:cs="Times New Roman"/>
          <w:b/>
          <w:bCs/>
          <w:sz w:val="26"/>
          <w:szCs w:val="26"/>
          <w:lang w:val="uk-UA"/>
        </w:rPr>
        <w:t xml:space="preserve"> </w:t>
      </w:r>
      <w:r w:rsidR="00FA049C">
        <w:rPr>
          <w:rFonts w:ascii="Times New Roman" w:hAnsi="Times New Roman" w:cs="Times New Roman"/>
          <w:b/>
          <w:bCs/>
          <w:sz w:val="26"/>
          <w:szCs w:val="26"/>
          <w:lang w:val="uk-UA"/>
        </w:rPr>
        <w:t>(</w:t>
      </w:r>
      <w:r w:rsidR="009F4761">
        <w:rPr>
          <w:rFonts w:ascii="Times New Roman" w:hAnsi="Times New Roman" w:cs="Times New Roman"/>
          <w:b/>
          <w:bCs/>
          <w:sz w:val="26"/>
          <w:szCs w:val="26"/>
          <w:lang w:val="uk-UA"/>
        </w:rPr>
        <w:t>млн</w:t>
      </w:r>
      <w:r w:rsidR="00FA049C">
        <w:rPr>
          <w:rFonts w:ascii="Times New Roman" w:hAnsi="Times New Roman" w:cs="Times New Roman"/>
          <w:b/>
          <w:bCs/>
          <w:sz w:val="26"/>
          <w:szCs w:val="26"/>
          <w:lang w:val="uk-UA"/>
        </w:rPr>
        <w:t>. грн)</w:t>
      </w:r>
    </w:p>
    <w:p w:rsidR="002571A1" w:rsidRDefault="00A16D19" w:rsidP="00FA049C">
      <w:pPr>
        <w:spacing w:after="0" w:line="240" w:lineRule="auto"/>
        <w:jc w:val="both"/>
        <w:rPr>
          <w:rFonts w:ascii="Times New Roman" w:eastAsia="Times New Roman" w:hAnsi="Times New Roman" w:cs="Times New Roman"/>
          <w:sz w:val="24"/>
          <w:szCs w:val="24"/>
          <w:lang w:val="uk-UA"/>
        </w:rPr>
      </w:pPr>
      <w:r w:rsidRPr="005E74D0">
        <w:rPr>
          <w:noProof/>
          <w:lang w:val="uk-UA" w:eastAsia="uk-UA"/>
        </w:rPr>
        <mc:AlternateContent>
          <mc:Choice Requires="wps">
            <w:drawing>
              <wp:anchor distT="0" distB="0" distL="114300" distR="114300" simplePos="0" relativeHeight="251744256" behindDoc="0" locked="0" layoutInCell="1" allowOverlap="1" wp14:anchorId="5B29C343" wp14:editId="6C34C3DE">
                <wp:simplePos x="0" y="0"/>
                <wp:positionH relativeFrom="column">
                  <wp:posOffset>2595825</wp:posOffset>
                </wp:positionH>
                <wp:positionV relativeFrom="paragraph">
                  <wp:posOffset>409023</wp:posOffset>
                </wp:positionV>
                <wp:extent cx="650767" cy="306070"/>
                <wp:effectExtent l="38100" t="190500" r="0" b="189230"/>
                <wp:wrapNone/>
                <wp:docPr id="10"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432874">
                          <a:off x="0" y="0"/>
                          <a:ext cx="650767" cy="306070"/>
                        </a:xfrm>
                        <a:prstGeom prst="rect">
                          <a:avLst/>
                        </a:prstGeom>
                        <a:solidFill>
                          <a:srgbClr val="FFFFFF"/>
                        </a:solidFill>
                        <a:ln w="9525">
                          <a:solidFill>
                            <a:sysClr val="window" lastClr="FFFFFF">
                              <a:lumMod val="100000"/>
                              <a:lumOff val="0"/>
                            </a:sysClr>
                          </a:solidFill>
                          <a:miter lim="800000"/>
                          <a:headEnd/>
                          <a:tailEnd/>
                        </a:ln>
                      </wps:spPr>
                      <wps:txbx>
                        <w:txbxContent>
                          <w:p w:rsidR="005C77AD" w:rsidRPr="005C68C6" w:rsidRDefault="005C77AD" w:rsidP="002571A1">
                            <w:pPr>
                              <w:rPr>
                                <w:rFonts w:ascii="Times New Roman" w:hAnsi="Times New Roman" w:cs="Times New Roman"/>
                                <w:b/>
                                <w:color w:val="FF0000"/>
                                <w:sz w:val="20"/>
                                <w:szCs w:val="20"/>
                                <w:lang w:val="uk-UA"/>
                              </w:rPr>
                            </w:pPr>
                            <w:r>
                              <w:rPr>
                                <w:rFonts w:ascii="Times New Roman" w:hAnsi="Times New Roman" w:cs="Times New Roman"/>
                                <w:b/>
                                <w:color w:val="FF0000"/>
                                <w:sz w:val="20"/>
                                <w:szCs w:val="20"/>
                                <w:lang w:val="uk-UA"/>
                              </w:rPr>
                              <w:t>62,28</w:t>
                            </w:r>
                            <w:r w:rsidRPr="005C68C6">
                              <w:rPr>
                                <w:rFonts w:ascii="Times New Roman" w:hAnsi="Times New Roman" w:cs="Times New Roman"/>
                                <w:b/>
                                <w:color w:val="FF0000"/>
                                <w:sz w:val="20"/>
                                <w:szCs w:val="20"/>
                                <w:lang w:val="uk-UA"/>
                              </w:rPr>
                              <w:t>%</w:t>
                            </w:r>
                          </w:p>
                          <w:p w:rsidR="005C77AD" w:rsidRDefault="005C77AD" w:rsidP="002571A1">
                            <w:pPr>
                              <w:rPr>
                                <w:rFonts w:ascii="Times New Roman" w:hAnsi="Times New Roman" w:cs="Times New Roman"/>
                                <w:b/>
                                <w:color w:val="FF0000"/>
                                <w:sz w:val="20"/>
                                <w:szCs w:val="20"/>
                                <w:lang w:val="uk-UA"/>
                              </w:rPr>
                            </w:pPr>
                            <w:r>
                              <w:rPr>
                                <w:rFonts w:ascii="Times New Roman" w:hAnsi="Times New Roman" w:cs="Times New Roman"/>
                                <w:b/>
                                <w:color w:val="FF0000"/>
                                <w:sz w:val="20"/>
                                <w:szCs w:val="20"/>
                                <w:lang w:val="uk-UA"/>
                              </w:rPr>
                              <w:t>%%%</w:t>
                            </w:r>
                          </w:p>
                          <w:p w:rsidR="005C77AD" w:rsidRPr="005C68C6" w:rsidRDefault="005C77AD" w:rsidP="002571A1">
                            <w:pPr>
                              <w:rPr>
                                <w:rFonts w:ascii="Times New Roman" w:hAnsi="Times New Roman" w:cs="Times New Roman"/>
                                <w:b/>
                                <w:color w:val="FF0000"/>
                                <w:sz w:val="20"/>
                                <w:szCs w:val="20"/>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9C343" id="Rectangle 136" o:spid="_x0000_s1031" style="position:absolute;left:0;text-align:left;margin-left:204.4pt;margin-top:32.2pt;width:51.25pt;height:24.1pt;rotation:2657347fd;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" strokecolor="white">
                <v:textbox>
                  <w:txbxContent>
                    <w:p w:rsidR="005C77AD" w:rsidRPr="005C68C6" w:rsidRDefault="005C77AD" w:rsidP="002571A1">
                      <w:pPr>
                        <w:rPr>
                          <w:rFonts w:ascii="Times New Roman" w:hAnsi="Times New Roman" w:cs="Times New Roman"/>
                          <w:b/>
                          <w:color w:val="FF0000"/>
                          <w:sz w:val="20"/>
                          <w:szCs w:val="20"/>
                          <w:lang w:val="uk-UA"/>
                        </w:rPr>
                      </w:pPr>
                      <w:r>
                        <w:rPr>
                          <w:rFonts w:ascii="Times New Roman" w:hAnsi="Times New Roman" w:cs="Times New Roman"/>
                          <w:b/>
                          <w:color w:val="FF0000"/>
                          <w:sz w:val="20"/>
                          <w:szCs w:val="20"/>
                          <w:lang w:val="uk-UA"/>
                        </w:rPr>
                        <w:t>62,28</w:t>
                      </w:r>
                      <w:r w:rsidRPr="005C68C6">
                        <w:rPr>
                          <w:rFonts w:ascii="Times New Roman" w:hAnsi="Times New Roman" w:cs="Times New Roman"/>
                          <w:b/>
                          <w:color w:val="FF0000"/>
                          <w:sz w:val="20"/>
                          <w:szCs w:val="20"/>
                          <w:lang w:val="uk-UA"/>
                        </w:rPr>
                        <w:t>%</w:t>
                      </w:r>
                    </w:p>
                    <w:p w:rsidR="005C77AD" w:rsidRDefault="005C77AD" w:rsidP="002571A1">
                      <w:pPr>
                        <w:rPr>
                          <w:rFonts w:ascii="Times New Roman" w:hAnsi="Times New Roman" w:cs="Times New Roman"/>
                          <w:b/>
                          <w:color w:val="FF0000"/>
                          <w:sz w:val="20"/>
                          <w:szCs w:val="20"/>
                          <w:lang w:val="uk-UA"/>
                        </w:rPr>
                      </w:pPr>
                      <w:r>
                        <w:rPr>
                          <w:rFonts w:ascii="Times New Roman" w:hAnsi="Times New Roman" w:cs="Times New Roman"/>
                          <w:b/>
                          <w:color w:val="FF0000"/>
                          <w:sz w:val="20"/>
                          <w:szCs w:val="20"/>
                          <w:lang w:val="uk-UA"/>
                        </w:rPr>
                        <w:t>%%%</w:t>
                      </w:r>
                    </w:p>
                    <w:p w:rsidR="005C77AD" w:rsidRPr="005C68C6" w:rsidRDefault="005C77AD" w:rsidP="002571A1">
                      <w:pPr>
                        <w:rPr>
                          <w:rFonts w:ascii="Times New Roman" w:hAnsi="Times New Roman" w:cs="Times New Roman"/>
                          <w:b/>
                          <w:color w:val="FF0000"/>
                          <w:sz w:val="20"/>
                          <w:szCs w:val="20"/>
                          <w:lang w:val="uk-UA"/>
                        </w:rPr>
                      </w:pPr>
                    </w:p>
                  </w:txbxContent>
                </v:textbox>
              </v:rect>
            </w:pict>
          </mc:Fallback>
        </mc:AlternateContent>
      </w:r>
      <w:r w:rsidRPr="005E74D0">
        <w:rPr>
          <w:noProof/>
          <w:lang w:val="uk-UA" w:eastAsia="uk-UA"/>
        </w:rPr>
        <mc:AlternateContent>
          <mc:Choice Requires="wps">
            <w:drawing>
              <wp:anchor distT="0" distB="0" distL="114300" distR="114300" simplePos="0" relativeHeight="251743232" behindDoc="0" locked="0" layoutInCell="1" allowOverlap="1" wp14:anchorId="3F4B1662" wp14:editId="3EA67575">
                <wp:simplePos x="0" y="0"/>
                <wp:positionH relativeFrom="column">
                  <wp:posOffset>1353126</wp:posOffset>
                </wp:positionH>
                <wp:positionV relativeFrom="paragraph">
                  <wp:posOffset>282575</wp:posOffset>
                </wp:positionV>
                <wp:extent cx="710517" cy="258445"/>
                <wp:effectExtent l="0" t="0" r="13970" b="27305"/>
                <wp:wrapNone/>
                <wp:docPr id="11"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0517" cy="258445"/>
                        </a:xfrm>
                        <a:prstGeom prst="rect">
                          <a:avLst/>
                        </a:prstGeom>
                        <a:solidFill>
                          <a:srgbClr val="FFFFFF"/>
                        </a:solidFill>
                        <a:ln w="9525">
                          <a:solidFill>
                            <a:sysClr val="window" lastClr="FFFFFF">
                              <a:lumMod val="100000"/>
                              <a:lumOff val="0"/>
                            </a:sysClr>
                          </a:solidFill>
                          <a:miter lim="800000"/>
                          <a:headEnd/>
                          <a:tailEnd/>
                        </a:ln>
                      </wps:spPr>
                      <wps:txbx>
                        <w:txbxContent>
                          <w:p w:rsidR="005C77AD" w:rsidRPr="005C68C6" w:rsidRDefault="005C77AD" w:rsidP="002571A1">
                            <w:pPr>
                              <w:rPr>
                                <w:rFonts w:ascii="Times New Roman" w:hAnsi="Times New Roman" w:cs="Times New Roman"/>
                                <w:b/>
                                <w:color w:val="FF0000"/>
                                <w:sz w:val="20"/>
                                <w:szCs w:val="20"/>
                                <w:lang w:val="uk-UA"/>
                              </w:rPr>
                            </w:pPr>
                            <w:r>
                              <w:rPr>
                                <w:rFonts w:ascii="Times New Roman" w:hAnsi="Times New Roman" w:cs="Times New Roman"/>
                                <w:b/>
                                <w:color w:val="FF0000"/>
                                <w:sz w:val="20"/>
                                <w:szCs w:val="20"/>
                                <w:lang w:val="uk-UA"/>
                              </w:rPr>
                              <w:t>124,00</w:t>
                            </w:r>
                            <w:r w:rsidRPr="005C68C6">
                              <w:rPr>
                                <w:rFonts w:ascii="Times New Roman" w:hAnsi="Times New Roman" w:cs="Times New Roman"/>
                                <w:b/>
                                <w:color w:val="FF0000"/>
                                <w:sz w:val="20"/>
                                <w:szCs w:val="20"/>
                                <w:lang w:val="uk-U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4B1662" id="Rectangle 135" o:spid="_x0000_s1032" style="position:absolute;left:0;text-align:left;margin-left:106.55pt;margin-top:22.25pt;width:55.95pt;height:20.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" strokecolor="white">
                <v:textbox>
                  <w:txbxContent>
                    <w:p w:rsidR="005C77AD" w:rsidRPr="005C68C6" w:rsidRDefault="005C77AD" w:rsidP="002571A1">
                      <w:pPr>
                        <w:rPr>
                          <w:rFonts w:ascii="Times New Roman" w:hAnsi="Times New Roman" w:cs="Times New Roman"/>
                          <w:b/>
                          <w:color w:val="FF0000"/>
                          <w:sz w:val="20"/>
                          <w:szCs w:val="20"/>
                          <w:lang w:val="uk-UA"/>
                        </w:rPr>
                      </w:pPr>
                      <w:r>
                        <w:rPr>
                          <w:rFonts w:ascii="Times New Roman" w:hAnsi="Times New Roman" w:cs="Times New Roman"/>
                          <w:b/>
                          <w:color w:val="FF0000"/>
                          <w:sz w:val="20"/>
                          <w:szCs w:val="20"/>
                          <w:lang w:val="uk-UA"/>
                        </w:rPr>
                        <w:t>124,00</w:t>
                      </w:r>
                      <w:r w:rsidRPr="005C68C6">
                        <w:rPr>
                          <w:rFonts w:ascii="Times New Roman" w:hAnsi="Times New Roman" w:cs="Times New Roman"/>
                          <w:b/>
                          <w:color w:val="FF0000"/>
                          <w:sz w:val="20"/>
                          <w:szCs w:val="20"/>
                          <w:lang w:val="uk-UA"/>
                        </w:rPr>
                        <w:t>%</w:t>
                      </w:r>
                    </w:p>
                  </w:txbxContent>
                </v:textbox>
              </v:rect>
            </w:pict>
          </mc:Fallback>
        </mc:AlternateContent>
      </w:r>
      <w:r w:rsidR="007D50D1" w:rsidRPr="005E74D0">
        <w:rPr>
          <w:noProof/>
          <w:lang w:val="uk-UA" w:eastAsia="uk-UA"/>
        </w:rPr>
        <mc:AlternateContent>
          <mc:Choice Requires="wps">
            <w:drawing>
              <wp:anchor distT="0" distB="0" distL="114300" distR="114300" simplePos="0" relativeHeight="251742208" behindDoc="0" locked="0" layoutInCell="1" allowOverlap="1" wp14:anchorId="12F4EAC4" wp14:editId="58DF0BD6">
                <wp:simplePos x="0" y="0"/>
                <wp:positionH relativeFrom="column">
                  <wp:posOffset>1231265</wp:posOffset>
                </wp:positionH>
                <wp:positionV relativeFrom="paragraph">
                  <wp:posOffset>289615</wp:posOffset>
                </wp:positionV>
                <wp:extent cx="649605" cy="215265"/>
                <wp:effectExtent l="38100" t="133350" r="0" b="108585"/>
                <wp:wrapNone/>
                <wp:docPr id="24"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175891">
                          <a:off x="0" y="0"/>
                          <a:ext cx="649605" cy="215265"/>
                        </a:xfrm>
                        <a:prstGeom prst="rect">
                          <a:avLst/>
                        </a:prstGeom>
                        <a:solidFill>
                          <a:srgbClr val="FFFFFF"/>
                        </a:solidFill>
                        <a:ln w="9525">
                          <a:solidFill>
                            <a:sysClr val="window" lastClr="FFFFFF">
                              <a:lumMod val="100000"/>
                              <a:lumOff val="0"/>
                            </a:sysClr>
                          </a:solidFill>
                          <a:miter lim="800000"/>
                          <a:headEnd/>
                          <a:tailEnd/>
                        </a:ln>
                      </wps:spPr>
                      <wps:txbx>
                        <w:txbxContent>
                          <w:p w:rsidR="005C77AD" w:rsidRPr="005C68C6" w:rsidRDefault="005C77AD" w:rsidP="002571A1">
                            <w:pPr>
                              <w:rPr>
                                <w:rFonts w:ascii="Times New Roman" w:hAnsi="Times New Roman" w:cs="Times New Roman"/>
                                <w:b/>
                                <w:color w:val="FF0000"/>
                                <w:sz w:val="20"/>
                                <w:szCs w:val="20"/>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4EAC4" id="Rectangle 134" o:spid="_x0000_s1033" style="position:absolute;left:0;text-align:left;margin-left:96.95pt;margin-top:22.8pt;width:51.15pt;height:16.95pt;rotation:-1284387fd;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" strokecolor="white">
                <v:textbox>
                  <w:txbxContent>
                    <w:p w:rsidR="005C77AD" w:rsidRPr="005C68C6" w:rsidRDefault="005C77AD" w:rsidP="002571A1">
                      <w:pPr>
                        <w:rPr>
                          <w:rFonts w:ascii="Times New Roman" w:hAnsi="Times New Roman" w:cs="Times New Roman"/>
                          <w:b/>
                          <w:color w:val="FF0000"/>
                          <w:sz w:val="20"/>
                          <w:szCs w:val="20"/>
                          <w:lang w:val="uk-UA"/>
                        </w:rPr>
                      </w:pPr>
                    </w:p>
                  </w:txbxContent>
                </v:textbox>
              </v:rect>
            </w:pict>
          </mc:Fallback>
        </mc:AlternateContent>
      </w:r>
      <w:r w:rsidR="002571A1" w:rsidRPr="005E74D0">
        <w:rPr>
          <w:noProof/>
          <w:lang w:val="uk-UA" w:eastAsia="uk-UA"/>
        </w:rPr>
        <w:drawing>
          <wp:inline distT="0" distB="0" distL="0" distR="0" wp14:anchorId="7FD5F824" wp14:editId="4E9D7064">
            <wp:extent cx="6029325" cy="3276600"/>
            <wp:effectExtent l="0" t="0" r="9525" b="0"/>
            <wp:docPr id="27"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450BF" w:rsidRDefault="009450BF" w:rsidP="00951609">
      <w:pPr>
        <w:shd w:val="clear" w:color="auto" w:fill="FFFFFF"/>
        <w:tabs>
          <w:tab w:val="left" w:pos="709"/>
          <w:tab w:val="left" w:pos="851"/>
          <w:tab w:val="left" w:pos="1134"/>
        </w:tabs>
        <w:spacing w:after="0" w:line="240" w:lineRule="auto"/>
        <w:ind w:firstLine="567"/>
        <w:jc w:val="both"/>
        <w:rPr>
          <w:rFonts w:ascii="Times New Roman" w:eastAsia="Times New Roman" w:hAnsi="Times New Roman" w:cs="Times New Roman"/>
          <w:sz w:val="24"/>
          <w:szCs w:val="24"/>
          <w:lang w:val="uk-UA"/>
        </w:rPr>
      </w:pPr>
    </w:p>
    <w:p w:rsidR="000E2C33" w:rsidRPr="00545127" w:rsidRDefault="000E2C33" w:rsidP="000E2C33">
      <w:pPr>
        <w:spacing w:after="0"/>
        <w:jc w:val="center"/>
        <w:rPr>
          <w:rFonts w:ascii="Times New Roman" w:hAnsi="Times New Roman" w:cs="Times New Roman"/>
          <w:sz w:val="24"/>
          <w:szCs w:val="24"/>
          <w:highlight w:val="yellow"/>
          <w:lang w:val="uk-UA"/>
        </w:rPr>
      </w:pPr>
      <w:r w:rsidRPr="00EF4D49">
        <w:rPr>
          <w:rFonts w:ascii="Times New Roman" w:hAnsi="Times New Roman" w:cs="Times New Roman"/>
          <w:b/>
          <w:sz w:val="28"/>
          <w:szCs w:val="28"/>
          <w:lang w:val="uk-UA"/>
        </w:rPr>
        <w:t>Місцеві податки і збори.</w:t>
      </w:r>
    </w:p>
    <w:p w:rsidR="000E2C33" w:rsidRPr="00EF4D49" w:rsidRDefault="000E2C33" w:rsidP="000E2C33">
      <w:pPr>
        <w:spacing w:after="0" w:line="240" w:lineRule="auto"/>
        <w:ind w:firstLine="567"/>
        <w:jc w:val="both"/>
        <w:rPr>
          <w:rFonts w:ascii="Times New Roman" w:hAnsi="Times New Roman" w:cs="Times New Roman"/>
          <w:b/>
          <w:sz w:val="24"/>
          <w:szCs w:val="24"/>
          <w:u w:val="single"/>
          <w:lang w:val="uk-UA"/>
        </w:rPr>
      </w:pPr>
      <w:r w:rsidRPr="00EF4D49">
        <w:rPr>
          <w:rFonts w:ascii="Times New Roman" w:hAnsi="Times New Roman" w:cs="Times New Roman"/>
          <w:sz w:val="24"/>
          <w:szCs w:val="24"/>
          <w:lang w:val="uk-UA"/>
        </w:rPr>
        <w:t xml:space="preserve">Рішенням Чорноморської міської ради від 05.01.2015р. № 573-VI (зі змінами та доповненнями) встановлено на території Чорноморської міської територіальної громади такі </w:t>
      </w:r>
      <w:r w:rsidRPr="00EF4D49">
        <w:rPr>
          <w:rFonts w:ascii="Times New Roman" w:hAnsi="Times New Roman" w:cs="Times New Roman"/>
          <w:b/>
          <w:sz w:val="24"/>
          <w:szCs w:val="24"/>
          <w:u w:val="single"/>
          <w:lang w:val="uk-UA"/>
        </w:rPr>
        <w:t>місцеві податки і збори :</w:t>
      </w:r>
    </w:p>
    <w:p w:rsidR="000E2C33" w:rsidRPr="00EF4D49" w:rsidRDefault="000E2C33" w:rsidP="00141DB6">
      <w:pPr>
        <w:pStyle w:val="a4"/>
        <w:numPr>
          <w:ilvl w:val="0"/>
          <w:numId w:val="1"/>
        </w:numPr>
        <w:spacing w:after="0" w:line="240" w:lineRule="auto"/>
        <w:ind w:left="0" w:firstLine="567"/>
        <w:jc w:val="both"/>
        <w:rPr>
          <w:rFonts w:ascii="Times New Roman" w:hAnsi="Times New Roman" w:cs="Times New Roman"/>
          <w:b/>
          <w:sz w:val="24"/>
          <w:szCs w:val="24"/>
          <w:lang w:val="uk-UA"/>
        </w:rPr>
      </w:pPr>
      <w:r w:rsidRPr="00EF4D49">
        <w:rPr>
          <w:rFonts w:ascii="Times New Roman" w:hAnsi="Times New Roman" w:cs="Times New Roman"/>
          <w:b/>
          <w:sz w:val="24"/>
          <w:szCs w:val="24"/>
          <w:lang w:val="uk-UA"/>
        </w:rPr>
        <w:t>місцеві податки:</w:t>
      </w:r>
    </w:p>
    <w:p w:rsidR="000E2C33" w:rsidRPr="00EF4D49" w:rsidRDefault="000E2C33" w:rsidP="00141DB6">
      <w:pPr>
        <w:pStyle w:val="a4"/>
        <w:numPr>
          <w:ilvl w:val="0"/>
          <w:numId w:val="2"/>
        </w:numPr>
        <w:spacing w:after="0" w:line="240" w:lineRule="auto"/>
        <w:ind w:left="567" w:firstLine="567"/>
        <w:jc w:val="both"/>
        <w:rPr>
          <w:rFonts w:ascii="Times New Roman" w:hAnsi="Times New Roman" w:cs="Times New Roman"/>
          <w:sz w:val="24"/>
          <w:szCs w:val="24"/>
          <w:lang w:val="uk-UA"/>
        </w:rPr>
      </w:pPr>
      <w:r w:rsidRPr="00EF4D49">
        <w:rPr>
          <w:rFonts w:ascii="Times New Roman" w:hAnsi="Times New Roman" w:cs="Times New Roman"/>
          <w:sz w:val="24"/>
          <w:szCs w:val="24"/>
          <w:lang w:val="uk-UA"/>
        </w:rPr>
        <w:t xml:space="preserve">податок на майно (в частині </w:t>
      </w:r>
      <w:r w:rsidR="003855AB">
        <w:rPr>
          <w:rFonts w:ascii="Times New Roman" w:hAnsi="Times New Roman" w:cs="Times New Roman"/>
          <w:sz w:val="24"/>
          <w:szCs w:val="24"/>
          <w:lang w:val="uk-UA"/>
        </w:rPr>
        <w:t xml:space="preserve">податку </w:t>
      </w:r>
      <w:r w:rsidR="003855AB" w:rsidRPr="00EF4D49">
        <w:rPr>
          <w:rFonts w:ascii="Times New Roman" w:hAnsi="Times New Roman" w:cs="Times New Roman"/>
          <w:sz w:val="24"/>
          <w:szCs w:val="24"/>
          <w:lang w:val="uk-UA"/>
        </w:rPr>
        <w:t>на нерухоме майно, відмінне від земельної ділянки</w:t>
      </w:r>
      <w:r w:rsidR="003855AB">
        <w:rPr>
          <w:rFonts w:ascii="Times New Roman" w:hAnsi="Times New Roman" w:cs="Times New Roman"/>
          <w:sz w:val="24"/>
          <w:szCs w:val="24"/>
          <w:lang w:val="uk-UA"/>
        </w:rPr>
        <w:t xml:space="preserve">, </w:t>
      </w:r>
      <w:r w:rsidR="003855AB" w:rsidRPr="00EF4D49">
        <w:rPr>
          <w:rFonts w:ascii="Times New Roman" w:hAnsi="Times New Roman" w:cs="Times New Roman"/>
          <w:sz w:val="24"/>
          <w:szCs w:val="24"/>
          <w:lang w:val="uk-UA"/>
        </w:rPr>
        <w:t xml:space="preserve"> </w:t>
      </w:r>
      <w:r w:rsidRPr="00EF4D49">
        <w:rPr>
          <w:rFonts w:ascii="Times New Roman" w:hAnsi="Times New Roman" w:cs="Times New Roman"/>
          <w:sz w:val="24"/>
          <w:szCs w:val="24"/>
          <w:lang w:val="uk-UA"/>
        </w:rPr>
        <w:t>плати за землю</w:t>
      </w:r>
      <w:r w:rsidR="003855AB">
        <w:rPr>
          <w:rFonts w:ascii="Times New Roman" w:hAnsi="Times New Roman" w:cs="Times New Roman"/>
          <w:sz w:val="24"/>
          <w:szCs w:val="24"/>
          <w:lang w:val="uk-UA"/>
        </w:rPr>
        <w:t xml:space="preserve"> та</w:t>
      </w:r>
      <w:r w:rsidRPr="00EF4D49">
        <w:rPr>
          <w:rFonts w:ascii="Times New Roman" w:hAnsi="Times New Roman" w:cs="Times New Roman"/>
          <w:sz w:val="24"/>
          <w:szCs w:val="24"/>
          <w:lang w:val="uk-UA"/>
        </w:rPr>
        <w:t xml:space="preserve"> транспортного податку);</w:t>
      </w:r>
    </w:p>
    <w:p w:rsidR="000E2C33" w:rsidRPr="00EF4D49" w:rsidRDefault="000E2C33" w:rsidP="00141DB6">
      <w:pPr>
        <w:pStyle w:val="a4"/>
        <w:numPr>
          <w:ilvl w:val="0"/>
          <w:numId w:val="2"/>
        </w:numPr>
        <w:spacing w:after="0" w:line="240" w:lineRule="auto"/>
        <w:ind w:left="567" w:firstLine="567"/>
        <w:jc w:val="both"/>
        <w:rPr>
          <w:rFonts w:ascii="Times New Roman" w:hAnsi="Times New Roman" w:cs="Times New Roman"/>
          <w:sz w:val="24"/>
          <w:szCs w:val="24"/>
          <w:lang w:val="uk-UA"/>
        </w:rPr>
      </w:pPr>
      <w:r w:rsidRPr="00EF4D49">
        <w:rPr>
          <w:rFonts w:ascii="Times New Roman" w:hAnsi="Times New Roman" w:cs="Times New Roman"/>
          <w:sz w:val="24"/>
          <w:szCs w:val="24"/>
          <w:lang w:val="uk-UA"/>
        </w:rPr>
        <w:t>єдиний податок.</w:t>
      </w:r>
    </w:p>
    <w:p w:rsidR="000E2C33" w:rsidRPr="00EF4D49" w:rsidRDefault="000E2C33" w:rsidP="00141DB6">
      <w:pPr>
        <w:pStyle w:val="a4"/>
        <w:numPr>
          <w:ilvl w:val="0"/>
          <w:numId w:val="1"/>
        </w:numPr>
        <w:spacing w:after="0" w:line="240" w:lineRule="auto"/>
        <w:ind w:left="0" w:firstLine="567"/>
        <w:jc w:val="both"/>
        <w:rPr>
          <w:rFonts w:ascii="Times New Roman" w:hAnsi="Times New Roman" w:cs="Times New Roman"/>
          <w:b/>
          <w:sz w:val="24"/>
          <w:szCs w:val="24"/>
          <w:lang w:val="uk-UA"/>
        </w:rPr>
      </w:pPr>
      <w:r w:rsidRPr="00EF4D49">
        <w:rPr>
          <w:rFonts w:ascii="Times New Roman" w:hAnsi="Times New Roman" w:cs="Times New Roman"/>
          <w:b/>
          <w:sz w:val="24"/>
          <w:szCs w:val="24"/>
          <w:lang w:val="uk-UA"/>
        </w:rPr>
        <w:t>місцеві збори:</w:t>
      </w:r>
    </w:p>
    <w:p w:rsidR="000E2C33" w:rsidRPr="00EF4D49" w:rsidRDefault="000E2C33" w:rsidP="00141DB6">
      <w:pPr>
        <w:pStyle w:val="a4"/>
        <w:numPr>
          <w:ilvl w:val="0"/>
          <w:numId w:val="3"/>
        </w:numPr>
        <w:spacing w:after="0" w:line="240" w:lineRule="auto"/>
        <w:ind w:left="567" w:firstLine="567"/>
        <w:jc w:val="both"/>
        <w:rPr>
          <w:rFonts w:ascii="Times New Roman" w:hAnsi="Times New Roman" w:cs="Times New Roman"/>
          <w:sz w:val="24"/>
          <w:szCs w:val="24"/>
          <w:lang w:val="uk-UA"/>
        </w:rPr>
      </w:pPr>
      <w:r w:rsidRPr="00EF4D49">
        <w:rPr>
          <w:rFonts w:ascii="Times New Roman" w:hAnsi="Times New Roman" w:cs="Times New Roman"/>
          <w:sz w:val="24"/>
          <w:szCs w:val="24"/>
          <w:lang w:val="uk-UA"/>
        </w:rPr>
        <w:t>туристичний збір.</w:t>
      </w:r>
    </w:p>
    <w:p w:rsidR="00013264" w:rsidRPr="00EF4D49" w:rsidRDefault="00013264" w:rsidP="00013264">
      <w:pPr>
        <w:spacing w:after="0" w:line="240" w:lineRule="auto"/>
        <w:ind w:firstLine="567"/>
        <w:jc w:val="both"/>
        <w:rPr>
          <w:rFonts w:ascii="Times New Roman" w:hAnsi="Times New Roman" w:cs="Times New Roman"/>
          <w:sz w:val="24"/>
          <w:szCs w:val="24"/>
          <w:lang w:val="uk-UA"/>
        </w:rPr>
      </w:pPr>
      <w:r w:rsidRPr="00EF4D49">
        <w:rPr>
          <w:rFonts w:ascii="Times New Roman" w:hAnsi="Times New Roman" w:cs="Times New Roman"/>
          <w:sz w:val="24"/>
          <w:szCs w:val="24"/>
          <w:lang w:val="uk-UA"/>
        </w:rPr>
        <w:t xml:space="preserve">Рішення, прийняті Чорноморською міською радою щодо встановлення місцевих податків і зборів є безстроковими та діють до моменту їх скасування або втрати чинності такими рішеннями в порядку, визначеному законодавством України.    </w:t>
      </w:r>
    </w:p>
    <w:p w:rsidR="003F4ED6" w:rsidRPr="00EF4D49" w:rsidRDefault="00013264" w:rsidP="00013264">
      <w:pPr>
        <w:spacing w:after="0" w:line="240" w:lineRule="auto"/>
        <w:ind w:firstLine="567"/>
        <w:jc w:val="both"/>
        <w:rPr>
          <w:rFonts w:ascii="Times New Roman" w:hAnsi="Times New Roman" w:cs="Times New Roman"/>
          <w:sz w:val="24"/>
          <w:szCs w:val="24"/>
          <w:lang w:val="uk-UA"/>
        </w:rPr>
      </w:pPr>
      <w:r w:rsidRPr="00EF4D49">
        <w:rPr>
          <w:rFonts w:ascii="Times New Roman" w:hAnsi="Times New Roman" w:cs="Times New Roman"/>
          <w:sz w:val="24"/>
          <w:szCs w:val="24"/>
          <w:lang w:val="uk-UA"/>
        </w:rPr>
        <w:t xml:space="preserve">Законом України від 16 січня 2020 року № 466-ІХ «Про внесення змін до Податкового кодексу України щодо вдосконалення адміністрування податків, усунення технічних та логічних </w:t>
      </w:r>
      <w:proofErr w:type="spellStart"/>
      <w:r w:rsidRPr="00EF4D49">
        <w:rPr>
          <w:rFonts w:ascii="Times New Roman" w:hAnsi="Times New Roman" w:cs="Times New Roman"/>
          <w:sz w:val="24"/>
          <w:szCs w:val="24"/>
          <w:lang w:val="uk-UA"/>
        </w:rPr>
        <w:t>неузгодженостей</w:t>
      </w:r>
      <w:proofErr w:type="spellEnd"/>
      <w:r w:rsidRPr="00EF4D49">
        <w:rPr>
          <w:rFonts w:ascii="Times New Roman" w:hAnsi="Times New Roman" w:cs="Times New Roman"/>
          <w:sz w:val="24"/>
          <w:szCs w:val="24"/>
          <w:lang w:val="uk-UA"/>
        </w:rPr>
        <w:t xml:space="preserve"> у податковому законодавстві» були внесені зміни до Податкового кодексу України та, зокрема, визначено: «Якщо в рішенні органу місцевого самоврядування про встановлення місцевих податків та/або зборів, а також податкових пільг з їх сплати не визначено термін його дії, таке рішення є чинним до прийняття нового рішення» (абзац другий п</w:t>
      </w:r>
      <w:r w:rsidR="00C7524A">
        <w:rPr>
          <w:rFonts w:ascii="Times New Roman" w:hAnsi="Times New Roman" w:cs="Times New Roman"/>
          <w:sz w:val="24"/>
          <w:szCs w:val="24"/>
          <w:lang w:val="uk-UA"/>
        </w:rPr>
        <w:t xml:space="preserve"> </w:t>
      </w:r>
      <w:proofErr w:type="spellStart"/>
      <w:r w:rsidRPr="00EF4D49">
        <w:rPr>
          <w:rFonts w:ascii="Times New Roman" w:hAnsi="Times New Roman" w:cs="Times New Roman"/>
          <w:sz w:val="24"/>
          <w:szCs w:val="24"/>
          <w:lang w:val="uk-UA"/>
        </w:rPr>
        <w:t>п</w:t>
      </w:r>
      <w:proofErr w:type="spellEnd"/>
      <w:r w:rsidRPr="00EF4D49">
        <w:rPr>
          <w:rFonts w:ascii="Times New Roman" w:hAnsi="Times New Roman" w:cs="Times New Roman"/>
          <w:sz w:val="24"/>
          <w:szCs w:val="24"/>
          <w:lang w:val="uk-UA"/>
        </w:rPr>
        <w:t>. 12.3.3 п.12.3 ст.12 Податкового кодексу України).</w:t>
      </w:r>
    </w:p>
    <w:p w:rsidR="00FC4D4D" w:rsidRDefault="000E2C33" w:rsidP="000E2C33">
      <w:pPr>
        <w:spacing w:after="0" w:line="240" w:lineRule="auto"/>
        <w:ind w:firstLine="567"/>
        <w:jc w:val="both"/>
        <w:rPr>
          <w:rFonts w:ascii="Times New Roman" w:hAnsi="Times New Roman" w:cs="Times New Roman"/>
          <w:b/>
          <w:sz w:val="24"/>
          <w:szCs w:val="24"/>
          <w:lang w:val="uk-UA"/>
        </w:rPr>
      </w:pPr>
      <w:r w:rsidRPr="00C7524A">
        <w:rPr>
          <w:rFonts w:ascii="Times New Roman" w:hAnsi="Times New Roman" w:cs="Times New Roman"/>
          <w:sz w:val="24"/>
          <w:szCs w:val="24"/>
          <w:lang w:val="uk-UA"/>
        </w:rPr>
        <w:t xml:space="preserve">Частка місцевих податків у прогнозних надходженнях загального фонду </w:t>
      </w:r>
      <w:r w:rsidR="00C7524A" w:rsidRPr="00C7524A">
        <w:rPr>
          <w:rFonts w:ascii="Times New Roman" w:hAnsi="Times New Roman" w:cs="Times New Roman"/>
          <w:sz w:val="24"/>
          <w:szCs w:val="24"/>
          <w:lang w:val="uk-UA"/>
        </w:rPr>
        <w:t xml:space="preserve">                           </w:t>
      </w:r>
      <w:r w:rsidRPr="00C7524A">
        <w:rPr>
          <w:rFonts w:ascii="Times New Roman" w:hAnsi="Times New Roman" w:cs="Times New Roman"/>
          <w:sz w:val="24"/>
          <w:szCs w:val="24"/>
          <w:lang w:val="uk-UA"/>
        </w:rPr>
        <w:t>бюджету  Чорноморської міської територіальної громади на 202</w:t>
      </w:r>
      <w:r w:rsidR="002A7198">
        <w:rPr>
          <w:rFonts w:ascii="Times New Roman" w:hAnsi="Times New Roman" w:cs="Times New Roman"/>
          <w:sz w:val="24"/>
          <w:szCs w:val="24"/>
          <w:lang w:val="uk-UA"/>
        </w:rPr>
        <w:t>4</w:t>
      </w:r>
      <w:r w:rsidR="004E517E" w:rsidRPr="00C7524A">
        <w:rPr>
          <w:rFonts w:ascii="Times New Roman" w:hAnsi="Times New Roman" w:cs="Times New Roman"/>
          <w:sz w:val="24"/>
          <w:szCs w:val="24"/>
          <w:lang w:val="uk-UA"/>
        </w:rPr>
        <w:t xml:space="preserve"> рік складає 3</w:t>
      </w:r>
      <w:r w:rsidR="00152AE5" w:rsidRPr="00C7524A">
        <w:rPr>
          <w:rFonts w:ascii="Times New Roman" w:hAnsi="Times New Roman" w:cs="Times New Roman"/>
          <w:sz w:val="24"/>
          <w:szCs w:val="24"/>
          <w:lang w:val="uk-UA"/>
        </w:rPr>
        <w:t>8</w:t>
      </w:r>
      <w:r w:rsidR="004E517E" w:rsidRPr="00C7524A">
        <w:rPr>
          <w:rFonts w:ascii="Times New Roman" w:hAnsi="Times New Roman" w:cs="Times New Roman"/>
          <w:sz w:val="24"/>
          <w:szCs w:val="24"/>
          <w:lang w:val="uk-UA"/>
        </w:rPr>
        <w:t>,</w:t>
      </w:r>
      <w:r w:rsidR="00C7524A" w:rsidRPr="00C7524A">
        <w:rPr>
          <w:rFonts w:ascii="Times New Roman" w:hAnsi="Times New Roman" w:cs="Times New Roman"/>
          <w:sz w:val="24"/>
          <w:szCs w:val="24"/>
          <w:lang w:val="uk-UA"/>
        </w:rPr>
        <w:t>5</w:t>
      </w:r>
      <w:r w:rsidR="00F54A29" w:rsidRPr="00C7524A">
        <w:rPr>
          <w:rFonts w:ascii="Times New Roman" w:hAnsi="Times New Roman" w:cs="Times New Roman"/>
          <w:sz w:val="24"/>
          <w:szCs w:val="24"/>
          <w:lang w:val="uk-UA"/>
        </w:rPr>
        <w:t xml:space="preserve"> </w:t>
      </w:r>
      <w:r w:rsidRPr="00C7524A">
        <w:rPr>
          <w:rFonts w:ascii="Times New Roman" w:hAnsi="Times New Roman" w:cs="Times New Roman"/>
          <w:sz w:val="24"/>
          <w:szCs w:val="24"/>
          <w:lang w:val="uk-UA"/>
        </w:rPr>
        <w:t xml:space="preserve">%, або </w:t>
      </w:r>
      <w:r w:rsidR="00152AE5" w:rsidRPr="00C7524A">
        <w:rPr>
          <w:rFonts w:ascii="Times New Roman" w:hAnsi="Times New Roman" w:cs="Times New Roman"/>
          <w:sz w:val="24"/>
          <w:szCs w:val="24"/>
          <w:lang w:val="uk-UA"/>
        </w:rPr>
        <w:t>31</w:t>
      </w:r>
      <w:r w:rsidR="00C7524A" w:rsidRPr="00C7524A">
        <w:rPr>
          <w:rFonts w:ascii="Times New Roman" w:hAnsi="Times New Roman" w:cs="Times New Roman"/>
          <w:sz w:val="24"/>
          <w:szCs w:val="24"/>
          <w:lang w:val="uk-UA"/>
        </w:rPr>
        <w:t>6</w:t>
      </w:r>
      <w:r w:rsidR="00152AE5" w:rsidRPr="00C7524A">
        <w:rPr>
          <w:rFonts w:ascii="Times New Roman" w:hAnsi="Times New Roman" w:cs="Times New Roman"/>
          <w:sz w:val="24"/>
          <w:szCs w:val="24"/>
          <w:lang w:val="uk-UA"/>
        </w:rPr>
        <w:t> </w:t>
      </w:r>
      <w:r w:rsidR="00C7524A" w:rsidRPr="00C7524A">
        <w:rPr>
          <w:rFonts w:ascii="Times New Roman" w:hAnsi="Times New Roman" w:cs="Times New Roman"/>
          <w:sz w:val="24"/>
          <w:szCs w:val="24"/>
          <w:lang w:val="uk-UA"/>
        </w:rPr>
        <w:t>20</w:t>
      </w:r>
      <w:r w:rsidR="00152AE5" w:rsidRPr="00C7524A">
        <w:rPr>
          <w:rFonts w:ascii="Times New Roman" w:hAnsi="Times New Roman" w:cs="Times New Roman"/>
          <w:sz w:val="24"/>
          <w:szCs w:val="24"/>
          <w:lang w:val="uk-UA"/>
        </w:rPr>
        <w:t>0,0 ти</w:t>
      </w:r>
      <w:r w:rsidR="00C7524A" w:rsidRPr="00C7524A">
        <w:rPr>
          <w:rFonts w:ascii="Times New Roman" w:hAnsi="Times New Roman" w:cs="Times New Roman"/>
          <w:sz w:val="24"/>
          <w:szCs w:val="24"/>
          <w:lang w:val="uk-UA"/>
        </w:rPr>
        <w:t>с.</w:t>
      </w:r>
      <w:r w:rsidRPr="00C7524A">
        <w:rPr>
          <w:rFonts w:ascii="Times New Roman" w:hAnsi="Times New Roman" w:cs="Times New Roman"/>
          <w:sz w:val="24"/>
          <w:szCs w:val="24"/>
          <w:lang w:val="uk-UA"/>
        </w:rPr>
        <w:t xml:space="preserve"> гривень.</w:t>
      </w:r>
    </w:p>
    <w:p w:rsidR="000E2C33" w:rsidRPr="00427266" w:rsidRDefault="00173209" w:rsidP="000E2C33">
      <w:pPr>
        <w:spacing w:after="0" w:line="240" w:lineRule="auto"/>
        <w:ind w:firstLine="567"/>
        <w:jc w:val="both"/>
        <w:rPr>
          <w:rFonts w:ascii="Times New Roman" w:hAnsi="Times New Roman" w:cs="Times New Roman"/>
          <w:sz w:val="24"/>
          <w:szCs w:val="24"/>
          <w:lang w:val="uk-UA"/>
        </w:rPr>
      </w:pPr>
      <w:r w:rsidRPr="00545127">
        <w:rPr>
          <w:rFonts w:ascii="Times New Roman" w:hAnsi="Times New Roman" w:cs="Times New Roman"/>
          <w:noProof/>
          <w:sz w:val="24"/>
          <w:szCs w:val="24"/>
          <w:highlight w:val="yellow"/>
          <w:lang w:val="uk-UA" w:eastAsia="uk-UA"/>
        </w:rPr>
        <w:lastRenderedPageBreak/>
        <w:drawing>
          <wp:anchor distT="0" distB="0" distL="114300" distR="114300" simplePos="0" relativeHeight="251738112" behindDoc="0" locked="0" layoutInCell="1" allowOverlap="1" wp14:anchorId="422BBB49" wp14:editId="22BCB76A">
            <wp:simplePos x="0" y="0"/>
            <wp:positionH relativeFrom="margin">
              <wp:posOffset>-25400</wp:posOffset>
            </wp:positionH>
            <wp:positionV relativeFrom="paragraph">
              <wp:posOffset>782955</wp:posOffset>
            </wp:positionV>
            <wp:extent cx="5959475" cy="1689100"/>
            <wp:effectExtent l="0" t="57150" r="0" b="120650"/>
            <wp:wrapSquare wrapText="bothSides"/>
            <wp:docPr id="12" name="Схема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14:sizeRelV relativeFrom="margin">
              <wp14:pctHeight>0</wp14:pctHeight>
            </wp14:sizeRelV>
          </wp:anchor>
        </w:drawing>
      </w:r>
      <w:r w:rsidR="002C419D" w:rsidRPr="00545127">
        <w:rPr>
          <w:rFonts w:ascii="Times New Roman" w:hAnsi="Times New Roman" w:cs="Times New Roman"/>
          <w:noProof/>
          <w:sz w:val="24"/>
          <w:szCs w:val="24"/>
          <w:highlight w:val="yellow"/>
          <w:lang w:val="uk-UA" w:eastAsia="uk-UA"/>
        </w:rPr>
        <mc:AlternateContent>
          <mc:Choice Requires="wps">
            <w:drawing>
              <wp:anchor distT="0" distB="0" distL="114300" distR="114300" simplePos="0" relativeHeight="251736064" behindDoc="1" locked="0" layoutInCell="1" allowOverlap="1" wp14:anchorId="5CB33C98" wp14:editId="63287AEB">
                <wp:simplePos x="0" y="0"/>
                <wp:positionH relativeFrom="margin">
                  <wp:posOffset>69011</wp:posOffset>
                </wp:positionH>
                <wp:positionV relativeFrom="paragraph">
                  <wp:posOffset>384103</wp:posOffset>
                </wp:positionV>
                <wp:extent cx="5781675" cy="332105"/>
                <wp:effectExtent l="0" t="0" r="28575" b="10795"/>
                <wp:wrapTopAndBottom/>
                <wp:docPr id="34"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332105"/>
                        </a:xfrm>
                        <a:prstGeom prst="roundRect">
                          <a:avLst>
                            <a:gd name="adj" fmla="val 16667"/>
                          </a:avLst>
                        </a:prstGeom>
                        <a:solidFill>
                          <a:schemeClr val="accent5"/>
                        </a:solidFill>
                        <a:ln w="9525">
                          <a:solidFill>
                            <a:srgbClr val="000000"/>
                          </a:solidFill>
                          <a:round/>
                          <a:headEnd/>
                          <a:tailEnd/>
                        </a:ln>
                      </wps:spPr>
                      <wps:txbx>
                        <w:txbxContent>
                          <w:p w:rsidR="005C77AD" w:rsidRPr="007029A6" w:rsidRDefault="005C77AD" w:rsidP="005217DB">
                            <w:pPr>
                              <w:jc w:val="center"/>
                              <w:rPr>
                                <w:b/>
                                <w:sz w:val="28"/>
                                <w:szCs w:val="28"/>
                                <w:lang w:val="uk-UA"/>
                              </w:rPr>
                            </w:pPr>
                            <w:r w:rsidRPr="007029A6">
                              <w:rPr>
                                <w:b/>
                                <w:sz w:val="28"/>
                                <w:szCs w:val="28"/>
                                <w:lang w:val="uk-UA"/>
                              </w:rPr>
                              <w:t>Складові частини податку на майно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B33C98" id="AutoShape 15" o:spid="_x0000_s1034" style="position:absolute;left:0;text-align:left;margin-left:5.45pt;margin-top:30.25pt;width:455.25pt;height:26.15pt;z-index:-251580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" fillcolor="#4bacc6 [3208]">
                <v:textbox>
                  <w:txbxContent>
                    <w:p w:rsidR="005C77AD" w:rsidRPr="007029A6" w:rsidRDefault="005C77AD" w:rsidP="005217DB">
                      <w:pPr>
                        <w:jc w:val="center"/>
                        <w:rPr>
                          <w:b/>
                          <w:sz w:val="28"/>
                          <w:szCs w:val="28"/>
                          <w:lang w:val="uk-UA"/>
                        </w:rPr>
                      </w:pPr>
                      <w:r w:rsidRPr="007029A6">
                        <w:rPr>
                          <w:b/>
                          <w:sz w:val="28"/>
                          <w:szCs w:val="28"/>
                          <w:lang w:val="uk-UA"/>
                        </w:rPr>
                        <w:t>Складові частини податку на майно :</w:t>
                      </w:r>
                    </w:p>
                  </w:txbxContent>
                </v:textbox>
                <w10:wrap type="topAndBottom" anchorx="margin"/>
              </v:roundrect>
            </w:pict>
          </mc:Fallback>
        </mc:AlternateContent>
      </w:r>
      <w:r w:rsidR="000E2C33" w:rsidRPr="00427266">
        <w:rPr>
          <w:rFonts w:ascii="Times New Roman" w:hAnsi="Times New Roman" w:cs="Times New Roman"/>
          <w:b/>
          <w:sz w:val="24"/>
          <w:szCs w:val="24"/>
          <w:lang w:val="uk-UA"/>
        </w:rPr>
        <w:t>Податок на майно (18010000)</w:t>
      </w:r>
      <w:r w:rsidR="000E2C33" w:rsidRPr="00427266">
        <w:rPr>
          <w:rFonts w:ascii="Times New Roman" w:hAnsi="Times New Roman" w:cs="Times New Roman"/>
          <w:sz w:val="24"/>
          <w:szCs w:val="24"/>
          <w:lang w:val="uk-UA"/>
        </w:rPr>
        <w:t xml:space="preserve"> </w:t>
      </w:r>
      <w:r w:rsidR="00717637" w:rsidRPr="00717637">
        <w:rPr>
          <w:rFonts w:ascii="Times New Roman" w:hAnsi="Times New Roman" w:cs="Times New Roman"/>
          <w:sz w:val="24"/>
          <w:szCs w:val="24"/>
          <w:lang w:val="uk-UA"/>
        </w:rPr>
        <w:t>є одним з ключових джерел наповнення бюджету громади.</w:t>
      </w:r>
    </w:p>
    <w:p w:rsidR="001F7A9B" w:rsidRPr="00976361" w:rsidRDefault="001F7A9B" w:rsidP="001F7A9B">
      <w:pPr>
        <w:spacing w:after="0" w:line="240" w:lineRule="auto"/>
        <w:ind w:firstLine="567"/>
        <w:jc w:val="both"/>
        <w:rPr>
          <w:rFonts w:ascii="Times New Roman" w:hAnsi="Times New Roman"/>
          <w:szCs w:val="24"/>
          <w:lang w:val="uk-UA"/>
        </w:rPr>
      </w:pPr>
      <w:r w:rsidRPr="00976361">
        <w:rPr>
          <w:rFonts w:ascii="Times New Roman" w:hAnsi="Times New Roman" w:cs="Times New Roman"/>
          <w:b/>
          <w:sz w:val="24"/>
          <w:szCs w:val="24"/>
          <w:lang w:val="uk-UA"/>
        </w:rPr>
        <w:t xml:space="preserve">Податок на нерухоме майно, відмінне від земельної ділянки (ККДБ 18010100, 18010200, 18010300, 18010400) </w:t>
      </w:r>
      <w:r w:rsidR="00D00CDC" w:rsidRPr="00AB785C">
        <w:rPr>
          <w:rFonts w:ascii="Times New Roman" w:hAnsi="Times New Roman" w:cs="Times New Roman"/>
          <w:sz w:val="24"/>
          <w:szCs w:val="24"/>
          <w:lang w:val="uk-UA"/>
        </w:rPr>
        <w:t>на 2024</w:t>
      </w:r>
      <w:r w:rsidRPr="00AB785C">
        <w:rPr>
          <w:rFonts w:ascii="Times New Roman" w:hAnsi="Times New Roman" w:cs="Times New Roman"/>
          <w:sz w:val="24"/>
          <w:szCs w:val="24"/>
          <w:lang w:val="uk-UA"/>
        </w:rPr>
        <w:t xml:space="preserve"> рік</w:t>
      </w:r>
      <w:r w:rsidRPr="00976361">
        <w:rPr>
          <w:rFonts w:ascii="Times New Roman" w:hAnsi="Times New Roman" w:cs="Times New Roman"/>
          <w:sz w:val="24"/>
          <w:szCs w:val="24"/>
          <w:lang w:val="uk-UA"/>
        </w:rPr>
        <w:t xml:space="preserve"> </w:t>
      </w:r>
      <w:r w:rsidR="00836316" w:rsidRPr="00976361">
        <w:rPr>
          <w:rFonts w:ascii="Times New Roman" w:hAnsi="Times New Roman" w:cs="Times New Roman"/>
          <w:sz w:val="24"/>
          <w:szCs w:val="24"/>
          <w:lang w:val="uk-UA"/>
        </w:rPr>
        <w:t xml:space="preserve">розраховано </w:t>
      </w:r>
      <w:r w:rsidRPr="00976361">
        <w:rPr>
          <w:rFonts w:ascii="Times New Roman" w:hAnsi="Times New Roman" w:cs="Times New Roman"/>
          <w:sz w:val="24"/>
          <w:szCs w:val="24"/>
          <w:lang w:val="uk-UA"/>
        </w:rPr>
        <w:t>в обсязі</w:t>
      </w:r>
      <w:r w:rsidRPr="00976361">
        <w:rPr>
          <w:rFonts w:ascii="Times New Roman" w:hAnsi="Times New Roman" w:cs="Times New Roman"/>
          <w:b/>
          <w:sz w:val="24"/>
          <w:szCs w:val="24"/>
          <w:lang w:val="uk-UA"/>
        </w:rPr>
        <w:t xml:space="preserve"> </w:t>
      </w:r>
      <w:r w:rsidRPr="00976361">
        <w:rPr>
          <w:rFonts w:ascii="Times New Roman" w:hAnsi="Times New Roman" w:cs="Times New Roman"/>
          <w:sz w:val="24"/>
          <w:szCs w:val="24"/>
          <w:lang w:val="uk-UA"/>
        </w:rPr>
        <w:t>2</w:t>
      </w:r>
      <w:r w:rsidR="002B3269">
        <w:rPr>
          <w:rFonts w:ascii="Times New Roman" w:hAnsi="Times New Roman" w:cs="Times New Roman"/>
          <w:sz w:val="24"/>
          <w:szCs w:val="24"/>
          <w:lang w:val="uk-UA"/>
        </w:rPr>
        <w:t>8</w:t>
      </w:r>
      <w:r w:rsidR="00D00CDC" w:rsidRPr="00976361">
        <w:rPr>
          <w:rFonts w:ascii="Times New Roman" w:hAnsi="Times New Roman" w:cs="Times New Roman"/>
          <w:sz w:val="24"/>
          <w:szCs w:val="24"/>
          <w:lang w:val="uk-UA"/>
        </w:rPr>
        <w:t> 750,0 тис.</w:t>
      </w:r>
      <w:r w:rsidRPr="00976361">
        <w:rPr>
          <w:rFonts w:ascii="Times New Roman" w:hAnsi="Times New Roman" w:cs="Times New Roman"/>
          <w:sz w:val="24"/>
          <w:szCs w:val="24"/>
          <w:lang w:val="uk-UA"/>
        </w:rPr>
        <w:t xml:space="preserve"> грн.</w:t>
      </w:r>
    </w:p>
    <w:p w:rsidR="001F7A9B" w:rsidRPr="00A62366" w:rsidRDefault="001F7A9B" w:rsidP="001F7A9B">
      <w:pPr>
        <w:spacing w:after="0" w:line="240" w:lineRule="auto"/>
        <w:ind w:firstLine="567"/>
        <w:jc w:val="both"/>
        <w:rPr>
          <w:rFonts w:ascii="Times New Roman" w:hAnsi="Times New Roman" w:cs="Times New Roman"/>
          <w:color w:val="000000"/>
          <w:sz w:val="24"/>
          <w:szCs w:val="24"/>
          <w:lang w:val="uk-UA"/>
        </w:rPr>
      </w:pPr>
      <w:r w:rsidRPr="00A62366">
        <w:rPr>
          <w:rFonts w:ascii="Times New Roman" w:hAnsi="Times New Roman" w:cs="Times New Roman"/>
          <w:color w:val="000000"/>
          <w:sz w:val="24"/>
          <w:szCs w:val="24"/>
          <w:lang w:val="uk-UA"/>
        </w:rPr>
        <w:t>Відповідно до підпункту 266.4.1 пункту 266.4 Податкового кодексу 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1F7A9B" w:rsidRPr="00A62366" w:rsidRDefault="001F7A9B" w:rsidP="001F7A9B">
      <w:pPr>
        <w:pStyle w:val="rvps2"/>
        <w:shd w:val="clear" w:color="auto" w:fill="FFFFFF"/>
        <w:spacing w:before="0" w:beforeAutospacing="0" w:after="0" w:afterAutospacing="0"/>
        <w:ind w:firstLine="567"/>
        <w:jc w:val="both"/>
        <w:textAlignment w:val="baseline"/>
        <w:rPr>
          <w:color w:val="000000"/>
          <w:lang w:val="uk-UA"/>
        </w:rPr>
      </w:pPr>
      <w:r w:rsidRPr="00A62366">
        <w:rPr>
          <w:color w:val="000000"/>
          <w:shd w:val="clear" w:color="auto" w:fill="FFFFFF"/>
          <w:lang w:val="uk-UA"/>
        </w:rPr>
        <w:t xml:space="preserve">а) для квартири/квартир незалежно від їх кількості - </w:t>
      </w:r>
      <w:r w:rsidRPr="00A62366">
        <w:rPr>
          <w:color w:val="000000"/>
          <w:u w:val="single"/>
          <w:shd w:val="clear" w:color="auto" w:fill="FFFFFF"/>
          <w:lang w:val="uk-UA"/>
        </w:rPr>
        <w:t xml:space="preserve">на 60 </w:t>
      </w:r>
      <w:proofErr w:type="spellStart"/>
      <w:r w:rsidRPr="00A62366">
        <w:rPr>
          <w:color w:val="000000"/>
          <w:u w:val="single"/>
          <w:shd w:val="clear" w:color="auto" w:fill="FFFFFF"/>
          <w:lang w:val="uk-UA"/>
        </w:rPr>
        <w:t>кв</w:t>
      </w:r>
      <w:proofErr w:type="spellEnd"/>
      <w:r w:rsidRPr="00A62366">
        <w:rPr>
          <w:color w:val="000000"/>
          <w:u w:val="single"/>
          <w:shd w:val="clear" w:color="auto" w:fill="FFFFFF"/>
          <w:lang w:val="uk-UA"/>
        </w:rPr>
        <w:t>. метрів</w:t>
      </w:r>
      <w:r w:rsidRPr="00A62366">
        <w:rPr>
          <w:color w:val="000000"/>
          <w:shd w:val="clear" w:color="auto" w:fill="FFFFFF"/>
          <w:lang w:val="uk-UA"/>
        </w:rPr>
        <w:t>;</w:t>
      </w:r>
    </w:p>
    <w:p w:rsidR="001F7A9B" w:rsidRPr="00A62366" w:rsidRDefault="001F7A9B" w:rsidP="001F7A9B">
      <w:pPr>
        <w:spacing w:after="0" w:line="240" w:lineRule="auto"/>
        <w:ind w:firstLine="567"/>
        <w:jc w:val="both"/>
        <w:rPr>
          <w:rFonts w:ascii="Times New Roman" w:hAnsi="Times New Roman" w:cs="Times New Roman"/>
          <w:color w:val="000000"/>
          <w:sz w:val="24"/>
          <w:szCs w:val="24"/>
          <w:shd w:val="clear" w:color="auto" w:fill="FFFFFF"/>
          <w:lang w:val="uk-UA"/>
        </w:rPr>
      </w:pPr>
      <w:r w:rsidRPr="00A62366">
        <w:rPr>
          <w:rFonts w:ascii="Times New Roman" w:hAnsi="Times New Roman" w:cs="Times New Roman"/>
          <w:color w:val="000000"/>
          <w:sz w:val="24"/>
          <w:szCs w:val="24"/>
          <w:shd w:val="clear" w:color="auto" w:fill="FFFFFF"/>
          <w:lang w:val="uk-UA"/>
        </w:rPr>
        <w:t xml:space="preserve">б) для житлового будинку/будинків незалежно від їх кількості - </w:t>
      </w:r>
      <w:r w:rsidRPr="00A62366">
        <w:rPr>
          <w:rFonts w:ascii="Times New Roman" w:hAnsi="Times New Roman" w:cs="Times New Roman"/>
          <w:color w:val="000000"/>
          <w:sz w:val="24"/>
          <w:szCs w:val="24"/>
          <w:u w:val="single"/>
          <w:shd w:val="clear" w:color="auto" w:fill="FFFFFF"/>
          <w:lang w:val="uk-UA"/>
        </w:rPr>
        <w:t xml:space="preserve">на 120 </w:t>
      </w:r>
      <w:proofErr w:type="spellStart"/>
      <w:r w:rsidRPr="00A62366">
        <w:rPr>
          <w:rFonts w:ascii="Times New Roman" w:hAnsi="Times New Roman" w:cs="Times New Roman"/>
          <w:color w:val="000000"/>
          <w:sz w:val="24"/>
          <w:szCs w:val="24"/>
          <w:u w:val="single"/>
          <w:shd w:val="clear" w:color="auto" w:fill="FFFFFF"/>
          <w:lang w:val="uk-UA"/>
        </w:rPr>
        <w:t>кв</w:t>
      </w:r>
      <w:proofErr w:type="spellEnd"/>
      <w:r w:rsidRPr="00A62366">
        <w:rPr>
          <w:rFonts w:ascii="Times New Roman" w:hAnsi="Times New Roman" w:cs="Times New Roman"/>
          <w:color w:val="000000"/>
          <w:sz w:val="24"/>
          <w:szCs w:val="24"/>
          <w:u w:val="single"/>
          <w:shd w:val="clear" w:color="auto" w:fill="FFFFFF"/>
          <w:lang w:val="uk-UA"/>
        </w:rPr>
        <w:t>. метрів</w:t>
      </w:r>
      <w:r w:rsidRPr="00A62366">
        <w:rPr>
          <w:rFonts w:ascii="Times New Roman" w:hAnsi="Times New Roman" w:cs="Times New Roman"/>
          <w:color w:val="000000"/>
          <w:sz w:val="24"/>
          <w:szCs w:val="24"/>
          <w:shd w:val="clear" w:color="auto" w:fill="FFFFFF"/>
          <w:lang w:val="uk-UA"/>
        </w:rPr>
        <w:t>;</w:t>
      </w:r>
    </w:p>
    <w:p w:rsidR="001F7A9B" w:rsidRPr="00A62366" w:rsidRDefault="001F7A9B" w:rsidP="001F7A9B">
      <w:pPr>
        <w:spacing w:after="0" w:line="240" w:lineRule="auto"/>
        <w:ind w:firstLine="567"/>
        <w:jc w:val="both"/>
        <w:rPr>
          <w:rFonts w:ascii="Times New Roman" w:hAnsi="Times New Roman" w:cs="Times New Roman"/>
          <w:color w:val="000000"/>
          <w:sz w:val="24"/>
          <w:szCs w:val="24"/>
          <w:u w:val="single"/>
          <w:shd w:val="clear" w:color="auto" w:fill="FFFFFF"/>
          <w:lang w:val="uk-UA"/>
        </w:rPr>
      </w:pPr>
      <w:r w:rsidRPr="00A62366">
        <w:rPr>
          <w:rFonts w:ascii="Times New Roman" w:hAnsi="Times New Roman" w:cs="Times New Roman"/>
          <w:color w:val="000000"/>
          <w:sz w:val="24"/>
          <w:szCs w:val="24"/>
          <w:shd w:val="clear" w:color="auto" w:fill="FFFFFF"/>
          <w:lang w:val="uk-UA"/>
        </w:rPr>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w:t>
      </w:r>
      <w:r w:rsidRPr="00A62366">
        <w:rPr>
          <w:rFonts w:ascii="Times New Roman" w:hAnsi="Times New Roman" w:cs="Times New Roman"/>
          <w:color w:val="000000"/>
          <w:sz w:val="24"/>
          <w:szCs w:val="24"/>
          <w:u w:val="single"/>
          <w:shd w:val="clear" w:color="auto" w:fill="FFFFFF"/>
          <w:lang w:val="uk-UA"/>
        </w:rPr>
        <w:t xml:space="preserve">на 180 </w:t>
      </w:r>
      <w:proofErr w:type="spellStart"/>
      <w:r w:rsidRPr="00A62366">
        <w:rPr>
          <w:rFonts w:ascii="Times New Roman" w:hAnsi="Times New Roman" w:cs="Times New Roman"/>
          <w:color w:val="000000"/>
          <w:sz w:val="24"/>
          <w:szCs w:val="24"/>
          <w:u w:val="single"/>
          <w:shd w:val="clear" w:color="auto" w:fill="FFFFFF"/>
          <w:lang w:val="uk-UA"/>
        </w:rPr>
        <w:t>кв</w:t>
      </w:r>
      <w:proofErr w:type="spellEnd"/>
      <w:r w:rsidRPr="00A62366">
        <w:rPr>
          <w:rFonts w:ascii="Times New Roman" w:hAnsi="Times New Roman" w:cs="Times New Roman"/>
          <w:color w:val="000000"/>
          <w:sz w:val="24"/>
          <w:szCs w:val="24"/>
          <w:u w:val="single"/>
          <w:shd w:val="clear" w:color="auto" w:fill="FFFFFF"/>
          <w:lang w:val="uk-UA"/>
        </w:rPr>
        <w:t>. метрів.</w:t>
      </w:r>
    </w:p>
    <w:p w:rsidR="00FC4D4D" w:rsidRPr="00430983" w:rsidRDefault="001F7A9B" w:rsidP="00430983">
      <w:pPr>
        <w:spacing w:after="0" w:line="240" w:lineRule="auto"/>
        <w:ind w:firstLine="567"/>
        <w:jc w:val="both"/>
        <w:rPr>
          <w:rFonts w:ascii="Times New Roman" w:hAnsi="Times New Roman"/>
          <w:sz w:val="24"/>
          <w:szCs w:val="24"/>
          <w:lang w:val="uk-UA"/>
        </w:rPr>
      </w:pPr>
      <w:r w:rsidRPr="00A62366">
        <w:rPr>
          <w:rFonts w:ascii="Times New Roman" w:hAnsi="Times New Roman" w:cs="Times New Roman"/>
          <w:color w:val="000000"/>
          <w:sz w:val="24"/>
          <w:szCs w:val="24"/>
          <w:shd w:val="clear" w:color="auto" w:fill="FFFFFF"/>
          <w:lang w:val="uk-UA"/>
        </w:rPr>
        <w:t xml:space="preserve">Крім того, відповідно до підпункту 266.7.1 пункту 266.7 Податкового кодексу, </w:t>
      </w:r>
      <w:r w:rsidRPr="00A62366">
        <w:rPr>
          <w:rFonts w:ascii="Times New Roman" w:eastAsia="Arial Unicode MS" w:hAnsi="Times New Roman"/>
          <w:sz w:val="24"/>
          <w:szCs w:val="24"/>
          <w:lang w:val="uk-UA" w:eastAsia="uk-UA"/>
        </w:rPr>
        <w:t xml:space="preserve">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w:t>
      </w:r>
      <w:r w:rsidRPr="00A62366">
        <w:rPr>
          <w:rFonts w:ascii="Times New Roman" w:eastAsia="Arial Unicode MS" w:hAnsi="Times New Roman"/>
          <w:sz w:val="24"/>
          <w:szCs w:val="24"/>
          <w:lang w:val="uk-UA" w:eastAsia="uk-UA"/>
        </w:rPr>
        <w:sym w:font="Symbol" w:char="002D"/>
      </w:r>
      <w:r w:rsidRPr="00A62366">
        <w:rPr>
          <w:rFonts w:ascii="Times New Roman" w:eastAsia="Arial Unicode MS" w:hAnsi="Times New Roman"/>
          <w:sz w:val="24"/>
          <w:szCs w:val="24"/>
          <w:lang w:val="uk-UA" w:eastAsia="uk-UA"/>
        </w:rPr>
        <w:t xml:space="preserve">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законодавства, </w:t>
      </w:r>
      <w:r w:rsidRPr="00A62366">
        <w:rPr>
          <w:rFonts w:ascii="Times New Roman" w:eastAsia="Arial Unicode MS" w:hAnsi="Times New Roman"/>
          <w:b/>
          <w:sz w:val="24"/>
          <w:szCs w:val="24"/>
          <w:u w:val="single"/>
          <w:lang w:val="uk-UA" w:eastAsia="uk-UA"/>
        </w:rPr>
        <w:t>збільшується на 25 000 гривень</w:t>
      </w:r>
      <w:r w:rsidRPr="00A62366">
        <w:rPr>
          <w:rFonts w:ascii="Times New Roman" w:eastAsia="Arial Unicode MS" w:hAnsi="Times New Roman"/>
          <w:sz w:val="24"/>
          <w:szCs w:val="24"/>
          <w:lang w:val="uk-UA" w:eastAsia="uk-UA"/>
        </w:rPr>
        <w:t xml:space="preserve"> на рік за кожен такий об’єкт житлової нерухомості (його частку)</w:t>
      </w:r>
      <w:r w:rsidR="00430983">
        <w:rPr>
          <w:rFonts w:ascii="Times New Roman" w:hAnsi="Times New Roman"/>
          <w:sz w:val="24"/>
          <w:szCs w:val="24"/>
          <w:lang w:val="uk-UA"/>
        </w:rPr>
        <w:t>.</w:t>
      </w:r>
      <w:r w:rsidR="002C419D">
        <w:rPr>
          <w:rFonts w:ascii="Times New Roman" w:hAnsi="Times New Roman" w:cs="Times New Roman"/>
          <w:b/>
          <w:sz w:val="28"/>
          <w:szCs w:val="28"/>
          <w:lang w:val="uk-UA"/>
        </w:rPr>
        <w:t xml:space="preserve">            </w:t>
      </w:r>
    </w:p>
    <w:p w:rsidR="008A22EE" w:rsidRDefault="008A22EE" w:rsidP="00FC0858">
      <w:pPr>
        <w:spacing w:after="0"/>
        <w:jc w:val="center"/>
        <w:rPr>
          <w:rFonts w:ascii="Times New Roman" w:hAnsi="Times New Roman" w:cs="Times New Roman"/>
          <w:b/>
          <w:sz w:val="24"/>
          <w:szCs w:val="24"/>
          <w:lang w:val="uk-UA"/>
        </w:rPr>
      </w:pPr>
    </w:p>
    <w:p w:rsidR="008A22EE" w:rsidRDefault="008A22EE" w:rsidP="00FC0858">
      <w:pPr>
        <w:spacing w:after="0"/>
        <w:jc w:val="center"/>
        <w:rPr>
          <w:rFonts w:ascii="Calibri" w:eastAsia="+mn-ea" w:hAnsi="Calibri" w:cs="+mn-cs"/>
          <w:color w:val="FFFFFF"/>
          <w:sz w:val="28"/>
          <w:szCs w:val="28"/>
          <w:lang w:val="uk-UA" w:eastAsia="ru-RU"/>
        </w:rPr>
      </w:pPr>
      <w:r w:rsidRPr="005E74D0">
        <w:rPr>
          <w:rFonts w:ascii="Times New Roman" w:hAnsi="Times New Roman" w:cs="Times New Roman"/>
          <w:noProof/>
          <w:sz w:val="24"/>
          <w:szCs w:val="24"/>
          <w:highlight w:val="yellow"/>
          <w:lang w:val="uk-UA" w:eastAsia="uk-UA"/>
        </w:rPr>
        <w:drawing>
          <wp:anchor distT="0" distB="0" distL="114300" distR="114300" simplePos="0" relativeHeight="251740160" behindDoc="1" locked="0" layoutInCell="1" allowOverlap="1" wp14:anchorId="2237C1BF" wp14:editId="50107C60">
            <wp:simplePos x="0" y="0"/>
            <wp:positionH relativeFrom="column">
              <wp:posOffset>28575</wp:posOffset>
            </wp:positionH>
            <wp:positionV relativeFrom="paragraph">
              <wp:posOffset>438150</wp:posOffset>
            </wp:positionV>
            <wp:extent cx="5915025" cy="1504950"/>
            <wp:effectExtent l="76200" t="76200" r="104775" b="114300"/>
            <wp:wrapTight wrapText="bothSides">
              <wp:wrapPolygon edited="0">
                <wp:start x="20174" y="-1094"/>
                <wp:lineTo x="-278" y="-547"/>
                <wp:lineTo x="-209" y="21327"/>
                <wp:lineTo x="20174" y="22420"/>
                <wp:lineTo x="20243" y="22967"/>
                <wp:lineTo x="20522" y="22967"/>
                <wp:lineTo x="20591" y="22420"/>
                <wp:lineTo x="20939" y="21327"/>
                <wp:lineTo x="21913" y="16952"/>
                <wp:lineTo x="21009" y="12851"/>
                <wp:lineTo x="20939" y="12577"/>
                <wp:lineTo x="21426" y="8203"/>
                <wp:lineTo x="21565" y="4101"/>
                <wp:lineTo x="21565" y="3828"/>
                <wp:lineTo x="20452" y="-1094"/>
                <wp:lineTo x="20174" y="-1094"/>
              </wp:wrapPolygon>
            </wp:wrapTight>
            <wp:docPr id="16"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anchor>
        </w:drawing>
      </w:r>
      <w:r w:rsidR="00FC4D4D" w:rsidRPr="005E74D0">
        <w:rPr>
          <w:rFonts w:ascii="Times New Roman" w:hAnsi="Times New Roman" w:cs="Times New Roman"/>
          <w:b/>
          <w:sz w:val="24"/>
          <w:szCs w:val="24"/>
          <w:lang w:val="uk-UA"/>
        </w:rPr>
        <w:t xml:space="preserve">                 </w:t>
      </w:r>
      <w:r w:rsidR="005217DB" w:rsidRPr="005E74D0">
        <w:rPr>
          <w:rFonts w:ascii="Times New Roman" w:hAnsi="Times New Roman" w:cs="Times New Roman"/>
          <w:b/>
          <w:sz w:val="24"/>
          <w:szCs w:val="24"/>
          <w:lang w:val="uk-UA"/>
        </w:rPr>
        <w:t xml:space="preserve">Структура податку на нерухоме майно на 2024 </w:t>
      </w:r>
      <w:proofErr w:type="spellStart"/>
      <w:r w:rsidR="005217DB" w:rsidRPr="005E74D0">
        <w:rPr>
          <w:rFonts w:ascii="Times New Roman" w:hAnsi="Times New Roman" w:cs="Times New Roman"/>
          <w:b/>
          <w:sz w:val="24"/>
          <w:szCs w:val="24"/>
          <w:lang w:val="uk-UA"/>
        </w:rPr>
        <w:t>рік</w:t>
      </w:r>
      <w:r w:rsidR="005217DB" w:rsidRPr="005E74D0">
        <w:rPr>
          <w:rFonts w:ascii="Calibri" w:eastAsia="+mn-ea" w:hAnsi="Calibri" w:cs="+mn-cs"/>
          <w:b/>
          <w:bCs/>
          <w:i/>
          <w:iCs/>
          <w:color w:val="FFFFFF"/>
          <w:sz w:val="24"/>
          <w:szCs w:val="24"/>
          <w:lang w:val="uk-UA" w:eastAsia="ru-RU"/>
        </w:rPr>
        <w:t>ої</w:t>
      </w:r>
      <w:proofErr w:type="spellEnd"/>
      <w:r w:rsidR="00FC0858">
        <w:rPr>
          <w:rFonts w:ascii="Calibri" w:eastAsia="+mn-ea" w:hAnsi="Calibri" w:cs="+mn-cs"/>
          <w:color w:val="FFFFFF"/>
          <w:sz w:val="28"/>
          <w:szCs w:val="28"/>
          <w:lang w:val="uk-UA" w:eastAsia="ru-RU"/>
        </w:rPr>
        <w:t xml:space="preserve"> </w:t>
      </w:r>
      <w:proofErr w:type="spellStart"/>
      <w:r w:rsidR="00FC0858">
        <w:rPr>
          <w:rFonts w:ascii="Calibri" w:eastAsia="+mn-ea" w:hAnsi="Calibri" w:cs="+mn-cs"/>
          <w:color w:val="FFFFFF"/>
          <w:sz w:val="28"/>
          <w:szCs w:val="28"/>
          <w:lang w:val="uk-UA" w:eastAsia="ru-RU"/>
        </w:rPr>
        <w:t>нерухом</w:t>
      </w:r>
      <w:proofErr w:type="spellEnd"/>
    </w:p>
    <w:p w:rsidR="00B727E4" w:rsidRPr="00FC0858" w:rsidRDefault="00FC0858" w:rsidP="00FC0858">
      <w:pPr>
        <w:spacing w:after="0"/>
        <w:jc w:val="center"/>
        <w:rPr>
          <w:rFonts w:ascii="Calibri" w:eastAsia="+mn-ea" w:hAnsi="Calibri" w:cs="+mn-cs"/>
          <w:color w:val="FFFFFF"/>
          <w:sz w:val="28"/>
          <w:szCs w:val="28"/>
          <w:lang w:val="uk-UA" w:eastAsia="ru-RU"/>
        </w:rPr>
      </w:pPr>
      <w:r>
        <w:rPr>
          <w:rFonts w:ascii="Calibri" w:eastAsia="+mn-ea" w:hAnsi="Calibri" w:cs="+mn-cs"/>
          <w:color w:val="FFFFFF"/>
          <w:sz w:val="28"/>
          <w:szCs w:val="28"/>
          <w:lang w:val="uk-UA" w:eastAsia="ru-RU"/>
        </w:rPr>
        <w:t>ості</w:t>
      </w:r>
    </w:p>
    <w:p w:rsidR="001F7A9B" w:rsidRPr="004244C6" w:rsidRDefault="001F7A9B" w:rsidP="004402CA">
      <w:pPr>
        <w:spacing w:after="0"/>
        <w:jc w:val="center"/>
        <w:rPr>
          <w:rFonts w:ascii="Times New Roman" w:hAnsi="Times New Roman" w:cs="Times New Roman"/>
          <w:b/>
          <w:sz w:val="28"/>
          <w:szCs w:val="28"/>
          <w:lang w:val="uk-UA"/>
        </w:rPr>
      </w:pPr>
      <w:r w:rsidRPr="004244C6">
        <w:rPr>
          <w:rFonts w:ascii="Times New Roman" w:hAnsi="Times New Roman" w:cs="Times New Roman"/>
          <w:b/>
          <w:sz w:val="24"/>
          <w:szCs w:val="24"/>
          <w:lang w:val="uk-UA"/>
        </w:rPr>
        <w:t xml:space="preserve">Розрахунок прогнозних показників податку на </w:t>
      </w:r>
      <w:r w:rsidR="004402CA">
        <w:rPr>
          <w:rFonts w:ascii="Times New Roman" w:hAnsi="Times New Roman" w:cs="Times New Roman"/>
          <w:b/>
          <w:sz w:val="24"/>
          <w:szCs w:val="24"/>
          <w:lang w:val="uk-UA"/>
        </w:rPr>
        <w:t>н</w:t>
      </w:r>
      <w:r w:rsidRPr="004244C6">
        <w:rPr>
          <w:rFonts w:ascii="Times New Roman" w:hAnsi="Times New Roman" w:cs="Times New Roman"/>
          <w:b/>
          <w:sz w:val="24"/>
          <w:szCs w:val="24"/>
          <w:lang w:val="uk-UA"/>
        </w:rPr>
        <w:t>ерухоме майно, відмінне від земельної ділянки, на 202</w:t>
      </w:r>
      <w:r w:rsidR="002C419D" w:rsidRPr="004244C6">
        <w:rPr>
          <w:rFonts w:ascii="Times New Roman" w:hAnsi="Times New Roman" w:cs="Times New Roman"/>
          <w:b/>
          <w:sz w:val="24"/>
          <w:szCs w:val="24"/>
          <w:lang w:val="uk-UA"/>
        </w:rPr>
        <w:t>4</w:t>
      </w:r>
      <w:r w:rsidRPr="004244C6">
        <w:rPr>
          <w:rFonts w:ascii="Times New Roman" w:hAnsi="Times New Roman" w:cs="Times New Roman"/>
          <w:b/>
          <w:sz w:val="24"/>
          <w:szCs w:val="24"/>
          <w:lang w:val="uk-UA"/>
        </w:rPr>
        <w:t xml:space="preserve"> рік</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8"/>
        <w:gridCol w:w="1738"/>
        <w:gridCol w:w="1559"/>
        <w:gridCol w:w="3119"/>
      </w:tblGrid>
      <w:tr w:rsidR="001F7A9B" w:rsidRPr="00545127" w:rsidTr="00A62366">
        <w:trPr>
          <w:tblHeader/>
        </w:trPr>
        <w:tc>
          <w:tcPr>
            <w:tcW w:w="3508" w:type="dxa"/>
          </w:tcPr>
          <w:p w:rsidR="001F7A9B" w:rsidRPr="004244C6" w:rsidRDefault="001F7A9B" w:rsidP="00A62366">
            <w:pPr>
              <w:spacing w:line="240" w:lineRule="auto"/>
              <w:jc w:val="center"/>
              <w:rPr>
                <w:rFonts w:ascii="Times New Roman" w:hAnsi="Times New Roman" w:cs="Times New Roman"/>
                <w:b/>
                <w:lang w:val="uk-UA"/>
              </w:rPr>
            </w:pPr>
            <w:r w:rsidRPr="004244C6">
              <w:rPr>
                <w:rFonts w:ascii="Times New Roman" w:hAnsi="Times New Roman" w:cs="Times New Roman"/>
                <w:b/>
                <w:lang w:val="uk-UA"/>
              </w:rPr>
              <w:t>Код бюджетної класифікації доходів бюджету</w:t>
            </w:r>
          </w:p>
        </w:tc>
        <w:tc>
          <w:tcPr>
            <w:tcW w:w="1738" w:type="dxa"/>
          </w:tcPr>
          <w:p w:rsidR="001F7A9B" w:rsidRPr="004244C6" w:rsidRDefault="001F7A9B" w:rsidP="00A62366">
            <w:pPr>
              <w:spacing w:line="240" w:lineRule="auto"/>
              <w:jc w:val="center"/>
              <w:rPr>
                <w:rFonts w:ascii="Times New Roman" w:hAnsi="Times New Roman" w:cs="Times New Roman"/>
                <w:b/>
                <w:lang w:val="uk-UA"/>
              </w:rPr>
            </w:pPr>
            <w:r w:rsidRPr="004244C6">
              <w:rPr>
                <w:rFonts w:ascii="Times New Roman" w:hAnsi="Times New Roman" w:cs="Times New Roman"/>
                <w:b/>
                <w:lang w:val="uk-UA"/>
              </w:rPr>
              <w:t>Очікува</w:t>
            </w:r>
            <w:r w:rsidR="002C419D" w:rsidRPr="004244C6">
              <w:rPr>
                <w:rFonts w:ascii="Times New Roman" w:hAnsi="Times New Roman" w:cs="Times New Roman"/>
                <w:b/>
                <w:lang w:val="uk-UA"/>
              </w:rPr>
              <w:t>ний факт за                 2023</w:t>
            </w:r>
            <w:r w:rsidRPr="004244C6">
              <w:rPr>
                <w:rFonts w:ascii="Times New Roman" w:hAnsi="Times New Roman" w:cs="Times New Roman"/>
                <w:b/>
                <w:lang w:val="uk-UA"/>
              </w:rPr>
              <w:t xml:space="preserve"> рік,                 тис. грн.</w:t>
            </w:r>
          </w:p>
        </w:tc>
        <w:tc>
          <w:tcPr>
            <w:tcW w:w="1559" w:type="dxa"/>
          </w:tcPr>
          <w:p w:rsidR="001F7A9B" w:rsidRPr="004244C6" w:rsidRDefault="002C419D" w:rsidP="00A62366">
            <w:pPr>
              <w:spacing w:line="240" w:lineRule="auto"/>
              <w:jc w:val="center"/>
              <w:rPr>
                <w:rFonts w:ascii="Times New Roman" w:hAnsi="Times New Roman" w:cs="Times New Roman"/>
                <w:b/>
                <w:lang w:val="uk-UA"/>
              </w:rPr>
            </w:pPr>
            <w:r w:rsidRPr="004244C6">
              <w:rPr>
                <w:rFonts w:ascii="Times New Roman" w:hAnsi="Times New Roman" w:cs="Times New Roman"/>
                <w:b/>
                <w:lang w:val="uk-UA"/>
              </w:rPr>
              <w:t>Прогноз на 2024</w:t>
            </w:r>
            <w:r w:rsidR="001F7A9B" w:rsidRPr="004244C6">
              <w:rPr>
                <w:rFonts w:ascii="Times New Roman" w:hAnsi="Times New Roman" w:cs="Times New Roman"/>
                <w:b/>
                <w:lang w:val="uk-UA"/>
              </w:rPr>
              <w:t xml:space="preserve"> рік,  тис. грн.</w:t>
            </w:r>
          </w:p>
        </w:tc>
        <w:tc>
          <w:tcPr>
            <w:tcW w:w="3119" w:type="dxa"/>
          </w:tcPr>
          <w:p w:rsidR="001F7A9B" w:rsidRPr="004244C6" w:rsidRDefault="001F7A9B" w:rsidP="00A62366">
            <w:pPr>
              <w:spacing w:line="240" w:lineRule="auto"/>
              <w:jc w:val="center"/>
              <w:rPr>
                <w:rFonts w:ascii="Times New Roman" w:hAnsi="Times New Roman" w:cs="Times New Roman"/>
                <w:b/>
                <w:lang w:val="uk-UA"/>
              </w:rPr>
            </w:pPr>
            <w:r w:rsidRPr="004244C6">
              <w:rPr>
                <w:rFonts w:ascii="Times New Roman" w:hAnsi="Times New Roman" w:cs="Times New Roman"/>
                <w:b/>
                <w:lang w:val="uk-UA"/>
              </w:rPr>
              <w:t>Пояснення</w:t>
            </w:r>
          </w:p>
        </w:tc>
      </w:tr>
      <w:tr w:rsidR="001F7A9B" w:rsidRPr="00482BC1" w:rsidTr="00A62366">
        <w:tc>
          <w:tcPr>
            <w:tcW w:w="3508" w:type="dxa"/>
          </w:tcPr>
          <w:p w:rsidR="001F7A9B" w:rsidRPr="002C419D" w:rsidRDefault="001F7A9B" w:rsidP="00A62366">
            <w:pPr>
              <w:spacing w:line="240" w:lineRule="auto"/>
              <w:jc w:val="both"/>
              <w:rPr>
                <w:rFonts w:ascii="Times New Roman" w:hAnsi="Times New Roman" w:cs="Times New Roman"/>
                <w:sz w:val="21"/>
                <w:szCs w:val="21"/>
                <w:lang w:val="uk-UA"/>
              </w:rPr>
            </w:pPr>
            <w:r w:rsidRPr="002C419D">
              <w:rPr>
                <w:rFonts w:ascii="Times New Roman" w:hAnsi="Times New Roman" w:cs="Times New Roman"/>
                <w:b/>
                <w:sz w:val="21"/>
                <w:szCs w:val="21"/>
                <w:lang w:val="uk-UA"/>
              </w:rPr>
              <w:t>18010100</w:t>
            </w:r>
            <w:r w:rsidRPr="002C419D">
              <w:rPr>
                <w:rFonts w:ascii="Times New Roman" w:hAnsi="Times New Roman" w:cs="Times New Roman"/>
                <w:sz w:val="21"/>
                <w:szCs w:val="21"/>
                <w:lang w:val="uk-UA"/>
              </w:rPr>
              <w:t xml:space="preserve"> «Податок на нерухоме майно, відмінне від земельної ділянки, сплачений юридичними </w:t>
            </w:r>
            <w:r w:rsidRPr="002C419D">
              <w:rPr>
                <w:rFonts w:ascii="Times New Roman" w:hAnsi="Times New Roman" w:cs="Times New Roman"/>
                <w:sz w:val="21"/>
                <w:szCs w:val="21"/>
                <w:lang w:val="uk-UA"/>
              </w:rPr>
              <w:lastRenderedPageBreak/>
              <w:t>особами, які є власниками об'єктів житлової нерухомості»</w:t>
            </w:r>
          </w:p>
        </w:tc>
        <w:tc>
          <w:tcPr>
            <w:tcW w:w="1738" w:type="dxa"/>
          </w:tcPr>
          <w:p w:rsidR="001F7A9B" w:rsidRPr="002C419D" w:rsidRDefault="002C419D" w:rsidP="002C419D">
            <w:pPr>
              <w:jc w:val="center"/>
              <w:rPr>
                <w:rFonts w:ascii="Times New Roman" w:hAnsi="Times New Roman" w:cs="Times New Roman"/>
                <w:sz w:val="24"/>
                <w:szCs w:val="24"/>
                <w:lang w:val="uk-UA"/>
              </w:rPr>
            </w:pPr>
            <w:r w:rsidRPr="002C419D">
              <w:rPr>
                <w:rFonts w:ascii="Times New Roman" w:hAnsi="Times New Roman" w:cs="Times New Roman"/>
                <w:sz w:val="24"/>
                <w:szCs w:val="24"/>
                <w:lang w:val="uk-UA"/>
              </w:rPr>
              <w:lastRenderedPageBreak/>
              <w:t>70,1</w:t>
            </w:r>
          </w:p>
        </w:tc>
        <w:tc>
          <w:tcPr>
            <w:tcW w:w="1559" w:type="dxa"/>
          </w:tcPr>
          <w:p w:rsidR="001F7A9B" w:rsidRPr="002C419D" w:rsidRDefault="00882E02" w:rsidP="002C419D">
            <w:pPr>
              <w:jc w:val="center"/>
              <w:rPr>
                <w:rFonts w:ascii="Times New Roman" w:hAnsi="Times New Roman" w:cs="Times New Roman"/>
                <w:sz w:val="24"/>
                <w:szCs w:val="24"/>
                <w:lang w:val="uk-UA"/>
              </w:rPr>
            </w:pPr>
            <w:r>
              <w:rPr>
                <w:rFonts w:ascii="Times New Roman" w:hAnsi="Times New Roman" w:cs="Times New Roman"/>
                <w:sz w:val="24"/>
                <w:szCs w:val="24"/>
                <w:lang w:val="uk-UA"/>
              </w:rPr>
              <w:t>7</w:t>
            </w:r>
            <w:r w:rsidR="002C419D" w:rsidRPr="002C419D">
              <w:rPr>
                <w:rFonts w:ascii="Times New Roman" w:hAnsi="Times New Roman" w:cs="Times New Roman"/>
                <w:sz w:val="24"/>
                <w:szCs w:val="24"/>
                <w:lang w:val="uk-UA"/>
              </w:rPr>
              <w:t>0,0</w:t>
            </w:r>
          </w:p>
        </w:tc>
        <w:tc>
          <w:tcPr>
            <w:tcW w:w="3119" w:type="dxa"/>
          </w:tcPr>
          <w:p w:rsidR="00205A06" w:rsidRPr="004244C6" w:rsidRDefault="00205A06" w:rsidP="00205A06">
            <w:pPr>
              <w:spacing w:after="0" w:line="240" w:lineRule="auto"/>
              <w:rPr>
                <w:rFonts w:ascii="Times New Roman" w:hAnsi="Times New Roman" w:cs="Times New Roman"/>
                <w:sz w:val="21"/>
                <w:szCs w:val="21"/>
                <w:lang w:val="uk-UA"/>
              </w:rPr>
            </w:pPr>
            <w:r w:rsidRPr="004244C6">
              <w:rPr>
                <w:rFonts w:ascii="Times New Roman" w:hAnsi="Times New Roman" w:cs="Times New Roman"/>
                <w:sz w:val="21"/>
                <w:szCs w:val="21"/>
                <w:lang w:val="uk-UA"/>
              </w:rPr>
              <w:t>Розраховано з урахуванням підвищення мінімальної заробітної плати та діючих ставок .</w:t>
            </w:r>
          </w:p>
          <w:p w:rsidR="001F7A9B" w:rsidRPr="004244C6" w:rsidRDefault="001F7A9B" w:rsidP="00A62366">
            <w:pPr>
              <w:spacing w:line="240" w:lineRule="auto"/>
              <w:rPr>
                <w:rFonts w:ascii="Times New Roman" w:hAnsi="Times New Roman" w:cs="Times New Roman"/>
                <w:sz w:val="21"/>
                <w:szCs w:val="21"/>
                <w:lang w:val="uk-UA"/>
              </w:rPr>
            </w:pPr>
          </w:p>
        </w:tc>
      </w:tr>
      <w:tr w:rsidR="001F7A9B" w:rsidRPr="00545127" w:rsidTr="00A62366">
        <w:tc>
          <w:tcPr>
            <w:tcW w:w="3508" w:type="dxa"/>
          </w:tcPr>
          <w:p w:rsidR="001F7A9B" w:rsidRPr="002C419D" w:rsidRDefault="001F7A9B" w:rsidP="00A62366">
            <w:pPr>
              <w:spacing w:line="240" w:lineRule="auto"/>
              <w:jc w:val="both"/>
              <w:rPr>
                <w:rFonts w:ascii="Times New Roman" w:hAnsi="Times New Roman" w:cs="Times New Roman"/>
                <w:sz w:val="21"/>
                <w:szCs w:val="21"/>
                <w:lang w:val="uk-UA"/>
              </w:rPr>
            </w:pPr>
            <w:r w:rsidRPr="002C419D">
              <w:rPr>
                <w:rFonts w:ascii="Times New Roman" w:hAnsi="Times New Roman" w:cs="Times New Roman"/>
                <w:b/>
                <w:sz w:val="21"/>
                <w:szCs w:val="21"/>
                <w:lang w:val="uk-UA"/>
              </w:rPr>
              <w:lastRenderedPageBreak/>
              <w:t>18010200</w:t>
            </w:r>
            <w:r w:rsidRPr="002C419D">
              <w:rPr>
                <w:rFonts w:ascii="Times New Roman" w:hAnsi="Times New Roman" w:cs="Times New Roman"/>
                <w:sz w:val="21"/>
                <w:szCs w:val="21"/>
                <w:lang w:val="uk-UA"/>
              </w:rPr>
              <w:t xml:space="preserve"> «Податок на нерухоме майно, відмінне від земельної ділянки, сплачений фізичними особами, які є власниками об'єктів житлової нерухомості»</w:t>
            </w:r>
          </w:p>
        </w:tc>
        <w:tc>
          <w:tcPr>
            <w:tcW w:w="1738" w:type="dxa"/>
          </w:tcPr>
          <w:p w:rsidR="001F7A9B" w:rsidRPr="002C419D" w:rsidRDefault="002C419D" w:rsidP="002C419D">
            <w:pPr>
              <w:jc w:val="center"/>
              <w:rPr>
                <w:rFonts w:ascii="Times New Roman" w:hAnsi="Times New Roman" w:cs="Times New Roman"/>
                <w:sz w:val="24"/>
                <w:szCs w:val="24"/>
                <w:lang w:val="uk-UA"/>
              </w:rPr>
            </w:pPr>
            <w:r w:rsidRPr="002C419D">
              <w:rPr>
                <w:rFonts w:ascii="Times New Roman" w:hAnsi="Times New Roman" w:cs="Times New Roman"/>
                <w:sz w:val="24"/>
                <w:szCs w:val="24"/>
                <w:lang w:val="uk-UA"/>
              </w:rPr>
              <w:t>2 585,1</w:t>
            </w:r>
          </w:p>
        </w:tc>
        <w:tc>
          <w:tcPr>
            <w:tcW w:w="1559" w:type="dxa"/>
          </w:tcPr>
          <w:p w:rsidR="001F7A9B" w:rsidRPr="002C419D" w:rsidRDefault="00882E02" w:rsidP="002C419D">
            <w:pPr>
              <w:jc w:val="center"/>
              <w:rPr>
                <w:rFonts w:ascii="Times New Roman" w:hAnsi="Times New Roman" w:cs="Times New Roman"/>
                <w:sz w:val="24"/>
                <w:szCs w:val="24"/>
                <w:lang w:val="uk-UA"/>
              </w:rPr>
            </w:pPr>
            <w:r>
              <w:rPr>
                <w:rFonts w:ascii="Times New Roman" w:hAnsi="Times New Roman" w:cs="Times New Roman"/>
                <w:sz w:val="24"/>
                <w:szCs w:val="24"/>
                <w:lang w:val="uk-UA"/>
              </w:rPr>
              <w:t>2 58</w:t>
            </w:r>
            <w:r w:rsidR="002C419D" w:rsidRPr="002C419D">
              <w:rPr>
                <w:rFonts w:ascii="Times New Roman" w:hAnsi="Times New Roman" w:cs="Times New Roman"/>
                <w:sz w:val="24"/>
                <w:szCs w:val="24"/>
                <w:lang w:val="uk-UA"/>
              </w:rPr>
              <w:t>0,0</w:t>
            </w:r>
          </w:p>
        </w:tc>
        <w:tc>
          <w:tcPr>
            <w:tcW w:w="3119" w:type="dxa"/>
          </w:tcPr>
          <w:p w:rsidR="001F7A9B" w:rsidRPr="004244C6" w:rsidRDefault="001F7A9B" w:rsidP="00CF6323">
            <w:pPr>
              <w:spacing w:line="240" w:lineRule="auto"/>
              <w:jc w:val="both"/>
              <w:rPr>
                <w:rFonts w:ascii="Times New Roman" w:hAnsi="Times New Roman" w:cs="Times New Roman"/>
                <w:sz w:val="21"/>
                <w:szCs w:val="21"/>
                <w:lang w:val="uk-UA"/>
              </w:rPr>
            </w:pPr>
            <w:r w:rsidRPr="004244C6">
              <w:rPr>
                <w:rFonts w:ascii="Times New Roman" w:hAnsi="Times New Roman" w:cs="Times New Roman"/>
                <w:sz w:val="21"/>
                <w:szCs w:val="21"/>
                <w:lang w:val="uk-UA"/>
              </w:rPr>
              <w:t>Розраховано з урахуванням росту мінімальної заробітної плати та очікуваних надходжень за 202</w:t>
            </w:r>
            <w:r w:rsidR="00CF6323" w:rsidRPr="004244C6">
              <w:rPr>
                <w:rFonts w:ascii="Times New Roman" w:hAnsi="Times New Roman" w:cs="Times New Roman"/>
                <w:sz w:val="21"/>
                <w:szCs w:val="21"/>
                <w:lang w:val="uk-UA"/>
              </w:rPr>
              <w:t>3</w:t>
            </w:r>
            <w:r w:rsidRPr="004244C6">
              <w:rPr>
                <w:rFonts w:ascii="Times New Roman" w:hAnsi="Times New Roman" w:cs="Times New Roman"/>
                <w:sz w:val="21"/>
                <w:szCs w:val="21"/>
                <w:lang w:val="uk-UA"/>
              </w:rPr>
              <w:t xml:space="preserve"> рік</w:t>
            </w:r>
          </w:p>
        </w:tc>
      </w:tr>
      <w:tr w:rsidR="001F7A9B" w:rsidRPr="00545127" w:rsidTr="00A62366">
        <w:tc>
          <w:tcPr>
            <w:tcW w:w="3508" w:type="dxa"/>
          </w:tcPr>
          <w:p w:rsidR="001F7A9B" w:rsidRPr="002C419D" w:rsidRDefault="001F7A9B" w:rsidP="00A62366">
            <w:pPr>
              <w:spacing w:line="240" w:lineRule="auto"/>
              <w:jc w:val="both"/>
              <w:rPr>
                <w:rFonts w:ascii="Times New Roman" w:hAnsi="Times New Roman" w:cs="Times New Roman"/>
                <w:sz w:val="21"/>
                <w:szCs w:val="21"/>
                <w:lang w:val="uk-UA"/>
              </w:rPr>
            </w:pPr>
            <w:r w:rsidRPr="002C419D">
              <w:rPr>
                <w:rFonts w:ascii="Times New Roman" w:hAnsi="Times New Roman" w:cs="Times New Roman"/>
                <w:b/>
                <w:sz w:val="21"/>
                <w:szCs w:val="21"/>
                <w:lang w:val="uk-UA"/>
              </w:rPr>
              <w:t>18010300</w:t>
            </w:r>
            <w:r w:rsidRPr="002C419D">
              <w:rPr>
                <w:rFonts w:ascii="Times New Roman" w:hAnsi="Times New Roman" w:cs="Times New Roman"/>
                <w:sz w:val="21"/>
                <w:szCs w:val="21"/>
                <w:lang w:val="uk-UA"/>
              </w:rPr>
              <w:t xml:space="preserve"> «Податок на нерухоме майно, відмінне від земельної ділянки, сплачений фізичними особами, які є власниками об'єктів нежитлової нерухомості»</w:t>
            </w:r>
          </w:p>
        </w:tc>
        <w:tc>
          <w:tcPr>
            <w:tcW w:w="1738" w:type="dxa"/>
          </w:tcPr>
          <w:p w:rsidR="001F7A9B" w:rsidRPr="002C419D" w:rsidRDefault="002C419D" w:rsidP="002C419D">
            <w:pPr>
              <w:jc w:val="center"/>
              <w:rPr>
                <w:rFonts w:ascii="Times New Roman" w:hAnsi="Times New Roman" w:cs="Times New Roman"/>
                <w:sz w:val="24"/>
                <w:szCs w:val="24"/>
                <w:lang w:val="uk-UA"/>
              </w:rPr>
            </w:pPr>
            <w:r w:rsidRPr="002C419D">
              <w:rPr>
                <w:rFonts w:ascii="Times New Roman" w:hAnsi="Times New Roman" w:cs="Times New Roman"/>
                <w:sz w:val="24"/>
                <w:szCs w:val="24"/>
                <w:lang w:val="uk-UA"/>
              </w:rPr>
              <w:t>10 528,9</w:t>
            </w:r>
          </w:p>
        </w:tc>
        <w:tc>
          <w:tcPr>
            <w:tcW w:w="1559" w:type="dxa"/>
          </w:tcPr>
          <w:p w:rsidR="001F7A9B" w:rsidRPr="002C419D" w:rsidRDefault="00882E02" w:rsidP="002C419D">
            <w:pPr>
              <w:jc w:val="center"/>
              <w:rPr>
                <w:rFonts w:ascii="Times New Roman" w:hAnsi="Times New Roman" w:cs="Times New Roman"/>
                <w:sz w:val="24"/>
                <w:szCs w:val="24"/>
                <w:lang w:val="uk-UA"/>
              </w:rPr>
            </w:pPr>
            <w:r>
              <w:rPr>
                <w:rFonts w:ascii="Times New Roman" w:hAnsi="Times New Roman" w:cs="Times New Roman"/>
                <w:sz w:val="24"/>
                <w:szCs w:val="24"/>
                <w:lang w:val="uk-UA"/>
              </w:rPr>
              <w:t>8 000</w:t>
            </w:r>
            <w:r w:rsidR="002C419D" w:rsidRPr="002C419D">
              <w:rPr>
                <w:rFonts w:ascii="Times New Roman" w:hAnsi="Times New Roman" w:cs="Times New Roman"/>
                <w:sz w:val="24"/>
                <w:szCs w:val="24"/>
                <w:lang w:val="uk-UA"/>
              </w:rPr>
              <w:t>,0</w:t>
            </w:r>
          </w:p>
        </w:tc>
        <w:tc>
          <w:tcPr>
            <w:tcW w:w="3119" w:type="dxa"/>
          </w:tcPr>
          <w:p w:rsidR="001F7A9B" w:rsidRPr="004244C6" w:rsidRDefault="001F7A9B" w:rsidP="00CF6323">
            <w:pPr>
              <w:spacing w:line="240" w:lineRule="auto"/>
              <w:jc w:val="both"/>
              <w:rPr>
                <w:rFonts w:ascii="Times New Roman" w:hAnsi="Times New Roman" w:cs="Times New Roman"/>
                <w:sz w:val="21"/>
                <w:szCs w:val="21"/>
                <w:lang w:val="uk-UA"/>
              </w:rPr>
            </w:pPr>
            <w:r w:rsidRPr="004244C6">
              <w:rPr>
                <w:rFonts w:ascii="Times New Roman" w:hAnsi="Times New Roman" w:cs="Times New Roman"/>
                <w:sz w:val="21"/>
                <w:szCs w:val="21"/>
                <w:lang w:val="uk-UA"/>
              </w:rPr>
              <w:t>Розраховано з урахуванням росту мінімальної заробітної плати та очікуваних надходжень за 202</w:t>
            </w:r>
            <w:r w:rsidR="00CF6323" w:rsidRPr="004244C6">
              <w:rPr>
                <w:rFonts w:ascii="Times New Roman" w:hAnsi="Times New Roman" w:cs="Times New Roman"/>
                <w:sz w:val="21"/>
                <w:szCs w:val="21"/>
                <w:lang w:val="uk-UA"/>
              </w:rPr>
              <w:t>3</w:t>
            </w:r>
            <w:r w:rsidRPr="004244C6">
              <w:rPr>
                <w:rFonts w:ascii="Times New Roman" w:hAnsi="Times New Roman" w:cs="Times New Roman"/>
                <w:sz w:val="21"/>
                <w:szCs w:val="21"/>
                <w:lang w:val="uk-UA"/>
              </w:rPr>
              <w:t>р</w:t>
            </w:r>
          </w:p>
        </w:tc>
      </w:tr>
      <w:tr w:rsidR="001F7A9B" w:rsidRPr="00482BC1" w:rsidTr="00A62366">
        <w:tc>
          <w:tcPr>
            <w:tcW w:w="3508" w:type="dxa"/>
          </w:tcPr>
          <w:p w:rsidR="001F7A9B" w:rsidRPr="002C419D" w:rsidRDefault="001F7A9B" w:rsidP="00A62366">
            <w:pPr>
              <w:spacing w:line="240" w:lineRule="auto"/>
              <w:jc w:val="both"/>
              <w:rPr>
                <w:rFonts w:ascii="Times New Roman" w:hAnsi="Times New Roman" w:cs="Times New Roman"/>
                <w:sz w:val="21"/>
                <w:szCs w:val="21"/>
                <w:lang w:val="uk-UA"/>
              </w:rPr>
            </w:pPr>
            <w:r w:rsidRPr="002C419D">
              <w:rPr>
                <w:rFonts w:ascii="Times New Roman" w:hAnsi="Times New Roman" w:cs="Times New Roman"/>
                <w:b/>
                <w:sz w:val="21"/>
                <w:szCs w:val="21"/>
                <w:lang w:val="uk-UA"/>
              </w:rPr>
              <w:t>18010400</w:t>
            </w:r>
            <w:r w:rsidRPr="002C419D">
              <w:rPr>
                <w:rFonts w:ascii="Times New Roman" w:hAnsi="Times New Roman" w:cs="Times New Roman"/>
                <w:sz w:val="21"/>
                <w:szCs w:val="21"/>
                <w:lang w:val="uk-UA"/>
              </w:rPr>
              <w:t xml:space="preserve"> «Податок на нерухоме майно, відмінне від земельної ділянки, сплачений юридичними особами, які є власниками об'єктів нежитлової нерухомості»</w:t>
            </w:r>
          </w:p>
        </w:tc>
        <w:tc>
          <w:tcPr>
            <w:tcW w:w="1738" w:type="dxa"/>
          </w:tcPr>
          <w:p w:rsidR="001F7A9B" w:rsidRPr="002C419D" w:rsidRDefault="002C419D" w:rsidP="002C419D">
            <w:pPr>
              <w:jc w:val="center"/>
              <w:rPr>
                <w:rFonts w:ascii="Times New Roman" w:hAnsi="Times New Roman" w:cs="Times New Roman"/>
                <w:sz w:val="24"/>
                <w:szCs w:val="24"/>
                <w:lang w:val="uk-UA"/>
              </w:rPr>
            </w:pPr>
            <w:r w:rsidRPr="002C419D">
              <w:rPr>
                <w:rFonts w:ascii="Times New Roman" w:hAnsi="Times New Roman" w:cs="Times New Roman"/>
                <w:sz w:val="24"/>
                <w:szCs w:val="24"/>
                <w:lang w:val="uk-UA"/>
              </w:rPr>
              <w:t>19 525,6</w:t>
            </w:r>
          </w:p>
        </w:tc>
        <w:tc>
          <w:tcPr>
            <w:tcW w:w="1559" w:type="dxa"/>
          </w:tcPr>
          <w:p w:rsidR="001F7A9B" w:rsidRPr="002C419D" w:rsidRDefault="002C419D" w:rsidP="002C419D">
            <w:pPr>
              <w:jc w:val="center"/>
              <w:rPr>
                <w:rFonts w:ascii="Times New Roman" w:hAnsi="Times New Roman" w:cs="Times New Roman"/>
                <w:sz w:val="24"/>
                <w:szCs w:val="24"/>
                <w:lang w:val="uk-UA"/>
              </w:rPr>
            </w:pPr>
            <w:r w:rsidRPr="002C419D">
              <w:rPr>
                <w:rFonts w:ascii="Times New Roman" w:hAnsi="Times New Roman" w:cs="Times New Roman"/>
                <w:sz w:val="24"/>
                <w:szCs w:val="24"/>
                <w:lang w:val="uk-UA"/>
              </w:rPr>
              <w:t>18 100,0</w:t>
            </w:r>
          </w:p>
        </w:tc>
        <w:tc>
          <w:tcPr>
            <w:tcW w:w="3119" w:type="dxa"/>
          </w:tcPr>
          <w:p w:rsidR="001F7A9B" w:rsidRPr="004244C6" w:rsidRDefault="00205A06" w:rsidP="00A62366">
            <w:pPr>
              <w:spacing w:after="0" w:line="240" w:lineRule="auto"/>
              <w:rPr>
                <w:rFonts w:ascii="Times New Roman" w:hAnsi="Times New Roman" w:cs="Times New Roman"/>
                <w:sz w:val="21"/>
                <w:szCs w:val="21"/>
                <w:lang w:val="uk-UA"/>
              </w:rPr>
            </w:pPr>
            <w:r w:rsidRPr="004244C6">
              <w:rPr>
                <w:rFonts w:ascii="Times New Roman" w:hAnsi="Times New Roman" w:cs="Times New Roman"/>
                <w:sz w:val="21"/>
                <w:szCs w:val="21"/>
                <w:lang w:val="uk-UA"/>
              </w:rPr>
              <w:t xml:space="preserve">Розраховано з урахуванням </w:t>
            </w:r>
            <w:r w:rsidR="001F7A9B" w:rsidRPr="004244C6">
              <w:rPr>
                <w:rFonts w:ascii="Times New Roman" w:hAnsi="Times New Roman" w:cs="Times New Roman"/>
                <w:sz w:val="21"/>
                <w:szCs w:val="21"/>
                <w:lang w:val="uk-UA"/>
              </w:rPr>
              <w:t>підвищення мінімальної заробітної плати та діючих ставок</w:t>
            </w:r>
          </w:p>
          <w:p w:rsidR="001F7A9B" w:rsidRPr="004244C6" w:rsidRDefault="001F7A9B" w:rsidP="00A62366">
            <w:pPr>
              <w:spacing w:after="0" w:line="240" w:lineRule="auto"/>
              <w:rPr>
                <w:rFonts w:ascii="Times New Roman" w:hAnsi="Times New Roman" w:cs="Times New Roman"/>
                <w:sz w:val="21"/>
                <w:szCs w:val="21"/>
                <w:lang w:val="uk-UA"/>
              </w:rPr>
            </w:pPr>
          </w:p>
        </w:tc>
      </w:tr>
      <w:tr w:rsidR="001F7A9B" w:rsidRPr="00545127" w:rsidTr="00A62366">
        <w:trPr>
          <w:trHeight w:val="886"/>
        </w:trPr>
        <w:tc>
          <w:tcPr>
            <w:tcW w:w="3508" w:type="dxa"/>
          </w:tcPr>
          <w:p w:rsidR="001F7A9B" w:rsidRPr="002C419D" w:rsidRDefault="001F7A9B" w:rsidP="00A62366">
            <w:pPr>
              <w:spacing w:line="240" w:lineRule="auto"/>
              <w:jc w:val="both"/>
              <w:rPr>
                <w:rFonts w:ascii="Times New Roman" w:hAnsi="Times New Roman" w:cs="Times New Roman"/>
                <w:b/>
                <w:lang w:val="uk-UA"/>
              </w:rPr>
            </w:pPr>
            <w:r w:rsidRPr="002C419D">
              <w:rPr>
                <w:rFonts w:ascii="Times New Roman" w:hAnsi="Times New Roman" w:cs="Times New Roman"/>
                <w:b/>
                <w:lang w:val="uk-UA"/>
              </w:rPr>
              <w:t>Податок на нерухоме майно, відмінне від земельної ділянки (разом)</w:t>
            </w:r>
          </w:p>
        </w:tc>
        <w:tc>
          <w:tcPr>
            <w:tcW w:w="1738" w:type="dxa"/>
          </w:tcPr>
          <w:p w:rsidR="001F7A9B" w:rsidRPr="002C419D" w:rsidRDefault="001F7A9B" w:rsidP="002C419D">
            <w:pPr>
              <w:jc w:val="both"/>
              <w:rPr>
                <w:rFonts w:ascii="Times New Roman" w:hAnsi="Times New Roman" w:cs="Times New Roman"/>
                <w:b/>
                <w:sz w:val="24"/>
                <w:szCs w:val="24"/>
                <w:lang w:val="uk-UA"/>
              </w:rPr>
            </w:pPr>
            <w:r w:rsidRPr="002C419D">
              <w:rPr>
                <w:rFonts w:ascii="Times New Roman" w:hAnsi="Times New Roman" w:cs="Times New Roman"/>
                <w:b/>
                <w:sz w:val="24"/>
                <w:szCs w:val="24"/>
                <w:lang w:val="uk-UA"/>
              </w:rPr>
              <w:t xml:space="preserve">     </w:t>
            </w:r>
            <w:r w:rsidR="002C419D" w:rsidRPr="002C419D">
              <w:rPr>
                <w:rFonts w:ascii="Times New Roman" w:hAnsi="Times New Roman" w:cs="Times New Roman"/>
                <w:b/>
                <w:sz w:val="24"/>
                <w:szCs w:val="24"/>
                <w:lang w:val="uk-UA"/>
              </w:rPr>
              <w:t>32 709,7</w:t>
            </w:r>
          </w:p>
        </w:tc>
        <w:tc>
          <w:tcPr>
            <w:tcW w:w="1559" w:type="dxa"/>
          </w:tcPr>
          <w:p w:rsidR="001F7A9B" w:rsidRPr="002C419D" w:rsidRDefault="001F7A9B" w:rsidP="00882E02">
            <w:pPr>
              <w:jc w:val="both"/>
              <w:rPr>
                <w:rFonts w:ascii="Times New Roman" w:hAnsi="Times New Roman" w:cs="Times New Roman"/>
                <w:b/>
                <w:sz w:val="24"/>
                <w:szCs w:val="24"/>
                <w:lang w:val="uk-UA"/>
              </w:rPr>
            </w:pPr>
            <w:r w:rsidRPr="002C419D">
              <w:rPr>
                <w:rFonts w:ascii="Times New Roman" w:hAnsi="Times New Roman" w:cs="Times New Roman"/>
                <w:b/>
                <w:sz w:val="24"/>
                <w:szCs w:val="24"/>
                <w:lang w:val="uk-UA"/>
              </w:rPr>
              <w:t xml:space="preserve">    </w:t>
            </w:r>
            <w:r w:rsidR="00882E02">
              <w:rPr>
                <w:rFonts w:ascii="Times New Roman" w:hAnsi="Times New Roman" w:cs="Times New Roman"/>
                <w:b/>
                <w:sz w:val="24"/>
                <w:szCs w:val="24"/>
                <w:lang w:val="uk-UA"/>
              </w:rPr>
              <w:t>28 750</w:t>
            </w:r>
            <w:r w:rsidR="002C419D" w:rsidRPr="002C419D">
              <w:rPr>
                <w:rFonts w:ascii="Times New Roman" w:hAnsi="Times New Roman" w:cs="Times New Roman"/>
                <w:b/>
                <w:sz w:val="24"/>
                <w:szCs w:val="24"/>
                <w:lang w:val="uk-UA"/>
              </w:rPr>
              <w:t>,0</w:t>
            </w:r>
          </w:p>
        </w:tc>
        <w:tc>
          <w:tcPr>
            <w:tcW w:w="3119" w:type="dxa"/>
          </w:tcPr>
          <w:p w:rsidR="001F7A9B" w:rsidRPr="004244C6" w:rsidRDefault="001F7A9B" w:rsidP="00882E02">
            <w:pPr>
              <w:spacing w:line="240" w:lineRule="auto"/>
              <w:jc w:val="both"/>
              <w:rPr>
                <w:rFonts w:ascii="Times New Roman" w:hAnsi="Times New Roman" w:cs="Times New Roman"/>
                <w:b/>
                <w:sz w:val="24"/>
                <w:szCs w:val="24"/>
                <w:lang w:val="uk-UA"/>
              </w:rPr>
            </w:pPr>
            <w:r w:rsidRPr="004244C6">
              <w:rPr>
                <w:rFonts w:ascii="Times New Roman" w:hAnsi="Times New Roman" w:cs="Times New Roman"/>
                <w:b/>
                <w:sz w:val="24"/>
                <w:szCs w:val="24"/>
                <w:lang w:val="uk-UA"/>
              </w:rPr>
              <w:t xml:space="preserve">Темп росту -  </w:t>
            </w:r>
            <w:r w:rsidR="0094736A" w:rsidRPr="004244C6">
              <w:rPr>
                <w:rFonts w:ascii="Times New Roman" w:hAnsi="Times New Roman" w:cs="Times New Roman"/>
                <w:b/>
                <w:sz w:val="24"/>
                <w:szCs w:val="24"/>
                <w:lang w:val="uk-UA"/>
              </w:rPr>
              <w:t>8</w:t>
            </w:r>
            <w:r w:rsidR="00882E02">
              <w:rPr>
                <w:rFonts w:ascii="Times New Roman" w:hAnsi="Times New Roman" w:cs="Times New Roman"/>
                <w:b/>
                <w:sz w:val="24"/>
                <w:szCs w:val="24"/>
                <w:lang w:val="uk-UA"/>
              </w:rPr>
              <w:t>7,9</w:t>
            </w:r>
            <w:r w:rsidRPr="004244C6">
              <w:rPr>
                <w:rFonts w:ascii="Times New Roman" w:hAnsi="Times New Roman" w:cs="Times New Roman"/>
                <w:b/>
                <w:sz w:val="24"/>
                <w:szCs w:val="24"/>
                <w:lang w:val="uk-UA"/>
              </w:rPr>
              <w:t xml:space="preserve"> %</w:t>
            </w:r>
          </w:p>
        </w:tc>
      </w:tr>
    </w:tbl>
    <w:p w:rsidR="00C921F3" w:rsidRPr="00DA374C" w:rsidRDefault="00107165" w:rsidP="00552E8F">
      <w:pPr>
        <w:spacing w:after="0" w:line="240" w:lineRule="auto"/>
        <w:ind w:firstLine="567"/>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При розрахунку планових показників надходжень </w:t>
      </w:r>
      <w:r w:rsidR="00CC188E" w:rsidRPr="00DA374C">
        <w:rPr>
          <w:rFonts w:ascii="Times New Roman" w:hAnsi="Times New Roman" w:cs="Times New Roman"/>
          <w:iCs/>
          <w:sz w:val="24"/>
          <w:szCs w:val="24"/>
          <w:lang w:val="uk-UA"/>
        </w:rPr>
        <w:t>податку на нерухоме майно, відмінне від земельної ділянки, на 2024 рік</w:t>
      </w:r>
      <w:r>
        <w:rPr>
          <w:rFonts w:ascii="Times New Roman" w:hAnsi="Times New Roman" w:cs="Times New Roman"/>
          <w:iCs/>
          <w:sz w:val="24"/>
          <w:szCs w:val="24"/>
          <w:lang w:val="uk-UA"/>
        </w:rPr>
        <w:t xml:space="preserve"> базовим показником визначалися надходження за відповідним податком за вирахуванням сум </w:t>
      </w:r>
      <w:r w:rsidR="00CF37B0" w:rsidRPr="00DA374C">
        <w:rPr>
          <w:rFonts w:ascii="Times New Roman" w:hAnsi="Times New Roman" w:cs="Times New Roman"/>
          <w:iCs/>
          <w:sz w:val="24"/>
          <w:szCs w:val="24"/>
          <w:lang w:val="uk-UA"/>
        </w:rPr>
        <w:t>погашення податкового боргу за попередні періоди</w:t>
      </w:r>
      <w:r w:rsidR="00552E8F">
        <w:rPr>
          <w:rFonts w:ascii="Times New Roman" w:hAnsi="Times New Roman" w:cs="Times New Roman"/>
          <w:iCs/>
          <w:sz w:val="24"/>
          <w:szCs w:val="24"/>
          <w:lang w:val="uk-UA"/>
        </w:rPr>
        <w:t>. С</w:t>
      </w:r>
      <w:r w:rsidR="00E55456" w:rsidRPr="00DA374C">
        <w:rPr>
          <w:rFonts w:ascii="Times New Roman" w:hAnsi="Times New Roman" w:cs="Times New Roman"/>
          <w:iCs/>
          <w:sz w:val="24"/>
          <w:szCs w:val="24"/>
          <w:lang w:val="uk-UA"/>
        </w:rPr>
        <w:t>аме</w:t>
      </w:r>
      <w:r w:rsidR="00CF37B0" w:rsidRPr="00DA374C">
        <w:rPr>
          <w:rFonts w:ascii="Times New Roman" w:hAnsi="Times New Roman" w:cs="Times New Roman"/>
          <w:iCs/>
          <w:sz w:val="24"/>
          <w:szCs w:val="24"/>
          <w:lang w:val="uk-UA"/>
        </w:rPr>
        <w:t xml:space="preserve"> </w:t>
      </w:r>
      <w:proofErr w:type="spellStart"/>
      <w:r w:rsidR="00E55456" w:rsidRPr="00DA374C">
        <w:rPr>
          <w:rFonts w:ascii="Times New Roman" w:hAnsi="Times New Roman" w:cs="Times New Roman"/>
          <w:iCs/>
          <w:sz w:val="24"/>
          <w:szCs w:val="24"/>
        </w:rPr>
        <w:t>це</w:t>
      </w:r>
      <w:proofErr w:type="spellEnd"/>
      <w:r w:rsidR="00552E8F">
        <w:rPr>
          <w:rFonts w:ascii="Times New Roman" w:hAnsi="Times New Roman" w:cs="Times New Roman"/>
          <w:iCs/>
          <w:sz w:val="24"/>
          <w:szCs w:val="24"/>
          <w:lang w:val="uk-UA"/>
        </w:rPr>
        <w:t xml:space="preserve">й фактор </w:t>
      </w:r>
      <w:proofErr w:type="spellStart"/>
      <w:r w:rsidR="00E55456" w:rsidRPr="00DA374C">
        <w:rPr>
          <w:rFonts w:ascii="Times New Roman" w:hAnsi="Times New Roman" w:cs="Times New Roman"/>
          <w:iCs/>
          <w:sz w:val="24"/>
          <w:szCs w:val="24"/>
        </w:rPr>
        <w:t>вплину</w:t>
      </w:r>
      <w:proofErr w:type="spellEnd"/>
      <w:r w:rsidR="00552E8F">
        <w:rPr>
          <w:rFonts w:ascii="Times New Roman" w:hAnsi="Times New Roman" w:cs="Times New Roman"/>
          <w:iCs/>
          <w:sz w:val="24"/>
          <w:szCs w:val="24"/>
          <w:lang w:val="uk-UA"/>
        </w:rPr>
        <w:t xml:space="preserve">в </w:t>
      </w:r>
      <w:r w:rsidR="00E55456" w:rsidRPr="00DA374C">
        <w:rPr>
          <w:rFonts w:ascii="Times New Roman" w:hAnsi="Times New Roman" w:cs="Times New Roman"/>
          <w:iCs/>
          <w:sz w:val="24"/>
          <w:szCs w:val="24"/>
        </w:rPr>
        <w:t xml:space="preserve"> на </w:t>
      </w:r>
      <w:r w:rsidR="00552E8F">
        <w:rPr>
          <w:rFonts w:ascii="Times New Roman" w:hAnsi="Times New Roman" w:cs="Times New Roman"/>
          <w:iCs/>
          <w:sz w:val="24"/>
          <w:szCs w:val="24"/>
          <w:lang w:val="uk-UA"/>
        </w:rPr>
        <w:t xml:space="preserve">зменшення планових показників податку на нерухоме майно в порівняння з очікуваними надходженнями такого податку за 2023 рік. </w:t>
      </w:r>
    </w:p>
    <w:p w:rsidR="00DB650B" w:rsidRPr="00DA374C" w:rsidRDefault="00C921F3" w:rsidP="000E2C33">
      <w:pPr>
        <w:spacing w:after="0" w:line="240" w:lineRule="auto"/>
        <w:ind w:firstLine="567"/>
        <w:jc w:val="both"/>
        <w:rPr>
          <w:rFonts w:ascii="Times New Roman" w:hAnsi="Times New Roman" w:cs="Times New Roman"/>
          <w:iCs/>
          <w:sz w:val="24"/>
          <w:szCs w:val="24"/>
          <w:lang w:val="uk-UA"/>
        </w:rPr>
      </w:pPr>
      <w:r w:rsidRPr="00DA374C">
        <w:rPr>
          <w:rFonts w:ascii="Times New Roman" w:hAnsi="Times New Roman" w:cs="Times New Roman"/>
          <w:iCs/>
          <w:sz w:val="24"/>
          <w:szCs w:val="24"/>
          <w:u w:val="single"/>
          <w:lang w:val="uk-UA"/>
        </w:rPr>
        <w:t>Довідково:</w:t>
      </w:r>
      <w:r w:rsidR="00DB650B" w:rsidRPr="00DA374C">
        <w:rPr>
          <w:rFonts w:ascii="Times New Roman" w:hAnsi="Times New Roman" w:cs="Times New Roman"/>
          <w:iCs/>
          <w:sz w:val="24"/>
          <w:szCs w:val="24"/>
          <w:lang w:val="uk-UA"/>
        </w:rPr>
        <w:t xml:space="preserve"> На 01.12.2023</w:t>
      </w:r>
      <w:r w:rsidR="001845C9" w:rsidRPr="00DA374C">
        <w:rPr>
          <w:rFonts w:ascii="Times New Roman" w:hAnsi="Times New Roman" w:cs="Times New Roman"/>
          <w:iCs/>
          <w:sz w:val="24"/>
          <w:szCs w:val="24"/>
          <w:lang w:val="uk-UA"/>
        </w:rPr>
        <w:t xml:space="preserve"> рік</w:t>
      </w:r>
      <w:r w:rsidRPr="00DA374C">
        <w:rPr>
          <w:rFonts w:ascii="Times New Roman" w:hAnsi="Times New Roman" w:cs="Times New Roman"/>
          <w:iCs/>
          <w:sz w:val="24"/>
          <w:szCs w:val="24"/>
          <w:lang w:val="uk-UA"/>
        </w:rPr>
        <w:t xml:space="preserve"> </w:t>
      </w:r>
      <w:r w:rsidR="008D5B7C" w:rsidRPr="00DA374C">
        <w:rPr>
          <w:rFonts w:ascii="Times New Roman" w:hAnsi="Times New Roman" w:cs="Times New Roman"/>
          <w:iCs/>
          <w:sz w:val="24"/>
          <w:szCs w:val="24"/>
          <w:lang w:val="uk-UA"/>
        </w:rPr>
        <w:t>юридичні</w:t>
      </w:r>
      <w:r w:rsidR="00DB650B" w:rsidRPr="00DA374C">
        <w:rPr>
          <w:rFonts w:ascii="Times New Roman" w:hAnsi="Times New Roman" w:cs="Times New Roman"/>
          <w:iCs/>
          <w:sz w:val="24"/>
          <w:szCs w:val="24"/>
          <w:lang w:val="uk-UA"/>
        </w:rPr>
        <w:t xml:space="preserve"> та фізичні особи</w:t>
      </w:r>
      <w:r w:rsidRPr="00DA374C">
        <w:rPr>
          <w:rFonts w:ascii="Times New Roman" w:hAnsi="Times New Roman" w:cs="Times New Roman"/>
          <w:iCs/>
          <w:sz w:val="24"/>
          <w:szCs w:val="24"/>
          <w:lang w:val="uk-UA"/>
        </w:rPr>
        <w:t xml:space="preserve"> сплатили </w:t>
      </w:r>
      <w:r w:rsidR="00DB650B" w:rsidRPr="00DA374C">
        <w:rPr>
          <w:rFonts w:ascii="Times New Roman" w:hAnsi="Times New Roman" w:cs="Times New Roman"/>
          <w:iCs/>
          <w:sz w:val="24"/>
          <w:szCs w:val="24"/>
          <w:lang w:val="uk-UA"/>
        </w:rPr>
        <w:t xml:space="preserve">до </w:t>
      </w:r>
      <w:r w:rsidR="00697385" w:rsidRPr="00DA374C">
        <w:rPr>
          <w:rFonts w:ascii="Times New Roman" w:hAnsi="Times New Roman" w:cs="Times New Roman"/>
          <w:iCs/>
          <w:sz w:val="24"/>
          <w:szCs w:val="24"/>
          <w:lang w:val="uk-UA"/>
        </w:rPr>
        <w:t xml:space="preserve">бюджету </w:t>
      </w:r>
      <w:r w:rsidR="00DB650B" w:rsidRPr="00DA374C">
        <w:rPr>
          <w:rFonts w:ascii="Times New Roman" w:hAnsi="Times New Roman" w:cs="Times New Roman"/>
          <w:iCs/>
          <w:sz w:val="24"/>
          <w:szCs w:val="24"/>
          <w:lang w:val="uk-UA"/>
        </w:rPr>
        <w:t xml:space="preserve">Чорноморської міської територіальної громади </w:t>
      </w:r>
      <w:r w:rsidRPr="00DA374C">
        <w:rPr>
          <w:rFonts w:ascii="Times New Roman" w:hAnsi="Times New Roman" w:cs="Times New Roman"/>
          <w:iCs/>
          <w:sz w:val="24"/>
          <w:szCs w:val="24"/>
          <w:lang w:val="uk-UA"/>
        </w:rPr>
        <w:t>податковий борг</w:t>
      </w:r>
      <w:r w:rsidR="00555736" w:rsidRPr="00DA374C">
        <w:rPr>
          <w:rFonts w:ascii="Times New Roman" w:hAnsi="Times New Roman" w:cs="Times New Roman"/>
          <w:iCs/>
          <w:sz w:val="24"/>
          <w:szCs w:val="24"/>
          <w:lang w:val="uk-UA"/>
        </w:rPr>
        <w:t xml:space="preserve"> </w:t>
      </w:r>
      <w:r w:rsidR="001845C9" w:rsidRPr="00DA374C">
        <w:rPr>
          <w:rFonts w:ascii="Times New Roman" w:hAnsi="Times New Roman" w:cs="Times New Roman"/>
          <w:iCs/>
          <w:sz w:val="24"/>
          <w:szCs w:val="24"/>
          <w:lang w:val="uk-UA"/>
        </w:rPr>
        <w:t xml:space="preserve"> по податку на нерухоме майно, в</w:t>
      </w:r>
      <w:r w:rsidR="00552E8F">
        <w:rPr>
          <w:rFonts w:ascii="Times New Roman" w:hAnsi="Times New Roman" w:cs="Times New Roman"/>
          <w:iCs/>
          <w:sz w:val="24"/>
          <w:szCs w:val="24"/>
          <w:lang w:val="uk-UA"/>
        </w:rPr>
        <w:t>і</w:t>
      </w:r>
      <w:r w:rsidR="001845C9" w:rsidRPr="00DA374C">
        <w:rPr>
          <w:rFonts w:ascii="Times New Roman" w:hAnsi="Times New Roman" w:cs="Times New Roman"/>
          <w:iCs/>
          <w:sz w:val="24"/>
          <w:szCs w:val="24"/>
          <w:lang w:val="uk-UA"/>
        </w:rPr>
        <w:t xml:space="preserve">дмінне від земельної ділянки </w:t>
      </w:r>
      <w:r w:rsidRPr="00DA374C">
        <w:rPr>
          <w:rFonts w:ascii="Times New Roman" w:hAnsi="Times New Roman" w:cs="Times New Roman"/>
          <w:iCs/>
          <w:sz w:val="24"/>
          <w:szCs w:val="24"/>
          <w:lang w:val="uk-UA"/>
        </w:rPr>
        <w:t xml:space="preserve"> </w:t>
      </w:r>
      <w:r w:rsidR="00DB650B" w:rsidRPr="00DA374C">
        <w:rPr>
          <w:rFonts w:ascii="Times New Roman" w:hAnsi="Times New Roman" w:cs="Times New Roman"/>
          <w:iCs/>
          <w:sz w:val="24"/>
          <w:szCs w:val="24"/>
          <w:lang w:val="uk-UA"/>
        </w:rPr>
        <w:t>у сумі</w:t>
      </w:r>
      <w:r w:rsidR="008D5B7C" w:rsidRPr="00DA374C">
        <w:rPr>
          <w:rFonts w:ascii="Times New Roman" w:hAnsi="Times New Roman" w:cs="Times New Roman"/>
          <w:iCs/>
          <w:sz w:val="24"/>
          <w:szCs w:val="24"/>
          <w:lang w:val="uk-UA"/>
        </w:rPr>
        <w:t xml:space="preserve"> 7 740,0 тис.</w:t>
      </w:r>
      <w:r w:rsidR="006C467C" w:rsidRPr="00DA374C">
        <w:rPr>
          <w:rFonts w:ascii="Times New Roman" w:hAnsi="Times New Roman" w:cs="Times New Roman"/>
          <w:iCs/>
          <w:sz w:val="24"/>
          <w:szCs w:val="24"/>
          <w:lang w:val="uk-UA"/>
        </w:rPr>
        <w:t xml:space="preserve"> </w:t>
      </w:r>
      <w:r w:rsidR="008D5B7C" w:rsidRPr="00DA374C">
        <w:rPr>
          <w:rFonts w:ascii="Times New Roman" w:hAnsi="Times New Roman" w:cs="Times New Roman"/>
          <w:iCs/>
          <w:sz w:val="24"/>
          <w:szCs w:val="24"/>
          <w:lang w:val="uk-UA"/>
        </w:rPr>
        <w:t>грн</w:t>
      </w:r>
      <w:r w:rsidR="00DB650B" w:rsidRPr="00DA374C">
        <w:rPr>
          <w:rFonts w:ascii="Times New Roman" w:hAnsi="Times New Roman" w:cs="Times New Roman"/>
          <w:iCs/>
          <w:sz w:val="24"/>
          <w:szCs w:val="24"/>
          <w:lang w:val="uk-UA"/>
        </w:rPr>
        <w:t>, а саме:</w:t>
      </w:r>
    </w:p>
    <w:p w:rsidR="006E4318" w:rsidRPr="00DA374C" w:rsidRDefault="006E4318" w:rsidP="000E2C33">
      <w:pPr>
        <w:spacing w:after="0" w:line="240" w:lineRule="auto"/>
        <w:ind w:firstLine="567"/>
        <w:jc w:val="both"/>
        <w:rPr>
          <w:rFonts w:ascii="Times New Roman" w:hAnsi="Times New Roman" w:cs="Times New Roman"/>
          <w:sz w:val="24"/>
          <w:szCs w:val="24"/>
          <w:lang w:val="uk-UA"/>
        </w:rPr>
      </w:pPr>
      <w:r w:rsidRPr="00DA374C">
        <w:rPr>
          <w:rFonts w:ascii="Times New Roman" w:hAnsi="Times New Roman" w:cs="Times New Roman"/>
          <w:b/>
          <w:sz w:val="24"/>
          <w:szCs w:val="24"/>
          <w:lang w:val="uk-UA"/>
        </w:rPr>
        <w:t>18010200</w:t>
      </w:r>
      <w:r w:rsidRPr="00DA374C">
        <w:rPr>
          <w:rFonts w:ascii="Times New Roman" w:hAnsi="Times New Roman" w:cs="Times New Roman"/>
          <w:sz w:val="24"/>
          <w:szCs w:val="24"/>
          <w:lang w:val="uk-UA"/>
        </w:rPr>
        <w:t xml:space="preserve"> «Податок на нерухоме майно, відмінне від земельної ділянки, сплачений фізичними особами, які є власниками об'єктів житлової нерухомості» у сумі – 294,2 тис.</w:t>
      </w:r>
      <w:r w:rsidR="00552E8F">
        <w:rPr>
          <w:rFonts w:ascii="Times New Roman" w:hAnsi="Times New Roman" w:cs="Times New Roman"/>
          <w:sz w:val="24"/>
          <w:szCs w:val="24"/>
          <w:lang w:val="uk-UA"/>
        </w:rPr>
        <w:t xml:space="preserve"> грн;</w:t>
      </w:r>
    </w:p>
    <w:p w:rsidR="006E4318" w:rsidRPr="00DA374C" w:rsidRDefault="006E4318" w:rsidP="000E2C33">
      <w:pPr>
        <w:spacing w:after="0" w:line="240" w:lineRule="auto"/>
        <w:ind w:firstLine="567"/>
        <w:jc w:val="both"/>
        <w:rPr>
          <w:rFonts w:ascii="Times New Roman" w:hAnsi="Times New Roman" w:cs="Times New Roman"/>
          <w:sz w:val="24"/>
          <w:szCs w:val="24"/>
          <w:lang w:val="uk-UA"/>
        </w:rPr>
      </w:pPr>
      <w:r w:rsidRPr="00DA374C">
        <w:rPr>
          <w:rFonts w:ascii="Times New Roman" w:hAnsi="Times New Roman" w:cs="Times New Roman"/>
          <w:b/>
          <w:sz w:val="24"/>
          <w:szCs w:val="24"/>
          <w:lang w:val="uk-UA"/>
        </w:rPr>
        <w:t>18010300</w:t>
      </w:r>
      <w:r w:rsidRPr="00DA374C">
        <w:rPr>
          <w:rFonts w:ascii="Times New Roman" w:hAnsi="Times New Roman" w:cs="Times New Roman"/>
          <w:sz w:val="24"/>
          <w:szCs w:val="24"/>
          <w:lang w:val="uk-UA"/>
        </w:rPr>
        <w:t xml:space="preserve"> «Податок на нерухоме майно, відмінне від земельної ділянки, сплачений фізичними особами, які є власниками об'єктів нежитлової нерухомості» у сумі </w:t>
      </w:r>
      <w:r w:rsidR="00552E8F" w:rsidRPr="00DA374C">
        <w:rPr>
          <w:rFonts w:ascii="Times New Roman" w:hAnsi="Times New Roman" w:cs="Times New Roman"/>
          <w:sz w:val="24"/>
          <w:szCs w:val="24"/>
          <w:lang w:val="uk-UA"/>
        </w:rPr>
        <w:t>–</w:t>
      </w:r>
      <w:r w:rsidR="00552E8F">
        <w:rPr>
          <w:rFonts w:ascii="Times New Roman" w:hAnsi="Times New Roman" w:cs="Times New Roman"/>
          <w:sz w:val="24"/>
          <w:szCs w:val="24"/>
          <w:lang w:val="uk-UA"/>
        </w:rPr>
        <w:t xml:space="preserve">                               </w:t>
      </w:r>
      <w:r w:rsidRPr="00DA374C">
        <w:rPr>
          <w:rFonts w:ascii="Times New Roman" w:hAnsi="Times New Roman" w:cs="Times New Roman"/>
          <w:sz w:val="24"/>
          <w:szCs w:val="24"/>
          <w:lang w:val="uk-UA"/>
        </w:rPr>
        <w:t>3 023,1 тис.</w:t>
      </w:r>
      <w:r w:rsidR="00552E8F">
        <w:rPr>
          <w:rFonts w:ascii="Times New Roman" w:hAnsi="Times New Roman" w:cs="Times New Roman"/>
          <w:sz w:val="24"/>
          <w:szCs w:val="24"/>
          <w:lang w:val="uk-UA"/>
        </w:rPr>
        <w:t xml:space="preserve"> </w:t>
      </w:r>
      <w:r w:rsidRPr="00DA374C">
        <w:rPr>
          <w:rFonts w:ascii="Times New Roman" w:hAnsi="Times New Roman" w:cs="Times New Roman"/>
          <w:sz w:val="24"/>
          <w:szCs w:val="24"/>
          <w:lang w:val="uk-UA"/>
        </w:rPr>
        <w:t>грн</w:t>
      </w:r>
      <w:r w:rsidR="00552E8F">
        <w:rPr>
          <w:rFonts w:ascii="Times New Roman" w:hAnsi="Times New Roman" w:cs="Times New Roman"/>
          <w:sz w:val="24"/>
          <w:szCs w:val="24"/>
          <w:lang w:val="uk-UA"/>
        </w:rPr>
        <w:t>;</w:t>
      </w:r>
    </w:p>
    <w:p w:rsidR="006E4318" w:rsidRPr="00DA374C" w:rsidRDefault="006E4318" w:rsidP="000E2C33">
      <w:pPr>
        <w:spacing w:after="0" w:line="240" w:lineRule="auto"/>
        <w:ind w:firstLine="567"/>
        <w:jc w:val="both"/>
        <w:rPr>
          <w:rFonts w:ascii="Times New Roman" w:hAnsi="Times New Roman" w:cs="Times New Roman"/>
          <w:sz w:val="24"/>
          <w:szCs w:val="24"/>
          <w:lang w:val="uk-UA"/>
        </w:rPr>
      </w:pPr>
      <w:r w:rsidRPr="00DA374C">
        <w:rPr>
          <w:rFonts w:ascii="Times New Roman" w:hAnsi="Times New Roman" w:cs="Times New Roman"/>
          <w:b/>
          <w:sz w:val="24"/>
          <w:szCs w:val="24"/>
          <w:lang w:val="uk-UA"/>
        </w:rPr>
        <w:t>18010400</w:t>
      </w:r>
      <w:r w:rsidRPr="00DA374C">
        <w:rPr>
          <w:rFonts w:ascii="Times New Roman" w:hAnsi="Times New Roman" w:cs="Times New Roman"/>
          <w:sz w:val="24"/>
          <w:szCs w:val="24"/>
          <w:lang w:val="uk-UA"/>
        </w:rPr>
        <w:t xml:space="preserve"> «Податок на нерухоме майно, відмінне від земельної ділянки, сплачений юридичними особами, які є власниками об'єктів нежитлової нерухомості» у сумі </w:t>
      </w:r>
      <w:r w:rsidR="00552E8F" w:rsidRPr="00DA374C">
        <w:rPr>
          <w:rFonts w:ascii="Times New Roman" w:hAnsi="Times New Roman" w:cs="Times New Roman"/>
          <w:sz w:val="24"/>
          <w:szCs w:val="24"/>
          <w:lang w:val="uk-UA"/>
        </w:rPr>
        <w:t>–</w:t>
      </w:r>
      <w:r w:rsidR="00552E8F">
        <w:rPr>
          <w:rFonts w:ascii="Times New Roman" w:hAnsi="Times New Roman" w:cs="Times New Roman"/>
          <w:sz w:val="24"/>
          <w:szCs w:val="24"/>
          <w:lang w:val="uk-UA"/>
        </w:rPr>
        <w:t xml:space="preserve">                           </w:t>
      </w:r>
      <w:r w:rsidRPr="00DA374C">
        <w:rPr>
          <w:rFonts w:ascii="Times New Roman" w:hAnsi="Times New Roman" w:cs="Times New Roman"/>
          <w:sz w:val="24"/>
          <w:szCs w:val="24"/>
          <w:lang w:val="uk-UA"/>
        </w:rPr>
        <w:t>4 417,6 тис.</w:t>
      </w:r>
      <w:r w:rsidR="00552E8F">
        <w:rPr>
          <w:rFonts w:ascii="Times New Roman" w:hAnsi="Times New Roman" w:cs="Times New Roman"/>
          <w:sz w:val="24"/>
          <w:szCs w:val="24"/>
          <w:lang w:val="uk-UA"/>
        </w:rPr>
        <w:t xml:space="preserve"> </w:t>
      </w:r>
      <w:r w:rsidRPr="00DA374C">
        <w:rPr>
          <w:rFonts w:ascii="Times New Roman" w:hAnsi="Times New Roman" w:cs="Times New Roman"/>
          <w:sz w:val="24"/>
          <w:szCs w:val="24"/>
          <w:lang w:val="uk-UA"/>
        </w:rPr>
        <w:t>грн</w:t>
      </w:r>
      <w:r w:rsidR="00552E8F">
        <w:rPr>
          <w:rFonts w:ascii="Times New Roman" w:hAnsi="Times New Roman" w:cs="Times New Roman"/>
          <w:sz w:val="24"/>
          <w:szCs w:val="24"/>
          <w:lang w:val="uk-UA"/>
        </w:rPr>
        <w:t>.</w:t>
      </w:r>
    </w:p>
    <w:p w:rsidR="006E4318" w:rsidRPr="00DA374C" w:rsidRDefault="006E4318" w:rsidP="000E2C33">
      <w:pPr>
        <w:spacing w:after="0" w:line="240" w:lineRule="auto"/>
        <w:ind w:firstLine="567"/>
        <w:jc w:val="both"/>
        <w:rPr>
          <w:rFonts w:ascii="Times New Roman" w:hAnsi="Times New Roman" w:cs="Times New Roman"/>
          <w:i/>
          <w:sz w:val="24"/>
          <w:szCs w:val="24"/>
          <w:lang w:val="uk-UA"/>
        </w:rPr>
      </w:pPr>
    </w:p>
    <w:p w:rsidR="000E2C33" w:rsidRPr="00AC45C5" w:rsidRDefault="00BC3A87" w:rsidP="000E2C33">
      <w:pPr>
        <w:spacing w:after="0" w:line="240" w:lineRule="auto"/>
        <w:ind w:firstLine="567"/>
        <w:jc w:val="both"/>
        <w:rPr>
          <w:rFonts w:ascii="Times New Roman" w:hAnsi="Times New Roman" w:cs="Times New Roman"/>
          <w:b/>
          <w:sz w:val="24"/>
          <w:szCs w:val="24"/>
          <w:lang w:val="uk-UA"/>
        </w:rPr>
      </w:pPr>
      <w:r w:rsidRPr="00BC3A87">
        <w:rPr>
          <w:rFonts w:ascii="Times New Roman" w:hAnsi="Times New Roman" w:cs="Times New Roman"/>
          <w:b/>
          <w:sz w:val="24"/>
          <w:szCs w:val="24"/>
          <w:lang w:val="uk-UA"/>
        </w:rPr>
        <w:t>Податок на майно в частині плати за землю</w:t>
      </w:r>
      <w:r w:rsidR="004F19A9">
        <w:rPr>
          <w:rFonts w:ascii="Times New Roman" w:hAnsi="Times New Roman" w:cs="Times New Roman"/>
          <w:b/>
          <w:sz w:val="24"/>
          <w:szCs w:val="24"/>
          <w:lang w:val="uk-UA"/>
        </w:rPr>
        <w:t xml:space="preserve"> </w:t>
      </w:r>
      <w:r w:rsidR="00483137" w:rsidRPr="00483137">
        <w:rPr>
          <w:rFonts w:ascii="Times New Roman" w:hAnsi="Times New Roman" w:cs="Times New Roman"/>
          <w:sz w:val="24"/>
          <w:szCs w:val="24"/>
          <w:lang w:val="uk-UA"/>
        </w:rPr>
        <w:t>складає</w:t>
      </w:r>
      <w:r w:rsidR="004F19A9" w:rsidRPr="00483137">
        <w:rPr>
          <w:rFonts w:ascii="Times New Roman" w:hAnsi="Times New Roman" w:cs="Times New Roman"/>
          <w:sz w:val="24"/>
          <w:szCs w:val="24"/>
          <w:lang w:val="uk-UA"/>
        </w:rPr>
        <w:t xml:space="preserve"> н</w:t>
      </w:r>
      <w:r w:rsidR="00674E84" w:rsidRPr="00483137">
        <w:rPr>
          <w:rFonts w:ascii="Times New Roman" w:hAnsi="Times New Roman" w:cs="Times New Roman"/>
          <w:sz w:val="24"/>
          <w:szCs w:val="24"/>
          <w:lang w:val="uk-UA"/>
        </w:rPr>
        <w:t>ай</w:t>
      </w:r>
      <w:r w:rsidR="00674E84">
        <w:rPr>
          <w:rFonts w:ascii="Times New Roman" w:hAnsi="Times New Roman" w:cs="Times New Roman"/>
          <w:sz w:val="24"/>
          <w:szCs w:val="24"/>
          <w:lang w:val="uk-UA"/>
        </w:rPr>
        <w:t>більшу</w:t>
      </w:r>
      <w:r w:rsidR="000E2C33" w:rsidRPr="00AC45C5">
        <w:rPr>
          <w:rFonts w:ascii="Times New Roman" w:hAnsi="Times New Roman" w:cs="Times New Roman"/>
          <w:sz w:val="24"/>
          <w:szCs w:val="24"/>
          <w:lang w:val="uk-UA"/>
        </w:rPr>
        <w:t xml:space="preserve"> питому вагу </w:t>
      </w:r>
      <w:r w:rsidR="00674E84">
        <w:rPr>
          <w:rFonts w:ascii="Times New Roman" w:hAnsi="Times New Roman" w:cs="Times New Roman"/>
          <w:sz w:val="24"/>
          <w:szCs w:val="24"/>
          <w:lang w:val="uk-UA"/>
        </w:rPr>
        <w:t>в</w:t>
      </w:r>
      <w:r w:rsidR="00674E84" w:rsidRPr="00AC45C5">
        <w:rPr>
          <w:rFonts w:ascii="Times New Roman" w:hAnsi="Times New Roman" w:cs="Times New Roman"/>
          <w:sz w:val="24"/>
          <w:szCs w:val="24"/>
          <w:lang w:val="uk-UA"/>
        </w:rPr>
        <w:t xml:space="preserve"> структурі податку на майно</w:t>
      </w:r>
      <w:r w:rsidR="000E2C33" w:rsidRPr="00AC45C5">
        <w:rPr>
          <w:rFonts w:ascii="Times New Roman" w:hAnsi="Times New Roman" w:cs="Times New Roman"/>
          <w:sz w:val="24"/>
          <w:szCs w:val="24"/>
          <w:lang w:val="uk-UA"/>
        </w:rPr>
        <w:t xml:space="preserve">, а саме </w:t>
      </w:r>
      <w:r w:rsidR="00FC19BB">
        <w:rPr>
          <w:rFonts w:ascii="Times New Roman" w:hAnsi="Times New Roman" w:cs="Times New Roman"/>
          <w:sz w:val="24"/>
          <w:szCs w:val="24"/>
          <w:lang w:val="uk-UA"/>
        </w:rPr>
        <w:t>87,</w:t>
      </w:r>
      <w:r w:rsidR="00882E02">
        <w:rPr>
          <w:rFonts w:ascii="Times New Roman" w:hAnsi="Times New Roman" w:cs="Times New Roman"/>
          <w:sz w:val="24"/>
          <w:szCs w:val="24"/>
          <w:lang w:val="uk-UA"/>
        </w:rPr>
        <w:t>5</w:t>
      </w:r>
      <w:r w:rsidR="000E2C33" w:rsidRPr="00AC45C5">
        <w:rPr>
          <w:rFonts w:ascii="Times New Roman" w:hAnsi="Times New Roman" w:cs="Times New Roman"/>
          <w:sz w:val="24"/>
          <w:szCs w:val="24"/>
          <w:lang w:val="uk-UA"/>
        </w:rPr>
        <w:t xml:space="preserve"> %.</w:t>
      </w:r>
    </w:p>
    <w:p w:rsidR="00B348B1" w:rsidRPr="00AC45C5" w:rsidRDefault="000E2C33" w:rsidP="000E2C33">
      <w:pPr>
        <w:spacing w:after="0" w:line="240" w:lineRule="auto"/>
        <w:ind w:firstLine="567"/>
        <w:jc w:val="both"/>
        <w:rPr>
          <w:rFonts w:ascii="Times New Roman" w:hAnsi="Times New Roman" w:cs="Times New Roman"/>
          <w:sz w:val="24"/>
          <w:szCs w:val="24"/>
          <w:lang w:val="uk-UA"/>
        </w:rPr>
      </w:pPr>
      <w:r w:rsidRPr="00AC45C5">
        <w:rPr>
          <w:rFonts w:ascii="Times New Roman" w:hAnsi="Times New Roman" w:cs="Times New Roman"/>
          <w:b/>
          <w:sz w:val="24"/>
          <w:szCs w:val="24"/>
          <w:lang w:val="uk-UA"/>
        </w:rPr>
        <w:t>Прогнозний показник плати за землю (ККДБ 18010500, 18010600, 18010700, 18010900)</w:t>
      </w:r>
      <w:r w:rsidR="00674E84">
        <w:rPr>
          <w:rFonts w:ascii="Times New Roman" w:hAnsi="Times New Roman" w:cs="Times New Roman"/>
          <w:b/>
          <w:sz w:val="24"/>
          <w:szCs w:val="24"/>
          <w:lang w:val="uk-UA"/>
        </w:rPr>
        <w:t xml:space="preserve"> </w:t>
      </w:r>
      <w:r w:rsidR="00674E84" w:rsidRPr="0047141D">
        <w:rPr>
          <w:rFonts w:ascii="Times New Roman" w:hAnsi="Times New Roman" w:cs="Times New Roman"/>
          <w:sz w:val="24"/>
          <w:szCs w:val="24"/>
          <w:lang w:val="uk-UA"/>
        </w:rPr>
        <w:t>на 2024 рік</w:t>
      </w:r>
      <w:r w:rsidR="00674E84" w:rsidRPr="00674E84">
        <w:rPr>
          <w:rFonts w:ascii="Times New Roman" w:hAnsi="Times New Roman" w:cs="Times New Roman"/>
          <w:sz w:val="24"/>
          <w:szCs w:val="24"/>
          <w:lang w:val="uk-UA"/>
        </w:rPr>
        <w:t xml:space="preserve"> </w:t>
      </w:r>
      <w:r w:rsidRPr="00674E84">
        <w:rPr>
          <w:rFonts w:ascii="Times New Roman" w:hAnsi="Times New Roman" w:cs="Times New Roman"/>
          <w:sz w:val="24"/>
          <w:szCs w:val="24"/>
          <w:lang w:val="uk-UA"/>
        </w:rPr>
        <w:t xml:space="preserve"> </w:t>
      </w:r>
      <w:r w:rsidR="00B348B1" w:rsidRPr="00674E84">
        <w:rPr>
          <w:rFonts w:ascii="Times New Roman" w:hAnsi="Times New Roman" w:cs="Times New Roman"/>
          <w:sz w:val="24"/>
          <w:szCs w:val="24"/>
          <w:lang w:val="uk-UA"/>
        </w:rPr>
        <w:t>розраховано</w:t>
      </w:r>
      <w:r w:rsidR="00B348B1" w:rsidRPr="00AC45C5">
        <w:rPr>
          <w:rFonts w:ascii="Times New Roman" w:hAnsi="Times New Roman" w:cs="Times New Roman"/>
          <w:sz w:val="24"/>
          <w:szCs w:val="24"/>
          <w:lang w:val="uk-UA"/>
        </w:rPr>
        <w:t xml:space="preserve"> у сумі </w:t>
      </w:r>
      <w:r w:rsidRPr="00AC45C5">
        <w:rPr>
          <w:rFonts w:ascii="Times New Roman" w:hAnsi="Times New Roman" w:cs="Times New Roman"/>
          <w:b/>
          <w:sz w:val="24"/>
          <w:szCs w:val="24"/>
          <w:lang w:val="uk-UA"/>
        </w:rPr>
        <w:t xml:space="preserve"> </w:t>
      </w:r>
      <w:r w:rsidR="00291CB2" w:rsidRPr="00AC45C5">
        <w:rPr>
          <w:rFonts w:ascii="Times New Roman" w:hAnsi="Times New Roman" w:cs="Times New Roman"/>
          <w:sz w:val="24"/>
          <w:szCs w:val="24"/>
          <w:lang w:val="uk-UA"/>
        </w:rPr>
        <w:t>202 000,0 тис.</w:t>
      </w:r>
      <w:r w:rsidRPr="00AC45C5">
        <w:rPr>
          <w:rFonts w:ascii="Times New Roman" w:hAnsi="Times New Roman" w:cs="Times New Roman"/>
          <w:sz w:val="24"/>
          <w:szCs w:val="24"/>
          <w:lang w:val="uk-UA"/>
        </w:rPr>
        <w:t xml:space="preserve"> грн,</w:t>
      </w:r>
      <w:r w:rsidRPr="00AC45C5">
        <w:rPr>
          <w:rFonts w:ascii="Times New Roman" w:hAnsi="Times New Roman" w:cs="Times New Roman"/>
          <w:b/>
          <w:sz w:val="24"/>
          <w:szCs w:val="24"/>
          <w:lang w:val="uk-UA"/>
        </w:rPr>
        <w:t xml:space="preserve"> </w:t>
      </w:r>
      <w:r w:rsidR="00B348B1" w:rsidRPr="00AC45C5">
        <w:rPr>
          <w:rFonts w:ascii="Times New Roman" w:hAnsi="Times New Roman" w:cs="Times New Roman"/>
          <w:sz w:val="24"/>
          <w:szCs w:val="24"/>
          <w:lang w:val="uk-UA"/>
        </w:rPr>
        <w:t>що складає 2</w:t>
      </w:r>
      <w:r w:rsidR="00AC45C5" w:rsidRPr="00AC45C5">
        <w:rPr>
          <w:rFonts w:ascii="Times New Roman" w:hAnsi="Times New Roman" w:cs="Times New Roman"/>
          <w:sz w:val="24"/>
          <w:szCs w:val="24"/>
          <w:lang w:val="uk-UA"/>
        </w:rPr>
        <w:t>4</w:t>
      </w:r>
      <w:r w:rsidR="00B348B1" w:rsidRPr="00AC45C5">
        <w:rPr>
          <w:rFonts w:ascii="Times New Roman" w:hAnsi="Times New Roman" w:cs="Times New Roman"/>
          <w:sz w:val="24"/>
          <w:szCs w:val="24"/>
          <w:lang w:val="uk-UA"/>
        </w:rPr>
        <w:t>,</w:t>
      </w:r>
      <w:r w:rsidR="00746E1E">
        <w:rPr>
          <w:rFonts w:ascii="Times New Roman" w:hAnsi="Times New Roman" w:cs="Times New Roman"/>
          <w:sz w:val="24"/>
          <w:szCs w:val="24"/>
          <w:lang w:val="uk-UA"/>
        </w:rPr>
        <w:t>6</w:t>
      </w:r>
      <w:r w:rsidR="00B348B1" w:rsidRPr="00AC45C5">
        <w:rPr>
          <w:rFonts w:ascii="Times New Roman" w:hAnsi="Times New Roman" w:cs="Times New Roman"/>
          <w:sz w:val="24"/>
          <w:szCs w:val="24"/>
          <w:lang w:val="uk-UA"/>
        </w:rPr>
        <w:t xml:space="preserve"> % у структурі  доходів загального фонду бюджету </w:t>
      </w:r>
      <w:r w:rsidR="00C85EA1" w:rsidRPr="00AC45C5">
        <w:rPr>
          <w:rFonts w:ascii="Times New Roman" w:hAnsi="Times New Roman" w:cs="Times New Roman"/>
          <w:sz w:val="24"/>
          <w:szCs w:val="24"/>
          <w:lang w:val="uk-UA"/>
        </w:rPr>
        <w:t>(</w:t>
      </w:r>
      <w:r w:rsidR="00B348B1" w:rsidRPr="00AC45C5">
        <w:rPr>
          <w:rFonts w:ascii="Times New Roman" w:hAnsi="Times New Roman" w:cs="Times New Roman"/>
          <w:sz w:val="24"/>
          <w:szCs w:val="24"/>
          <w:lang w:val="uk-UA"/>
        </w:rPr>
        <w:t>без урахування субвенцій).</w:t>
      </w:r>
    </w:p>
    <w:p w:rsidR="000E2C33" w:rsidRPr="0093218C" w:rsidRDefault="00F36ECD" w:rsidP="000E2C33">
      <w:pPr>
        <w:spacing w:after="0" w:line="240" w:lineRule="auto"/>
        <w:ind w:firstLine="567"/>
        <w:jc w:val="both"/>
        <w:rPr>
          <w:rFonts w:ascii="Times New Roman" w:hAnsi="Times New Roman" w:cs="Times New Roman"/>
          <w:sz w:val="24"/>
          <w:szCs w:val="24"/>
          <w:lang w:val="uk-UA"/>
        </w:rPr>
      </w:pPr>
      <w:r w:rsidRPr="0093218C">
        <w:rPr>
          <w:rFonts w:ascii="Times New Roman" w:hAnsi="Times New Roman" w:cs="Times New Roman"/>
          <w:sz w:val="24"/>
          <w:szCs w:val="24"/>
          <w:lang w:val="uk-UA"/>
        </w:rPr>
        <w:t>З урахуванням динаміки надходжень попередніх років та очікуваних надходжень 202</w:t>
      </w:r>
      <w:r w:rsidR="00AC45C5" w:rsidRPr="0093218C">
        <w:rPr>
          <w:rFonts w:ascii="Times New Roman" w:hAnsi="Times New Roman" w:cs="Times New Roman"/>
          <w:sz w:val="24"/>
          <w:szCs w:val="24"/>
          <w:lang w:val="uk-UA"/>
        </w:rPr>
        <w:t>3</w:t>
      </w:r>
      <w:r w:rsidRPr="0093218C">
        <w:rPr>
          <w:rFonts w:ascii="Times New Roman" w:hAnsi="Times New Roman" w:cs="Times New Roman"/>
          <w:sz w:val="24"/>
          <w:szCs w:val="24"/>
          <w:lang w:val="uk-UA"/>
        </w:rPr>
        <w:t xml:space="preserve"> року, коефіцієнту індексації нормативної грошової оцінки землі, у 202</w:t>
      </w:r>
      <w:r w:rsidR="00AC45C5" w:rsidRPr="0093218C">
        <w:rPr>
          <w:rFonts w:ascii="Times New Roman" w:hAnsi="Times New Roman" w:cs="Times New Roman"/>
          <w:sz w:val="24"/>
          <w:szCs w:val="24"/>
          <w:lang w:val="uk-UA"/>
        </w:rPr>
        <w:t>4</w:t>
      </w:r>
      <w:r w:rsidRPr="0093218C">
        <w:rPr>
          <w:rFonts w:ascii="Times New Roman" w:hAnsi="Times New Roman" w:cs="Times New Roman"/>
          <w:sz w:val="24"/>
          <w:szCs w:val="24"/>
          <w:lang w:val="uk-UA"/>
        </w:rPr>
        <w:t xml:space="preserve"> році планується отримати податок на майно в частині плати за землю, </w:t>
      </w:r>
      <w:r w:rsidR="000E2C33" w:rsidRPr="0093218C">
        <w:rPr>
          <w:rFonts w:ascii="Times New Roman" w:hAnsi="Times New Roman" w:cs="Times New Roman"/>
          <w:sz w:val="24"/>
          <w:szCs w:val="24"/>
          <w:lang w:val="uk-UA"/>
        </w:rPr>
        <w:t>зокрема:</w:t>
      </w:r>
    </w:p>
    <w:p w:rsidR="000E2C33" w:rsidRPr="0093218C" w:rsidRDefault="00CA7B67" w:rsidP="00141DB6">
      <w:pPr>
        <w:pStyle w:val="a4"/>
        <w:numPr>
          <w:ilvl w:val="0"/>
          <w:numId w:val="1"/>
        </w:numPr>
        <w:tabs>
          <w:tab w:val="left" w:pos="709"/>
          <w:tab w:val="left" w:pos="851"/>
        </w:tabs>
        <w:spacing w:after="0" w:line="240" w:lineRule="auto"/>
        <w:ind w:left="0" w:firstLine="567"/>
        <w:jc w:val="both"/>
        <w:rPr>
          <w:rFonts w:ascii="Times New Roman" w:hAnsi="Times New Roman" w:cs="Times New Roman"/>
          <w:b/>
          <w:i/>
          <w:sz w:val="24"/>
          <w:szCs w:val="24"/>
          <w:lang w:val="uk-UA"/>
        </w:rPr>
      </w:pPr>
      <w:r w:rsidRPr="0093218C">
        <w:rPr>
          <w:rFonts w:ascii="Times New Roman" w:hAnsi="Times New Roman" w:cs="Times New Roman"/>
          <w:b/>
          <w:i/>
          <w:sz w:val="24"/>
          <w:szCs w:val="24"/>
          <w:lang w:val="uk-UA"/>
        </w:rPr>
        <w:t>з</w:t>
      </w:r>
      <w:r w:rsidR="000E2C33" w:rsidRPr="0093218C">
        <w:rPr>
          <w:rFonts w:ascii="Times New Roman" w:hAnsi="Times New Roman" w:cs="Times New Roman"/>
          <w:b/>
          <w:i/>
          <w:sz w:val="24"/>
          <w:szCs w:val="24"/>
          <w:lang w:val="uk-UA"/>
        </w:rPr>
        <w:t>емельн</w:t>
      </w:r>
      <w:r w:rsidRPr="0093218C">
        <w:rPr>
          <w:rFonts w:ascii="Times New Roman" w:hAnsi="Times New Roman" w:cs="Times New Roman"/>
          <w:b/>
          <w:i/>
          <w:sz w:val="24"/>
          <w:szCs w:val="24"/>
          <w:lang w:val="uk-UA"/>
        </w:rPr>
        <w:t xml:space="preserve">ого </w:t>
      </w:r>
      <w:r w:rsidR="000E2C33" w:rsidRPr="0093218C">
        <w:rPr>
          <w:rFonts w:ascii="Times New Roman" w:hAnsi="Times New Roman" w:cs="Times New Roman"/>
          <w:b/>
          <w:i/>
          <w:sz w:val="24"/>
          <w:szCs w:val="24"/>
          <w:lang w:val="uk-UA"/>
        </w:rPr>
        <w:t>подат</w:t>
      </w:r>
      <w:r w:rsidRPr="0093218C">
        <w:rPr>
          <w:rFonts w:ascii="Times New Roman" w:hAnsi="Times New Roman" w:cs="Times New Roman"/>
          <w:b/>
          <w:i/>
          <w:sz w:val="24"/>
          <w:szCs w:val="24"/>
          <w:lang w:val="uk-UA"/>
        </w:rPr>
        <w:t>ку</w:t>
      </w:r>
      <w:r w:rsidR="000E2C33" w:rsidRPr="0093218C">
        <w:rPr>
          <w:rFonts w:ascii="Times New Roman" w:hAnsi="Times New Roman" w:cs="Times New Roman"/>
          <w:b/>
          <w:i/>
          <w:sz w:val="24"/>
          <w:szCs w:val="24"/>
          <w:lang w:val="uk-UA"/>
        </w:rPr>
        <w:t xml:space="preserve"> – </w:t>
      </w:r>
      <w:r w:rsidR="00A05167" w:rsidRPr="0093218C">
        <w:rPr>
          <w:rFonts w:ascii="Times New Roman" w:hAnsi="Times New Roman" w:cs="Times New Roman"/>
          <w:b/>
          <w:i/>
          <w:sz w:val="24"/>
          <w:szCs w:val="24"/>
          <w:lang w:val="uk-UA"/>
        </w:rPr>
        <w:t>60 000,0 тис.</w:t>
      </w:r>
      <w:r w:rsidR="00713EE0" w:rsidRPr="0093218C">
        <w:rPr>
          <w:rFonts w:ascii="Times New Roman" w:hAnsi="Times New Roman" w:cs="Times New Roman"/>
          <w:b/>
          <w:i/>
          <w:sz w:val="24"/>
          <w:szCs w:val="24"/>
          <w:lang w:val="uk-UA"/>
        </w:rPr>
        <w:t xml:space="preserve"> грн (або </w:t>
      </w:r>
      <w:r w:rsidR="000E2C33" w:rsidRPr="0093218C">
        <w:rPr>
          <w:rFonts w:ascii="Times New Roman" w:hAnsi="Times New Roman" w:cs="Times New Roman"/>
          <w:b/>
          <w:i/>
          <w:sz w:val="24"/>
          <w:szCs w:val="24"/>
          <w:lang w:val="uk-UA"/>
        </w:rPr>
        <w:t>2</w:t>
      </w:r>
      <w:r w:rsidR="00713EE0" w:rsidRPr="0093218C">
        <w:rPr>
          <w:rFonts w:ascii="Times New Roman" w:hAnsi="Times New Roman" w:cs="Times New Roman"/>
          <w:b/>
          <w:i/>
          <w:sz w:val="24"/>
          <w:szCs w:val="24"/>
          <w:lang w:val="uk-UA"/>
        </w:rPr>
        <w:t>9</w:t>
      </w:r>
      <w:r w:rsidR="000E2C33" w:rsidRPr="0093218C">
        <w:rPr>
          <w:rFonts w:ascii="Times New Roman" w:hAnsi="Times New Roman" w:cs="Times New Roman"/>
          <w:b/>
          <w:i/>
          <w:sz w:val="24"/>
          <w:szCs w:val="24"/>
          <w:lang w:val="uk-UA"/>
        </w:rPr>
        <w:t>,</w:t>
      </w:r>
      <w:r w:rsidR="00713EE0" w:rsidRPr="0093218C">
        <w:rPr>
          <w:rFonts w:ascii="Times New Roman" w:hAnsi="Times New Roman" w:cs="Times New Roman"/>
          <w:b/>
          <w:i/>
          <w:sz w:val="24"/>
          <w:szCs w:val="24"/>
          <w:lang w:val="uk-UA"/>
        </w:rPr>
        <w:t>7</w:t>
      </w:r>
      <w:r w:rsidR="000E2C33" w:rsidRPr="0093218C">
        <w:rPr>
          <w:rFonts w:ascii="Times New Roman" w:hAnsi="Times New Roman" w:cs="Times New Roman"/>
          <w:b/>
          <w:i/>
          <w:sz w:val="24"/>
          <w:szCs w:val="24"/>
          <w:lang w:val="uk-UA"/>
        </w:rPr>
        <w:t xml:space="preserve"> % від загальної суми плати за землю), що сплачується :</w:t>
      </w:r>
    </w:p>
    <w:p w:rsidR="000E2C33" w:rsidRPr="0093218C" w:rsidRDefault="00A05167" w:rsidP="000E2C33">
      <w:pPr>
        <w:spacing w:after="0" w:line="240" w:lineRule="auto"/>
        <w:ind w:firstLine="567"/>
        <w:jc w:val="both"/>
        <w:rPr>
          <w:rFonts w:ascii="Times New Roman" w:hAnsi="Times New Roman" w:cs="Times New Roman"/>
          <w:sz w:val="24"/>
          <w:szCs w:val="24"/>
          <w:lang w:val="uk-UA"/>
        </w:rPr>
      </w:pPr>
      <w:r w:rsidRPr="0093218C">
        <w:rPr>
          <w:rFonts w:ascii="Times New Roman" w:hAnsi="Times New Roman" w:cs="Times New Roman"/>
          <w:sz w:val="24"/>
          <w:szCs w:val="24"/>
          <w:lang w:val="uk-UA"/>
        </w:rPr>
        <w:t>- юридичними особами -  5</w:t>
      </w:r>
      <w:r w:rsidR="000E2C33" w:rsidRPr="0093218C">
        <w:rPr>
          <w:rFonts w:ascii="Times New Roman" w:hAnsi="Times New Roman" w:cs="Times New Roman"/>
          <w:sz w:val="24"/>
          <w:szCs w:val="24"/>
          <w:lang w:val="uk-UA"/>
        </w:rPr>
        <w:t>8</w:t>
      </w:r>
      <w:r w:rsidRPr="0093218C">
        <w:rPr>
          <w:rFonts w:ascii="Times New Roman" w:hAnsi="Times New Roman" w:cs="Times New Roman"/>
          <w:sz w:val="24"/>
          <w:szCs w:val="24"/>
          <w:lang w:val="uk-UA"/>
        </w:rPr>
        <w:t> </w:t>
      </w:r>
      <w:r w:rsidR="000E2C33" w:rsidRPr="0093218C">
        <w:rPr>
          <w:rFonts w:ascii="Times New Roman" w:hAnsi="Times New Roman" w:cs="Times New Roman"/>
          <w:sz w:val="24"/>
          <w:szCs w:val="24"/>
          <w:lang w:val="uk-UA"/>
        </w:rPr>
        <w:t>400</w:t>
      </w:r>
      <w:r w:rsidRPr="0093218C">
        <w:rPr>
          <w:rFonts w:ascii="Times New Roman" w:hAnsi="Times New Roman" w:cs="Times New Roman"/>
          <w:sz w:val="24"/>
          <w:szCs w:val="24"/>
          <w:lang w:val="uk-UA"/>
        </w:rPr>
        <w:t>,</w:t>
      </w:r>
      <w:r w:rsidR="000E2C33" w:rsidRPr="0093218C">
        <w:rPr>
          <w:rFonts w:ascii="Times New Roman" w:hAnsi="Times New Roman" w:cs="Times New Roman"/>
          <w:sz w:val="24"/>
          <w:szCs w:val="24"/>
          <w:lang w:val="uk-UA"/>
        </w:rPr>
        <w:t>0</w:t>
      </w:r>
      <w:r w:rsidRPr="0093218C">
        <w:rPr>
          <w:rFonts w:ascii="Times New Roman" w:hAnsi="Times New Roman" w:cs="Times New Roman"/>
          <w:sz w:val="24"/>
          <w:szCs w:val="24"/>
          <w:lang w:val="uk-UA"/>
        </w:rPr>
        <w:t xml:space="preserve"> тис.</w:t>
      </w:r>
      <w:r w:rsidR="000E2C33" w:rsidRPr="0093218C">
        <w:rPr>
          <w:rFonts w:ascii="Times New Roman" w:hAnsi="Times New Roman" w:cs="Times New Roman"/>
          <w:sz w:val="24"/>
          <w:szCs w:val="24"/>
          <w:lang w:val="uk-UA"/>
        </w:rPr>
        <w:t xml:space="preserve"> грн;</w:t>
      </w:r>
    </w:p>
    <w:p w:rsidR="000E2C33" w:rsidRPr="0093218C" w:rsidRDefault="000E2C33" w:rsidP="000E2C33">
      <w:pPr>
        <w:spacing w:after="0" w:line="240" w:lineRule="auto"/>
        <w:ind w:firstLine="567"/>
        <w:jc w:val="both"/>
        <w:rPr>
          <w:rFonts w:ascii="Times New Roman" w:hAnsi="Times New Roman" w:cs="Times New Roman"/>
          <w:sz w:val="24"/>
          <w:szCs w:val="24"/>
          <w:lang w:val="uk-UA"/>
        </w:rPr>
      </w:pPr>
      <w:r w:rsidRPr="0093218C">
        <w:rPr>
          <w:rFonts w:ascii="Times New Roman" w:hAnsi="Times New Roman" w:cs="Times New Roman"/>
          <w:sz w:val="24"/>
          <w:szCs w:val="24"/>
          <w:lang w:val="uk-UA"/>
        </w:rPr>
        <w:t>- фізичними особами - 1</w:t>
      </w:r>
      <w:r w:rsidR="00A05167" w:rsidRPr="0093218C">
        <w:rPr>
          <w:rFonts w:ascii="Times New Roman" w:hAnsi="Times New Roman" w:cs="Times New Roman"/>
          <w:sz w:val="24"/>
          <w:szCs w:val="24"/>
          <w:lang w:val="uk-UA"/>
        </w:rPr>
        <w:t> 600,</w:t>
      </w:r>
      <w:r w:rsidRPr="0093218C">
        <w:rPr>
          <w:rFonts w:ascii="Times New Roman" w:hAnsi="Times New Roman" w:cs="Times New Roman"/>
          <w:sz w:val="24"/>
          <w:szCs w:val="24"/>
          <w:lang w:val="uk-UA"/>
        </w:rPr>
        <w:t>0</w:t>
      </w:r>
      <w:r w:rsidR="00A05167" w:rsidRPr="0093218C">
        <w:rPr>
          <w:rFonts w:ascii="Times New Roman" w:hAnsi="Times New Roman" w:cs="Times New Roman"/>
          <w:sz w:val="24"/>
          <w:szCs w:val="24"/>
          <w:lang w:val="uk-UA"/>
        </w:rPr>
        <w:t xml:space="preserve"> тис. </w:t>
      </w:r>
      <w:r w:rsidRPr="0093218C">
        <w:rPr>
          <w:rFonts w:ascii="Times New Roman" w:hAnsi="Times New Roman" w:cs="Times New Roman"/>
          <w:sz w:val="24"/>
          <w:szCs w:val="24"/>
          <w:lang w:val="uk-UA"/>
        </w:rPr>
        <w:t>грн;</w:t>
      </w:r>
    </w:p>
    <w:p w:rsidR="000E2C33" w:rsidRPr="0093218C" w:rsidRDefault="000E2C33" w:rsidP="00141DB6">
      <w:pPr>
        <w:pStyle w:val="a4"/>
        <w:numPr>
          <w:ilvl w:val="0"/>
          <w:numId w:val="1"/>
        </w:numPr>
        <w:tabs>
          <w:tab w:val="left" w:pos="709"/>
          <w:tab w:val="left" w:pos="851"/>
        </w:tabs>
        <w:spacing w:after="0" w:line="240" w:lineRule="auto"/>
        <w:ind w:left="0" w:firstLine="567"/>
        <w:jc w:val="both"/>
        <w:rPr>
          <w:rFonts w:ascii="Times New Roman" w:hAnsi="Times New Roman" w:cs="Times New Roman"/>
          <w:b/>
          <w:i/>
          <w:sz w:val="24"/>
          <w:szCs w:val="24"/>
          <w:lang w:val="uk-UA"/>
        </w:rPr>
      </w:pPr>
      <w:r w:rsidRPr="0093218C">
        <w:rPr>
          <w:rFonts w:ascii="Times New Roman" w:hAnsi="Times New Roman" w:cs="Times New Roman"/>
          <w:b/>
          <w:i/>
          <w:sz w:val="24"/>
          <w:szCs w:val="24"/>
          <w:lang w:val="uk-UA"/>
        </w:rPr>
        <w:t xml:space="preserve">орендна плата –  </w:t>
      </w:r>
      <w:r w:rsidR="00713EE0" w:rsidRPr="0093218C">
        <w:rPr>
          <w:rFonts w:ascii="Times New Roman" w:hAnsi="Times New Roman" w:cs="Times New Roman"/>
          <w:b/>
          <w:i/>
          <w:sz w:val="24"/>
          <w:szCs w:val="24"/>
          <w:lang w:val="uk-UA"/>
        </w:rPr>
        <w:t xml:space="preserve">142 000,0 тис. </w:t>
      </w:r>
      <w:r w:rsidR="00A47B0E" w:rsidRPr="0093218C">
        <w:rPr>
          <w:rFonts w:ascii="Times New Roman" w:hAnsi="Times New Roman" w:cs="Times New Roman"/>
          <w:b/>
          <w:i/>
          <w:sz w:val="24"/>
          <w:szCs w:val="24"/>
          <w:lang w:val="uk-UA"/>
        </w:rPr>
        <w:t xml:space="preserve"> грн. (або </w:t>
      </w:r>
      <w:r w:rsidRPr="0093218C">
        <w:rPr>
          <w:rFonts w:ascii="Times New Roman" w:hAnsi="Times New Roman" w:cs="Times New Roman"/>
          <w:b/>
          <w:i/>
          <w:sz w:val="24"/>
          <w:szCs w:val="24"/>
          <w:lang w:val="uk-UA"/>
        </w:rPr>
        <w:t>7</w:t>
      </w:r>
      <w:r w:rsidR="00A47B0E" w:rsidRPr="0093218C">
        <w:rPr>
          <w:rFonts w:ascii="Times New Roman" w:hAnsi="Times New Roman" w:cs="Times New Roman"/>
          <w:b/>
          <w:i/>
          <w:sz w:val="24"/>
          <w:szCs w:val="24"/>
          <w:lang w:val="uk-UA"/>
        </w:rPr>
        <w:t>0</w:t>
      </w:r>
      <w:r w:rsidRPr="0093218C">
        <w:rPr>
          <w:rFonts w:ascii="Times New Roman" w:hAnsi="Times New Roman" w:cs="Times New Roman"/>
          <w:b/>
          <w:i/>
          <w:sz w:val="24"/>
          <w:szCs w:val="24"/>
          <w:lang w:val="uk-UA"/>
        </w:rPr>
        <w:t>,</w:t>
      </w:r>
      <w:r w:rsidR="00A47B0E" w:rsidRPr="0093218C">
        <w:rPr>
          <w:rFonts w:ascii="Times New Roman" w:hAnsi="Times New Roman" w:cs="Times New Roman"/>
          <w:b/>
          <w:i/>
          <w:sz w:val="24"/>
          <w:szCs w:val="24"/>
          <w:lang w:val="uk-UA"/>
        </w:rPr>
        <w:t>3</w:t>
      </w:r>
      <w:r w:rsidRPr="0093218C">
        <w:rPr>
          <w:rFonts w:ascii="Times New Roman" w:hAnsi="Times New Roman" w:cs="Times New Roman"/>
          <w:b/>
          <w:i/>
          <w:sz w:val="24"/>
          <w:szCs w:val="24"/>
          <w:lang w:val="uk-UA"/>
        </w:rPr>
        <w:t xml:space="preserve"> %), що сплачується :</w:t>
      </w:r>
    </w:p>
    <w:p w:rsidR="000E2C33" w:rsidRPr="0093218C" w:rsidRDefault="000E2C33" w:rsidP="000E2C33">
      <w:pPr>
        <w:spacing w:after="0" w:line="240" w:lineRule="auto"/>
        <w:ind w:firstLine="567"/>
        <w:jc w:val="both"/>
        <w:rPr>
          <w:rFonts w:ascii="Times New Roman" w:hAnsi="Times New Roman" w:cs="Times New Roman"/>
          <w:sz w:val="24"/>
          <w:szCs w:val="24"/>
          <w:lang w:val="uk-UA"/>
        </w:rPr>
      </w:pPr>
      <w:r w:rsidRPr="0093218C">
        <w:rPr>
          <w:rFonts w:ascii="Times New Roman" w:hAnsi="Times New Roman" w:cs="Times New Roman"/>
          <w:sz w:val="24"/>
          <w:szCs w:val="24"/>
          <w:lang w:val="uk-UA"/>
        </w:rPr>
        <w:lastRenderedPageBreak/>
        <w:t xml:space="preserve">- юридичними особами – </w:t>
      </w:r>
      <w:r w:rsidR="00A47B0E" w:rsidRPr="0093218C">
        <w:rPr>
          <w:rFonts w:ascii="Times New Roman" w:hAnsi="Times New Roman" w:cs="Times New Roman"/>
          <w:sz w:val="24"/>
          <w:szCs w:val="24"/>
          <w:lang w:val="uk-UA"/>
        </w:rPr>
        <w:t>131 600,0 тис.</w:t>
      </w:r>
      <w:r w:rsidRPr="0093218C">
        <w:rPr>
          <w:rFonts w:ascii="Times New Roman" w:hAnsi="Times New Roman" w:cs="Times New Roman"/>
          <w:sz w:val="24"/>
          <w:szCs w:val="24"/>
          <w:lang w:val="uk-UA"/>
        </w:rPr>
        <w:t xml:space="preserve"> грн;</w:t>
      </w:r>
    </w:p>
    <w:p w:rsidR="000E2C33" w:rsidRPr="0093218C" w:rsidRDefault="000E2C33" w:rsidP="00713EE0">
      <w:pPr>
        <w:spacing w:after="0"/>
        <w:ind w:firstLine="567"/>
        <w:rPr>
          <w:rFonts w:ascii="Times New Roman" w:hAnsi="Times New Roman" w:cs="Times New Roman"/>
          <w:sz w:val="24"/>
          <w:szCs w:val="24"/>
          <w:lang w:val="uk-UA"/>
        </w:rPr>
      </w:pPr>
      <w:r w:rsidRPr="0093218C">
        <w:rPr>
          <w:rFonts w:ascii="Times New Roman" w:hAnsi="Times New Roman" w:cs="Times New Roman"/>
          <w:sz w:val="24"/>
          <w:szCs w:val="24"/>
          <w:lang w:val="uk-UA"/>
        </w:rPr>
        <w:t xml:space="preserve">- фізичними особами – </w:t>
      </w:r>
      <w:r w:rsidR="00A47B0E" w:rsidRPr="0093218C">
        <w:rPr>
          <w:rFonts w:ascii="Times New Roman" w:hAnsi="Times New Roman" w:cs="Times New Roman"/>
          <w:sz w:val="24"/>
          <w:szCs w:val="24"/>
          <w:lang w:val="uk-UA"/>
        </w:rPr>
        <w:t xml:space="preserve">10 400,0 тис. </w:t>
      </w:r>
      <w:r w:rsidRPr="0093218C">
        <w:rPr>
          <w:rFonts w:ascii="Times New Roman" w:hAnsi="Times New Roman" w:cs="Times New Roman"/>
          <w:sz w:val="24"/>
          <w:szCs w:val="24"/>
          <w:lang w:val="uk-UA"/>
        </w:rPr>
        <w:t>грн</w:t>
      </w:r>
      <w:r w:rsidR="00713EE0" w:rsidRPr="0093218C">
        <w:rPr>
          <w:rFonts w:ascii="Times New Roman" w:hAnsi="Times New Roman" w:cs="Times New Roman"/>
          <w:sz w:val="24"/>
          <w:szCs w:val="24"/>
          <w:lang w:val="uk-UA"/>
        </w:rPr>
        <w:t>.</w:t>
      </w:r>
    </w:p>
    <w:p w:rsidR="007F3DAB" w:rsidRPr="00321985" w:rsidRDefault="000E2C33" w:rsidP="007F3DAB">
      <w:pPr>
        <w:spacing w:after="0" w:line="240" w:lineRule="auto"/>
        <w:ind w:firstLine="567"/>
        <w:jc w:val="both"/>
        <w:rPr>
          <w:rFonts w:ascii="Times New Roman" w:hAnsi="Times New Roman" w:cs="Times New Roman"/>
          <w:sz w:val="24"/>
          <w:szCs w:val="24"/>
          <w:lang w:val="uk-UA"/>
        </w:rPr>
      </w:pPr>
      <w:r w:rsidRPr="00321985">
        <w:rPr>
          <w:rFonts w:ascii="Times New Roman" w:hAnsi="Times New Roman" w:cs="Times New Roman"/>
          <w:sz w:val="24"/>
          <w:szCs w:val="24"/>
          <w:lang w:val="uk-UA"/>
        </w:rPr>
        <w:t>Станом на 01.12.202</w:t>
      </w:r>
      <w:r w:rsidR="00321985" w:rsidRPr="00321985">
        <w:rPr>
          <w:rFonts w:ascii="Times New Roman" w:hAnsi="Times New Roman" w:cs="Times New Roman"/>
          <w:sz w:val="24"/>
          <w:szCs w:val="24"/>
          <w:lang w:val="uk-UA"/>
        </w:rPr>
        <w:t>3</w:t>
      </w:r>
      <w:r w:rsidRPr="00321985">
        <w:rPr>
          <w:rFonts w:ascii="Times New Roman" w:hAnsi="Times New Roman" w:cs="Times New Roman"/>
          <w:sz w:val="24"/>
          <w:szCs w:val="24"/>
          <w:lang w:val="uk-UA"/>
        </w:rPr>
        <w:t xml:space="preserve">р. Чорноморською міською радою укладено </w:t>
      </w:r>
      <w:r w:rsidR="00321985" w:rsidRPr="00321985">
        <w:rPr>
          <w:rFonts w:ascii="Times New Roman" w:hAnsi="Times New Roman" w:cs="Times New Roman"/>
          <w:sz w:val="24"/>
          <w:szCs w:val="24"/>
          <w:lang w:val="uk-UA"/>
        </w:rPr>
        <w:t xml:space="preserve">886 </w:t>
      </w:r>
      <w:r w:rsidRPr="00321985">
        <w:rPr>
          <w:rFonts w:ascii="Times New Roman" w:hAnsi="Times New Roman" w:cs="Times New Roman"/>
          <w:sz w:val="24"/>
          <w:szCs w:val="24"/>
          <w:lang w:val="uk-UA"/>
        </w:rPr>
        <w:t>договорів оренди землі з юридичними та фізичними особами.</w:t>
      </w:r>
    </w:p>
    <w:p w:rsidR="007F3DAB" w:rsidRPr="00545127" w:rsidRDefault="007F3DAB" w:rsidP="007F3DAB">
      <w:pPr>
        <w:spacing w:after="0" w:line="240" w:lineRule="auto"/>
        <w:ind w:hanging="142"/>
        <w:jc w:val="both"/>
        <w:rPr>
          <w:rFonts w:ascii="Times New Roman" w:hAnsi="Times New Roman" w:cs="Times New Roman"/>
          <w:b/>
          <w:sz w:val="24"/>
          <w:szCs w:val="24"/>
          <w:highlight w:val="yellow"/>
          <w:lang w:val="uk-UA"/>
        </w:rPr>
      </w:pPr>
    </w:p>
    <w:p w:rsidR="007F3DAB" w:rsidRDefault="000262D4" w:rsidP="000262D4">
      <w:pPr>
        <w:pStyle w:val="a4"/>
        <w:tabs>
          <w:tab w:val="left" w:pos="709"/>
          <w:tab w:val="left" w:pos="851"/>
        </w:tabs>
        <w:spacing w:after="0" w:line="240" w:lineRule="auto"/>
        <w:ind w:left="0"/>
        <w:jc w:val="both"/>
        <w:rPr>
          <w:rFonts w:ascii="Times New Roman" w:hAnsi="Times New Roman" w:cs="Times New Roman"/>
          <w:b/>
          <w:sz w:val="24"/>
          <w:szCs w:val="24"/>
          <w:lang w:val="uk-UA"/>
        </w:rPr>
      </w:pPr>
      <w:r w:rsidRPr="00DA374C">
        <w:rPr>
          <w:noProof/>
          <w:lang w:val="uk-UA" w:eastAsia="uk-UA"/>
        </w:rPr>
        <w:drawing>
          <wp:inline distT="0" distB="0" distL="0" distR="0" wp14:anchorId="7F85BDFF" wp14:editId="48D6CF6E">
            <wp:extent cx="6037952" cy="3286665"/>
            <wp:effectExtent l="0" t="0" r="1270" b="9525"/>
            <wp:docPr id="17"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7F3DAB" w:rsidRPr="000262D4" w:rsidRDefault="007F3DAB" w:rsidP="000262D4">
      <w:pPr>
        <w:tabs>
          <w:tab w:val="left" w:pos="709"/>
          <w:tab w:val="left" w:pos="851"/>
        </w:tabs>
        <w:spacing w:after="0" w:line="240" w:lineRule="auto"/>
        <w:jc w:val="both"/>
        <w:rPr>
          <w:rFonts w:ascii="Times New Roman" w:hAnsi="Times New Roman" w:cs="Times New Roman"/>
          <w:b/>
          <w:sz w:val="24"/>
          <w:szCs w:val="24"/>
          <w:lang w:val="uk-UA"/>
        </w:rPr>
      </w:pPr>
    </w:p>
    <w:p w:rsidR="000E2C33" w:rsidRPr="00F630F4" w:rsidRDefault="00FC4D4D" w:rsidP="00FC4D4D">
      <w:pPr>
        <w:pStyle w:val="a4"/>
        <w:tabs>
          <w:tab w:val="left" w:pos="709"/>
          <w:tab w:val="left" w:pos="851"/>
        </w:tabs>
        <w:spacing w:after="0" w:line="240" w:lineRule="auto"/>
        <w:ind w:left="0"/>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          </w:t>
      </w:r>
      <w:r w:rsidR="000E2C33" w:rsidRPr="00F630F4">
        <w:rPr>
          <w:rFonts w:ascii="Times New Roman" w:hAnsi="Times New Roman" w:cs="Times New Roman"/>
          <w:b/>
          <w:sz w:val="24"/>
          <w:szCs w:val="24"/>
          <w:lang w:val="uk-UA"/>
        </w:rPr>
        <w:t>Прогнозна сума транспортного податку</w:t>
      </w:r>
      <w:r w:rsidR="00F630F4" w:rsidRPr="00F630F4">
        <w:rPr>
          <w:rFonts w:ascii="Times New Roman" w:hAnsi="Times New Roman" w:cs="Times New Roman"/>
          <w:b/>
          <w:sz w:val="24"/>
          <w:szCs w:val="24"/>
          <w:lang w:val="uk-UA"/>
        </w:rPr>
        <w:t xml:space="preserve"> (18011000, 18011100</w:t>
      </w:r>
      <w:r w:rsidR="00F630F4" w:rsidRPr="00F630F4">
        <w:rPr>
          <w:rFonts w:ascii="Times New Roman" w:hAnsi="Times New Roman" w:cs="Times New Roman"/>
          <w:sz w:val="24"/>
          <w:szCs w:val="24"/>
          <w:lang w:val="uk-UA"/>
        </w:rPr>
        <w:t>)</w:t>
      </w:r>
      <w:r w:rsidR="000E2C33" w:rsidRPr="00F630F4">
        <w:rPr>
          <w:rFonts w:ascii="Times New Roman" w:hAnsi="Times New Roman" w:cs="Times New Roman"/>
          <w:sz w:val="24"/>
          <w:szCs w:val="24"/>
          <w:lang w:val="uk-UA"/>
        </w:rPr>
        <w:t xml:space="preserve">  </w:t>
      </w:r>
      <w:r w:rsidR="000E2C33" w:rsidRPr="0047141D">
        <w:rPr>
          <w:rFonts w:ascii="Times New Roman" w:hAnsi="Times New Roman" w:cs="Times New Roman"/>
          <w:sz w:val="24"/>
          <w:szCs w:val="24"/>
          <w:lang w:val="uk-UA"/>
        </w:rPr>
        <w:t>на 202</w:t>
      </w:r>
      <w:r w:rsidR="00F630F4" w:rsidRPr="0047141D">
        <w:rPr>
          <w:rFonts w:ascii="Times New Roman" w:hAnsi="Times New Roman" w:cs="Times New Roman"/>
          <w:sz w:val="24"/>
          <w:szCs w:val="24"/>
          <w:lang w:val="uk-UA"/>
        </w:rPr>
        <w:t>4</w:t>
      </w:r>
      <w:r w:rsidR="000E2C33" w:rsidRPr="0047141D">
        <w:rPr>
          <w:rFonts w:ascii="Times New Roman" w:hAnsi="Times New Roman" w:cs="Times New Roman"/>
          <w:sz w:val="24"/>
          <w:szCs w:val="24"/>
          <w:lang w:val="uk-UA"/>
        </w:rPr>
        <w:t xml:space="preserve"> рік</w:t>
      </w:r>
      <w:r w:rsidR="000E2C33" w:rsidRPr="00F630F4">
        <w:rPr>
          <w:rFonts w:ascii="Times New Roman" w:hAnsi="Times New Roman" w:cs="Times New Roman"/>
          <w:b/>
          <w:sz w:val="24"/>
          <w:szCs w:val="24"/>
          <w:lang w:val="uk-UA"/>
        </w:rPr>
        <w:t xml:space="preserve"> </w:t>
      </w:r>
      <w:r w:rsidR="00742225" w:rsidRPr="00F630F4">
        <w:rPr>
          <w:rFonts w:ascii="Times New Roman" w:hAnsi="Times New Roman" w:cs="Times New Roman"/>
          <w:sz w:val="24"/>
          <w:szCs w:val="24"/>
          <w:lang w:val="uk-UA"/>
        </w:rPr>
        <w:t>розрахована у сумі</w:t>
      </w:r>
      <w:r w:rsidR="00F630F4" w:rsidRPr="00F630F4">
        <w:rPr>
          <w:rFonts w:ascii="Times New Roman" w:hAnsi="Times New Roman" w:cs="Times New Roman"/>
          <w:sz w:val="24"/>
          <w:szCs w:val="24"/>
          <w:lang w:val="uk-UA"/>
        </w:rPr>
        <w:t xml:space="preserve">  </w:t>
      </w:r>
      <w:r w:rsidR="0004100B" w:rsidRPr="00F630F4">
        <w:rPr>
          <w:rFonts w:ascii="Times New Roman" w:hAnsi="Times New Roman" w:cs="Times New Roman"/>
          <w:sz w:val="24"/>
          <w:szCs w:val="24"/>
          <w:lang w:val="uk-UA"/>
        </w:rPr>
        <w:t>1</w:t>
      </w:r>
      <w:r w:rsidR="000E2C33" w:rsidRPr="00F630F4">
        <w:rPr>
          <w:rFonts w:ascii="Times New Roman" w:hAnsi="Times New Roman" w:cs="Times New Roman"/>
          <w:sz w:val="24"/>
          <w:szCs w:val="24"/>
          <w:lang w:val="uk-UA"/>
        </w:rPr>
        <w:t>50 000  гр</w:t>
      </w:r>
      <w:r w:rsidR="00742225" w:rsidRPr="00F630F4">
        <w:rPr>
          <w:rFonts w:ascii="Times New Roman" w:hAnsi="Times New Roman" w:cs="Times New Roman"/>
          <w:sz w:val="24"/>
          <w:szCs w:val="24"/>
          <w:lang w:val="uk-UA"/>
        </w:rPr>
        <w:t>ивень</w:t>
      </w:r>
      <w:r w:rsidR="000E2C33" w:rsidRPr="00F630F4">
        <w:rPr>
          <w:rFonts w:ascii="Times New Roman" w:hAnsi="Times New Roman" w:cs="Times New Roman"/>
          <w:sz w:val="24"/>
          <w:szCs w:val="24"/>
          <w:lang w:val="uk-UA"/>
        </w:rPr>
        <w:t>.</w:t>
      </w:r>
    </w:p>
    <w:p w:rsidR="00742225" w:rsidRPr="0004100B" w:rsidRDefault="000E2C33" w:rsidP="000E2C33">
      <w:pPr>
        <w:spacing w:after="0" w:line="240" w:lineRule="auto"/>
        <w:ind w:firstLine="567"/>
        <w:jc w:val="both"/>
        <w:rPr>
          <w:rFonts w:ascii="Times New Roman" w:hAnsi="Times New Roman" w:cs="Times New Roman"/>
          <w:sz w:val="24"/>
          <w:szCs w:val="24"/>
          <w:lang w:val="uk-UA"/>
        </w:rPr>
      </w:pPr>
      <w:r w:rsidRPr="0004100B">
        <w:rPr>
          <w:rFonts w:ascii="Times New Roman" w:hAnsi="Times New Roman" w:cs="Times New Roman"/>
          <w:sz w:val="24"/>
          <w:szCs w:val="24"/>
          <w:lang w:val="uk-UA"/>
        </w:rPr>
        <w:t xml:space="preserve">Ставки транспортного податку затверджені рішенням Чорноморської міської ради                від 05.01.2015 року № 574-VI (зі змінами, внесеними рішенням Чорноморської міської ради від 06.01.2016р. № 25-VII, від 27.01.2017р. № 177-VII) та встановлені </w:t>
      </w:r>
      <w:r w:rsidRPr="0004100B">
        <w:rPr>
          <w:rFonts w:ascii="Times New Roman" w:hAnsi="Times New Roman" w:cs="Times New Roman"/>
          <w:bCs/>
          <w:sz w:val="24"/>
          <w:szCs w:val="24"/>
          <w:lang w:val="uk-UA"/>
        </w:rPr>
        <w:t xml:space="preserve">в розрахунку на календарний рік у розмірі 25 000 гривень за кожен легковий автомобіль, </w:t>
      </w:r>
      <w:r w:rsidRPr="0004100B">
        <w:rPr>
          <w:rFonts w:ascii="Times New Roman" w:hAnsi="Times New Roman" w:cs="Times New Roman"/>
          <w:sz w:val="24"/>
          <w:szCs w:val="24"/>
          <w:lang w:val="uk-UA"/>
        </w:rPr>
        <w:t xml:space="preserve">з року випуску якого минуло не більше п’яти років (включно) та </w:t>
      </w:r>
      <w:proofErr w:type="spellStart"/>
      <w:r w:rsidRPr="0004100B">
        <w:rPr>
          <w:rFonts w:ascii="Times New Roman" w:hAnsi="Times New Roman" w:cs="Times New Roman"/>
          <w:sz w:val="24"/>
          <w:szCs w:val="24"/>
          <w:lang w:val="uk-UA"/>
        </w:rPr>
        <w:t>середньоринкова</w:t>
      </w:r>
      <w:proofErr w:type="spellEnd"/>
      <w:r w:rsidRPr="0004100B">
        <w:rPr>
          <w:rFonts w:ascii="Times New Roman" w:hAnsi="Times New Roman" w:cs="Times New Roman"/>
          <w:sz w:val="24"/>
          <w:szCs w:val="24"/>
          <w:lang w:val="uk-UA"/>
        </w:rPr>
        <w:t xml:space="preserve"> вартість якого становить понад 375 розмірів мінімальної заробітної плати, встановленої законом на 1 січня податкового (звітного) року. </w:t>
      </w:r>
    </w:p>
    <w:p w:rsidR="000E2C33" w:rsidRDefault="000E2C33" w:rsidP="000E2C33">
      <w:pPr>
        <w:spacing w:after="0" w:line="240" w:lineRule="auto"/>
        <w:ind w:firstLine="567"/>
        <w:jc w:val="both"/>
        <w:rPr>
          <w:rFonts w:ascii="Times New Roman" w:hAnsi="Times New Roman" w:cs="Times New Roman"/>
          <w:sz w:val="24"/>
          <w:szCs w:val="24"/>
          <w:lang w:val="uk-UA"/>
        </w:rPr>
      </w:pPr>
      <w:r w:rsidRPr="0004100B">
        <w:rPr>
          <w:rFonts w:ascii="Times New Roman" w:hAnsi="Times New Roman" w:cs="Times New Roman"/>
          <w:sz w:val="24"/>
          <w:szCs w:val="24"/>
          <w:lang w:val="uk-UA"/>
        </w:rPr>
        <w:t xml:space="preserve">Перелік таких легкових автомобілів,  щороку до 1 лютого податкового (звітного року) центральний орган виконавчої влади, що забезпечує формування та реалізує державну політику економічного соціального розвитку і торгівлі, розміщує на своєму офіційному веб-сайті.   </w:t>
      </w:r>
    </w:p>
    <w:p w:rsidR="00647EDB" w:rsidRDefault="00647EDB" w:rsidP="000E2C33">
      <w:pPr>
        <w:spacing w:after="0" w:line="240" w:lineRule="auto"/>
        <w:ind w:firstLine="567"/>
        <w:jc w:val="both"/>
        <w:rPr>
          <w:rFonts w:ascii="Times New Roman" w:hAnsi="Times New Roman" w:cs="Times New Roman"/>
          <w:sz w:val="24"/>
          <w:szCs w:val="24"/>
          <w:lang w:val="uk-UA"/>
        </w:rPr>
      </w:pPr>
    </w:p>
    <w:p w:rsidR="002231E2" w:rsidRDefault="004F3ED9" w:rsidP="004F3ED9">
      <w:pPr>
        <w:spacing w:after="0" w:line="240" w:lineRule="auto"/>
        <w:ind w:firstLine="567"/>
        <w:jc w:val="both"/>
        <w:rPr>
          <w:rFonts w:ascii="Times New Roman" w:hAnsi="Times New Roman" w:cs="Times New Roman"/>
          <w:sz w:val="24"/>
          <w:szCs w:val="24"/>
          <w:lang w:val="uk-UA"/>
        </w:rPr>
      </w:pPr>
      <w:r w:rsidRPr="004F3ED9">
        <w:rPr>
          <w:rFonts w:ascii="Times New Roman" w:hAnsi="Times New Roman" w:cs="Times New Roman"/>
          <w:b/>
          <w:sz w:val="24"/>
          <w:szCs w:val="24"/>
          <w:lang w:val="uk-UA"/>
        </w:rPr>
        <w:t xml:space="preserve">Надходження туристичного  збору (ККДБ 18030000) </w:t>
      </w:r>
      <w:r w:rsidRPr="0047141D">
        <w:rPr>
          <w:rFonts w:ascii="Times New Roman" w:hAnsi="Times New Roman" w:cs="Times New Roman"/>
          <w:sz w:val="24"/>
          <w:szCs w:val="24"/>
          <w:lang w:val="uk-UA"/>
        </w:rPr>
        <w:t>на 2024 рік</w:t>
      </w:r>
      <w:r w:rsidR="002231E2">
        <w:rPr>
          <w:rFonts w:ascii="Times New Roman" w:hAnsi="Times New Roman" w:cs="Times New Roman"/>
          <w:sz w:val="24"/>
          <w:szCs w:val="24"/>
          <w:lang w:val="uk-UA"/>
        </w:rPr>
        <w:t xml:space="preserve"> розраховано у сумі  </w:t>
      </w:r>
    </w:p>
    <w:p w:rsidR="004F3ED9" w:rsidRPr="004F3ED9" w:rsidRDefault="002231E2" w:rsidP="002231E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4F3ED9" w:rsidRPr="004F3ED9">
        <w:rPr>
          <w:rFonts w:ascii="Times New Roman" w:hAnsi="Times New Roman" w:cs="Times New Roman"/>
          <w:sz w:val="24"/>
          <w:szCs w:val="24"/>
          <w:lang w:val="uk-UA"/>
        </w:rPr>
        <w:t>00 000 грн.</w:t>
      </w:r>
    </w:p>
    <w:p w:rsidR="004F3ED9" w:rsidRDefault="004F3ED9" w:rsidP="004F3ED9">
      <w:pPr>
        <w:spacing w:after="0" w:line="240" w:lineRule="auto"/>
        <w:ind w:firstLine="567"/>
        <w:jc w:val="both"/>
        <w:rPr>
          <w:rFonts w:ascii="Times New Roman" w:hAnsi="Times New Roman" w:cs="Times New Roman"/>
          <w:sz w:val="24"/>
          <w:szCs w:val="24"/>
          <w:lang w:val="uk-UA"/>
        </w:rPr>
      </w:pPr>
      <w:r w:rsidRPr="004F3ED9">
        <w:rPr>
          <w:rFonts w:ascii="Times New Roman" w:hAnsi="Times New Roman" w:cs="Times New Roman"/>
          <w:sz w:val="24"/>
          <w:szCs w:val="24"/>
          <w:lang w:val="uk-UA"/>
        </w:rPr>
        <w:t>Розрахунок надходжень туристичного збору розраховано виходячи із ставки                               0,25 відсотка для внутрішнього та для в'їзного туризму, яка встановлена рішенням Чорноморської міської ради Одеської області від 26.06.2019р. № 446-VII, та з урахуванням негативного впливу на туристичну діяльність продовження терміну дії воєнного стану.</w:t>
      </w:r>
    </w:p>
    <w:p w:rsidR="00FC0858" w:rsidRDefault="00FC0858" w:rsidP="004F3ED9">
      <w:pPr>
        <w:spacing w:after="0" w:line="240" w:lineRule="auto"/>
        <w:ind w:firstLine="567"/>
        <w:jc w:val="both"/>
        <w:rPr>
          <w:rFonts w:ascii="Times New Roman" w:hAnsi="Times New Roman" w:cs="Times New Roman"/>
          <w:sz w:val="24"/>
          <w:szCs w:val="24"/>
          <w:lang w:val="uk-UA"/>
        </w:rPr>
      </w:pPr>
    </w:p>
    <w:p w:rsidR="000E2C33" w:rsidRPr="00545127" w:rsidRDefault="000E2C33" w:rsidP="000E2C33">
      <w:pPr>
        <w:spacing w:after="0" w:line="240" w:lineRule="auto"/>
        <w:ind w:firstLine="567"/>
        <w:jc w:val="both"/>
        <w:rPr>
          <w:rFonts w:ascii="Times New Roman" w:hAnsi="Times New Roman" w:cs="Times New Roman"/>
          <w:sz w:val="12"/>
          <w:szCs w:val="12"/>
          <w:highlight w:val="yellow"/>
          <w:lang w:val="uk-UA"/>
        </w:rPr>
      </w:pPr>
    </w:p>
    <w:p w:rsidR="000E2C33" w:rsidRPr="007E7D01" w:rsidRDefault="000E2C33" w:rsidP="00DF56C5">
      <w:pPr>
        <w:spacing w:after="0"/>
        <w:ind w:firstLine="567"/>
        <w:jc w:val="both"/>
        <w:rPr>
          <w:rFonts w:ascii="Times New Roman" w:hAnsi="Times New Roman" w:cs="Times New Roman"/>
          <w:sz w:val="24"/>
          <w:szCs w:val="24"/>
          <w:lang w:val="uk-UA"/>
        </w:rPr>
      </w:pPr>
      <w:r w:rsidRPr="007E7D01">
        <w:rPr>
          <w:rFonts w:ascii="Times New Roman" w:hAnsi="Times New Roman" w:cs="Times New Roman"/>
          <w:b/>
          <w:sz w:val="24"/>
          <w:szCs w:val="24"/>
          <w:lang w:val="uk-UA"/>
        </w:rPr>
        <w:t xml:space="preserve">Надходження єдиного податку (ККДБ 18050300, 18050400) </w:t>
      </w:r>
      <w:r w:rsidRPr="0047141D">
        <w:rPr>
          <w:rFonts w:ascii="Times New Roman" w:hAnsi="Times New Roman" w:cs="Times New Roman"/>
          <w:sz w:val="24"/>
          <w:szCs w:val="24"/>
          <w:lang w:val="uk-UA"/>
        </w:rPr>
        <w:t>на 202</w:t>
      </w:r>
      <w:r w:rsidR="004713CE" w:rsidRPr="0047141D">
        <w:rPr>
          <w:rFonts w:ascii="Times New Roman" w:hAnsi="Times New Roman" w:cs="Times New Roman"/>
          <w:sz w:val="24"/>
          <w:szCs w:val="24"/>
          <w:lang w:val="uk-UA"/>
        </w:rPr>
        <w:t>4</w:t>
      </w:r>
      <w:r w:rsidRPr="0047141D">
        <w:rPr>
          <w:rFonts w:ascii="Times New Roman" w:hAnsi="Times New Roman" w:cs="Times New Roman"/>
          <w:sz w:val="24"/>
          <w:szCs w:val="24"/>
          <w:lang w:val="uk-UA"/>
        </w:rPr>
        <w:t xml:space="preserve"> рік</w:t>
      </w:r>
      <w:r w:rsidRPr="007E7D01">
        <w:rPr>
          <w:rFonts w:ascii="Times New Roman" w:hAnsi="Times New Roman" w:cs="Times New Roman"/>
          <w:b/>
          <w:sz w:val="24"/>
          <w:szCs w:val="24"/>
          <w:lang w:val="uk-UA"/>
        </w:rPr>
        <w:t xml:space="preserve"> </w:t>
      </w:r>
      <w:r w:rsidRPr="007E7D01">
        <w:rPr>
          <w:rFonts w:ascii="Times New Roman" w:hAnsi="Times New Roman" w:cs="Times New Roman"/>
          <w:sz w:val="24"/>
          <w:szCs w:val="24"/>
          <w:lang w:val="uk-UA"/>
        </w:rPr>
        <w:t xml:space="preserve"> розраховано у сумі</w:t>
      </w:r>
      <w:r w:rsidRPr="007E7D01">
        <w:rPr>
          <w:rFonts w:ascii="Times New Roman" w:hAnsi="Times New Roman" w:cs="Times New Roman"/>
          <w:b/>
          <w:sz w:val="24"/>
          <w:szCs w:val="24"/>
          <w:lang w:val="uk-UA"/>
        </w:rPr>
        <w:t xml:space="preserve"> </w:t>
      </w:r>
      <w:r w:rsidR="00BC4F8F">
        <w:rPr>
          <w:rFonts w:ascii="Times New Roman" w:hAnsi="Times New Roman" w:cs="Times New Roman"/>
          <w:sz w:val="24"/>
          <w:szCs w:val="24"/>
          <w:lang w:val="uk-UA"/>
        </w:rPr>
        <w:t>85 000,0</w:t>
      </w:r>
      <w:r w:rsidR="004713CE" w:rsidRPr="007E7D01">
        <w:rPr>
          <w:rFonts w:ascii="Times New Roman" w:hAnsi="Times New Roman" w:cs="Times New Roman"/>
          <w:sz w:val="24"/>
          <w:szCs w:val="24"/>
          <w:lang w:val="uk-UA"/>
        </w:rPr>
        <w:t xml:space="preserve"> тис. </w:t>
      </w:r>
      <w:r w:rsidRPr="007E7D01">
        <w:rPr>
          <w:rFonts w:ascii="Times New Roman" w:hAnsi="Times New Roman" w:cs="Times New Roman"/>
          <w:sz w:val="24"/>
          <w:szCs w:val="24"/>
          <w:lang w:val="uk-UA"/>
        </w:rPr>
        <w:t>грн.</w:t>
      </w:r>
    </w:p>
    <w:p w:rsidR="000E2C33" w:rsidRPr="007E7D01" w:rsidRDefault="000E2C33" w:rsidP="000E2C33">
      <w:pPr>
        <w:spacing w:after="0" w:line="240" w:lineRule="auto"/>
        <w:ind w:firstLine="567"/>
        <w:jc w:val="both"/>
        <w:rPr>
          <w:rFonts w:ascii="Times New Roman" w:hAnsi="Times New Roman" w:cs="Times New Roman"/>
          <w:sz w:val="24"/>
          <w:szCs w:val="24"/>
          <w:lang w:val="uk-UA"/>
        </w:rPr>
      </w:pPr>
      <w:r w:rsidRPr="007E7D01">
        <w:rPr>
          <w:rFonts w:ascii="Times New Roman" w:hAnsi="Times New Roman" w:cs="Times New Roman"/>
          <w:sz w:val="24"/>
          <w:szCs w:val="24"/>
          <w:lang w:val="uk-UA"/>
        </w:rPr>
        <w:t>При розрахунку було враховано підвищення мінімальної заробітної плати та прожиткового мінімуму станом на 1 січня планового року відповідно до Закону України "Про Державний бюджет України на 202</w:t>
      </w:r>
      <w:r w:rsidR="004713CE" w:rsidRPr="007E7D01">
        <w:rPr>
          <w:rFonts w:ascii="Times New Roman" w:hAnsi="Times New Roman" w:cs="Times New Roman"/>
          <w:sz w:val="24"/>
          <w:szCs w:val="24"/>
          <w:lang w:val="uk-UA"/>
        </w:rPr>
        <w:t>4</w:t>
      </w:r>
      <w:r w:rsidRPr="007E7D01">
        <w:rPr>
          <w:rFonts w:ascii="Times New Roman" w:hAnsi="Times New Roman" w:cs="Times New Roman"/>
          <w:sz w:val="24"/>
          <w:szCs w:val="24"/>
          <w:lang w:val="uk-UA"/>
        </w:rPr>
        <w:t xml:space="preserve"> рік". </w:t>
      </w:r>
    </w:p>
    <w:p w:rsidR="000E2C33" w:rsidRPr="007E7D01" w:rsidRDefault="000E2C33" w:rsidP="000E2C33">
      <w:pPr>
        <w:spacing w:after="0" w:line="240" w:lineRule="auto"/>
        <w:ind w:firstLine="567"/>
        <w:jc w:val="both"/>
        <w:rPr>
          <w:rFonts w:ascii="Times New Roman" w:hAnsi="Times New Roman" w:cs="Times New Roman"/>
          <w:sz w:val="24"/>
          <w:szCs w:val="24"/>
          <w:lang w:val="uk-UA"/>
        </w:rPr>
      </w:pPr>
      <w:r w:rsidRPr="007E7D01">
        <w:rPr>
          <w:rFonts w:ascii="Times New Roman" w:hAnsi="Times New Roman" w:cs="Times New Roman"/>
          <w:sz w:val="24"/>
          <w:szCs w:val="24"/>
          <w:lang w:val="uk-UA"/>
        </w:rPr>
        <w:t xml:space="preserve">Рішенням Чорноморської міської ради від 18.06.2021р. № 74-VІІI </w:t>
      </w:r>
      <w:r w:rsidRPr="007E7D01">
        <w:rPr>
          <w:rFonts w:ascii="Times New Roman" w:hAnsi="Times New Roman"/>
          <w:sz w:val="24"/>
          <w:szCs w:val="24"/>
          <w:lang w:val="uk-UA"/>
        </w:rPr>
        <w:t xml:space="preserve">«Про встановлення ставок єдиного податку на території Чорноморської міської ради Одеського району Одеської області» </w:t>
      </w:r>
      <w:r w:rsidRPr="007E7D01">
        <w:rPr>
          <w:rFonts w:ascii="Times New Roman" w:hAnsi="Times New Roman" w:cs="Times New Roman"/>
          <w:sz w:val="24"/>
          <w:szCs w:val="24"/>
          <w:lang w:val="uk-UA"/>
        </w:rPr>
        <w:t xml:space="preserve">встановлені такі ставки єдиного податку : </w:t>
      </w:r>
    </w:p>
    <w:p w:rsidR="000E2C33" w:rsidRPr="009E57BB" w:rsidRDefault="000E2C33" w:rsidP="00141DB6">
      <w:pPr>
        <w:pStyle w:val="a4"/>
        <w:numPr>
          <w:ilvl w:val="0"/>
          <w:numId w:val="4"/>
        </w:numPr>
        <w:tabs>
          <w:tab w:val="left" w:pos="709"/>
          <w:tab w:val="left" w:pos="851"/>
        </w:tabs>
        <w:spacing w:after="0" w:line="240" w:lineRule="auto"/>
        <w:ind w:left="0" w:firstLine="567"/>
        <w:jc w:val="both"/>
        <w:rPr>
          <w:rFonts w:ascii="Times New Roman" w:hAnsi="Times New Roman" w:cs="Times New Roman"/>
          <w:sz w:val="24"/>
          <w:szCs w:val="24"/>
          <w:lang w:val="uk-UA"/>
        </w:rPr>
      </w:pPr>
      <w:r w:rsidRPr="009E57BB">
        <w:rPr>
          <w:rFonts w:ascii="Times New Roman" w:hAnsi="Times New Roman" w:cs="Times New Roman"/>
          <w:sz w:val="24"/>
          <w:szCs w:val="24"/>
          <w:lang w:val="uk-UA"/>
        </w:rPr>
        <w:lastRenderedPageBreak/>
        <w:t>для платників 1 групи - 10 % від прожиткового мінімуму (</w:t>
      </w:r>
      <w:r w:rsidR="007E7D01" w:rsidRPr="009E57BB">
        <w:rPr>
          <w:rFonts w:ascii="Times New Roman" w:hAnsi="Times New Roman" w:cs="Times New Roman"/>
          <w:sz w:val="24"/>
          <w:szCs w:val="24"/>
          <w:lang w:val="uk-UA"/>
        </w:rPr>
        <w:t>3028</w:t>
      </w:r>
      <w:r w:rsidRPr="009E57BB">
        <w:rPr>
          <w:rFonts w:ascii="Times New Roman" w:hAnsi="Times New Roman" w:cs="Times New Roman"/>
          <w:sz w:val="24"/>
          <w:szCs w:val="24"/>
          <w:lang w:val="uk-UA"/>
        </w:rPr>
        <w:t xml:space="preserve"> грн) - на 202</w:t>
      </w:r>
      <w:r w:rsidR="008B672B">
        <w:rPr>
          <w:rFonts w:ascii="Times New Roman" w:hAnsi="Times New Roman" w:cs="Times New Roman"/>
          <w:sz w:val="24"/>
          <w:szCs w:val="24"/>
          <w:lang w:val="uk-UA"/>
        </w:rPr>
        <w:t>4</w:t>
      </w:r>
      <w:r w:rsidRPr="009E57BB">
        <w:rPr>
          <w:rFonts w:ascii="Times New Roman" w:hAnsi="Times New Roman" w:cs="Times New Roman"/>
          <w:sz w:val="24"/>
          <w:szCs w:val="24"/>
          <w:lang w:val="uk-UA"/>
        </w:rPr>
        <w:t xml:space="preserve"> рік –                  </w:t>
      </w:r>
      <w:r w:rsidR="008B672B">
        <w:rPr>
          <w:rFonts w:ascii="Times New Roman" w:hAnsi="Times New Roman" w:cs="Times New Roman"/>
          <w:sz w:val="24"/>
          <w:szCs w:val="24"/>
          <w:lang w:val="uk-UA"/>
        </w:rPr>
        <w:t>302,80</w:t>
      </w:r>
      <w:r w:rsidRPr="009E57BB">
        <w:rPr>
          <w:rFonts w:ascii="Times New Roman" w:hAnsi="Times New Roman" w:cs="Times New Roman"/>
          <w:sz w:val="24"/>
          <w:szCs w:val="24"/>
          <w:lang w:val="uk-UA"/>
        </w:rPr>
        <w:t xml:space="preserve"> грн щомісячно;</w:t>
      </w:r>
    </w:p>
    <w:p w:rsidR="000E2C33" w:rsidRPr="009E57BB" w:rsidRDefault="000E2C33" w:rsidP="00141DB6">
      <w:pPr>
        <w:pStyle w:val="a4"/>
        <w:numPr>
          <w:ilvl w:val="0"/>
          <w:numId w:val="4"/>
        </w:numPr>
        <w:tabs>
          <w:tab w:val="left" w:pos="709"/>
          <w:tab w:val="left" w:pos="851"/>
        </w:tabs>
        <w:spacing w:after="0" w:line="240" w:lineRule="auto"/>
        <w:ind w:left="0" w:firstLine="567"/>
        <w:jc w:val="both"/>
        <w:rPr>
          <w:rFonts w:ascii="Times New Roman" w:hAnsi="Times New Roman" w:cs="Times New Roman"/>
          <w:sz w:val="24"/>
          <w:szCs w:val="24"/>
          <w:lang w:val="uk-UA"/>
        </w:rPr>
      </w:pPr>
      <w:r w:rsidRPr="009E57BB">
        <w:rPr>
          <w:rFonts w:ascii="Times New Roman" w:hAnsi="Times New Roman" w:cs="Times New Roman"/>
          <w:sz w:val="24"/>
          <w:szCs w:val="24"/>
          <w:lang w:val="uk-UA"/>
        </w:rPr>
        <w:t>для платників 2 групи - 10 % від</w:t>
      </w:r>
      <w:r w:rsidR="007E7D01" w:rsidRPr="009E57BB">
        <w:rPr>
          <w:rFonts w:ascii="Times New Roman" w:hAnsi="Times New Roman" w:cs="Times New Roman"/>
          <w:sz w:val="24"/>
          <w:szCs w:val="24"/>
          <w:lang w:val="uk-UA"/>
        </w:rPr>
        <w:t xml:space="preserve"> мінімальної заробітної плати (</w:t>
      </w:r>
      <w:r w:rsidRPr="009E57BB">
        <w:rPr>
          <w:rFonts w:ascii="Times New Roman" w:hAnsi="Times New Roman" w:cs="Times New Roman"/>
          <w:sz w:val="24"/>
          <w:szCs w:val="24"/>
          <w:lang w:val="uk-UA"/>
        </w:rPr>
        <w:t>7</w:t>
      </w:r>
      <w:r w:rsidR="007E7D01" w:rsidRPr="009E57BB">
        <w:rPr>
          <w:rFonts w:ascii="Times New Roman" w:hAnsi="Times New Roman" w:cs="Times New Roman"/>
          <w:sz w:val="24"/>
          <w:szCs w:val="24"/>
          <w:lang w:val="uk-UA"/>
        </w:rPr>
        <w:t>1</w:t>
      </w:r>
      <w:r w:rsidRPr="009E57BB">
        <w:rPr>
          <w:rFonts w:ascii="Times New Roman" w:hAnsi="Times New Roman" w:cs="Times New Roman"/>
          <w:sz w:val="24"/>
          <w:szCs w:val="24"/>
          <w:lang w:val="uk-UA"/>
        </w:rPr>
        <w:t>00 грн) - на 202</w:t>
      </w:r>
      <w:r w:rsidR="008B672B">
        <w:rPr>
          <w:rFonts w:ascii="Times New Roman" w:hAnsi="Times New Roman" w:cs="Times New Roman"/>
          <w:sz w:val="24"/>
          <w:szCs w:val="24"/>
          <w:lang w:val="uk-UA"/>
        </w:rPr>
        <w:t>4</w:t>
      </w:r>
      <w:r w:rsidRPr="009E57BB">
        <w:rPr>
          <w:rFonts w:ascii="Times New Roman" w:hAnsi="Times New Roman" w:cs="Times New Roman"/>
          <w:sz w:val="24"/>
          <w:szCs w:val="24"/>
          <w:lang w:val="uk-UA"/>
        </w:rPr>
        <w:t xml:space="preserve"> рік - </w:t>
      </w:r>
      <w:r w:rsidR="007E7D01" w:rsidRPr="009E57BB">
        <w:rPr>
          <w:rFonts w:ascii="Times New Roman" w:hAnsi="Times New Roman" w:cs="Times New Roman"/>
          <w:sz w:val="24"/>
          <w:szCs w:val="24"/>
          <w:lang w:val="uk-UA"/>
        </w:rPr>
        <w:t>710</w:t>
      </w:r>
      <w:r w:rsidRPr="009E57BB">
        <w:rPr>
          <w:rFonts w:ascii="Times New Roman" w:hAnsi="Times New Roman" w:cs="Times New Roman"/>
          <w:sz w:val="24"/>
          <w:szCs w:val="24"/>
          <w:lang w:val="uk-UA"/>
        </w:rPr>
        <w:t>,0 грн щомісячно.</w:t>
      </w:r>
    </w:p>
    <w:p w:rsidR="000E2C33" w:rsidRPr="009E57BB" w:rsidRDefault="000E2C33" w:rsidP="000E2C33">
      <w:pPr>
        <w:spacing w:after="0" w:line="240" w:lineRule="auto"/>
        <w:ind w:firstLine="567"/>
        <w:jc w:val="both"/>
        <w:rPr>
          <w:rFonts w:ascii="Times New Roman" w:hAnsi="Times New Roman" w:cs="Times New Roman"/>
          <w:sz w:val="24"/>
          <w:szCs w:val="24"/>
          <w:lang w:val="uk-UA"/>
        </w:rPr>
      </w:pPr>
      <w:r w:rsidRPr="009E57BB">
        <w:rPr>
          <w:rFonts w:ascii="Times New Roman" w:hAnsi="Times New Roman" w:cs="Times New Roman"/>
          <w:sz w:val="24"/>
          <w:szCs w:val="24"/>
          <w:lang w:val="uk-UA"/>
        </w:rPr>
        <w:t>Відповідно до пункту 293.7 статті 293 Податкового кодексу України у разі здійснення платником єдиного податку першої і другої груп господарської діяльності на території більш як однієї сільської, селищної, міської ради або об'єднаних  територіальних громад, що створені згідно із законом та перспективним планом формування територій громад, застосовується максимальний розмір ставки єдиного податку, для відповідної групи  таких платників єдиного податку - 20 %, що становить 1 4</w:t>
      </w:r>
      <w:r w:rsidR="009E57BB" w:rsidRPr="009E57BB">
        <w:rPr>
          <w:rFonts w:ascii="Times New Roman" w:hAnsi="Times New Roman" w:cs="Times New Roman"/>
          <w:sz w:val="24"/>
          <w:szCs w:val="24"/>
          <w:lang w:val="uk-UA"/>
        </w:rPr>
        <w:t>2</w:t>
      </w:r>
      <w:r w:rsidRPr="009E57BB">
        <w:rPr>
          <w:rFonts w:ascii="Times New Roman" w:hAnsi="Times New Roman" w:cs="Times New Roman"/>
          <w:sz w:val="24"/>
          <w:szCs w:val="24"/>
          <w:lang w:val="uk-UA"/>
        </w:rPr>
        <w:t>0 грн щомісячно.</w:t>
      </w:r>
    </w:p>
    <w:p w:rsidR="000E2C33" w:rsidRPr="00480B0E" w:rsidRDefault="000E2C33" w:rsidP="000E2C33">
      <w:pPr>
        <w:pStyle w:val="a4"/>
        <w:spacing w:after="0" w:line="240" w:lineRule="auto"/>
        <w:ind w:left="0" w:firstLine="567"/>
        <w:jc w:val="both"/>
        <w:rPr>
          <w:rFonts w:ascii="Times New Roman" w:hAnsi="Times New Roman" w:cs="Times New Roman"/>
          <w:sz w:val="24"/>
          <w:szCs w:val="24"/>
          <w:lang w:val="uk-UA"/>
        </w:rPr>
      </w:pPr>
      <w:r w:rsidRPr="009E57BB">
        <w:rPr>
          <w:rFonts w:ascii="Times New Roman" w:hAnsi="Times New Roman" w:cs="Times New Roman"/>
          <w:sz w:val="24"/>
          <w:szCs w:val="24"/>
          <w:lang w:val="uk-UA"/>
        </w:rPr>
        <w:t xml:space="preserve">Для платників єдиного податку 3 та 4 групи ставки визначені Податковим кодексом </w:t>
      </w:r>
      <w:r w:rsidRPr="00480B0E">
        <w:rPr>
          <w:rFonts w:ascii="Times New Roman" w:hAnsi="Times New Roman" w:cs="Times New Roman"/>
          <w:sz w:val="24"/>
          <w:szCs w:val="24"/>
          <w:lang w:val="uk-UA"/>
        </w:rPr>
        <w:t>України.</w:t>
      </w:r>
    </w:p>
    <w:p w:rsidR="000E2C33" w:rsidRPr="00480B0E" w:rsidRDefault="000E2C33" w:rsidP="000E2C33">
      <w:pPr>
        <w:pStyle w:val="a4"/>
        <w:spacing w:after="0" w:line="240" w:lineRule="auto"/>
        <w:ind w:left="0" w:firstLine="567"/>
        <w:jc w:val="both"/>
        <w:rPr>
          <w:rFonts w:ascii="Times New Roman" w:hAnsi="Times New Roman" w:cs="Times New Roman"/>
          <w:sz w:val="24"/>
          <w:szCs w:val="24"/>
          <w:lang w:val="uk-UA"/>
        </w:rPr>
      </w:pPr>
    </w:p>
    <w:p w:rsidR="000E2C33" w:rsidRPr="00480B0E" w:rsidRDefault="000E2C33" w:rsidP="000E2C33">
      <w:pPr>
        <w:pStyle w:val="a4"/>
        <w:spacing w:after="0" w:line="240" w:lineRule="auto"/>
        <w:ind w:left="0" w:firstLine="567"/>
        <w:jc w:val="both"/>
        <w:rPr>
          <w:rFonts w:ascii="Times New Roman" w:hAnsi="Times New Roman" w:cs="Times New Roman"/>
          <w:sz w:val="24"/>
          <w:szCs w:val="24"/>
          <w:lang w:val="uk-UA"/>
        </w:rPr>
      </w:pPr>
      <w:r w:rsidRPr="00480B0E">
        <w:rPr>
          <w:rFonts w:ascii="Times New Roman" w:hAnsi="Times New Roman" w:cs="Times New Roman"/>
          <w:noProof/>
          <w:lang w:val="uk-UA" w:eastAsia="uk-UA"/>
        </w:rPr>
        <w:drawing>
          <wp:inline distT="0" distB="0" distL="0" distR="0" wp14:anchorId="52E034BF" wp14:editId="7E5470EE">
            <wp:extent cx="5583201" cy="1295902"/>
            <wp:effectExtent l="0" t="57150" r="0" b="57150"/>
            <wp:docPr id="18" name="Схема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rsidR="000E2C33" w:rsidRPr="00480B0E" w:rsidRDefault="000E2C33" w:rsidP="000E2C33">
      <w:pPr>
        <w:pStyle w:val="a4"/>
        <w:spacing w:after="0" w:line="240" w:lineRule="auto"/>
        <w:ind w:left="0" w:firstLine="567"/>
        <w:jc w:val="both"/>
        <w:rPr>
          <w:rFonts w:ascii="Times New Roman" w:hAnsi="Times New Roman" w:cs="Times New Roman"/>
          <w:lang w:val="uk-UA"/>
        </w:rPr>
      </w:pPr>
    </w:p>
    <w:p w:rsidR="000E2C33" w:rsidRPr="00545127" w:rsidRDefault="00BD2023" w:rsidP="000E2C33">
      <w:pPr>
        <w:pStyle w:val="a4"/>
        <w:spacing w:after="0"/>
        <w:ind w:left="0"/>
        <w:jc w:val="both"/>
        <w:rPr>
          <w:rFonts w:ascii="Times New Roman" w:hAnsi="Times New Roman" w:cs="Times New Roman"/>
          <w:sz w:val="24"/>
          <w:szCs w:val="24"/>
          <w:highlight w:val="yellow"/>
          <w:lang w:val="uk-UA"/>
        </w:rPr>
      </w:pPr>
      <w:r w:rsidRPr="00273040">
        <w:rPr>
          <w:rFonts w:ascii="Times New Roman" w:hAnsi="Times New Roman" w:cs="Times New Roman"/>
          <w:noProof/>
          <w:sz w:val="24"/>
          <w:szCs w:val="24"/>
          <w:lang w:val="uk-UA" w:eastAsia="uk-UA"/>
        </w:rPr>
        <w:drawing>
          <wp:inline distT="0" distB="0" distL="0" distR="0" wp14:anchorId="374D2993" wp14:editId="2640BD40">
            <wp:extent cx="5874589" cy="2781300"/>
            <wp:effectExtent l="0" t="0" r="1206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0E2C33" w:rsidRPr="00545127" w:rsidRDefault="000E2C33" w:rsidP="000E2C33">
      <w:pPr>
        <w:pStyle w:val="a4"/>
        <w:spacing w:after="0"/>
        <w:ind w:left="0"/>
        <w:jc w:val="both"/>
        <w:rPr>
          <w:rFonts w:ascii="Times New Roman" w:hAnsi="Times New Roman" w:cs="Times New Roman"/>
          <w:sz w:val="24"/>
          <w:szCs w:val="24"/>
          <w:highlight w:val="yellow"/>
          <w:lang w:val="uk-UA"/>
        </w:rPr>
      </w:pPr>
    </w:p>
    <w:p w:rsidR="001C5A9D" w:rsidRDefault="00142591" w:rsidP="00A306C9">
      <w:pPr>
        <w:spacing w:line="240" w:lineRule="auto"/>
        <w:contextualSpacing/>
        <w:jc w:val="both"/>
        <w:rPr>
          <w:rFonts w:ascii="Times New Roman" w:hAnsi="Times New Roman"/>
          <w:sz w:val="24"/>
          <w:lang w:val="uk-UA"/>
        </w:rPr>
      </w:pPr>
      <w:r w:rsidRPr="00AB305B">
        <w:rPr>
          <w:noProof/>
          <w:lang w:val="uk-UA"/>
        </w:rPr>
        <w:t xml:space="preserve">  </w:t>
      </w:r>
      <w:r w:rsidR="00AB305B">
        <w:rPr>
          <w:noProof/>
          <w:lang w:val="uk-UA"/>
        </w:rPr>
        <w:t xml:space="preserve">           </w:t>
      </w:r>
      <w:r w:rsidR="000E2C33" w:rsidRPr="00AB305B">
        <w:rPr>
          <w:rFonts w:ascii="Times New Roman" w:hAnsi="Times New Roman"/>
          <w:b/>
          <w:lang w:val="uk-UA"/>
        </w:rPr>
        <w:t>Адміністративні штрафи та інші санкції (ККДБ 21081100)</w:t>
      </w:r>
      <w:r w:rsidR="001C5A9D">
        <w:rPr>
          <w:rFonts w:ascii="Times New Roman" w:hAnsi="Times New Roman"/>
          <w:b/>
          <w:lang w:val="uk-UA"/>
        </w:rPr>
        <w:t xml:space="preserve"> </w:t>
      </w:r>
      <w:r w:rsidR="001C5A9D" w:rsidRPr="00A306C9">
        <w:rPr>
          <w:rFonts w:ascii="Times New Roman" w:hAnsi="Times New Roman"/>
          <w:lang w:val="uk-UA"/>
        </w:rPr>
        <w:t>на 2024 рік</w:t>
      </w:r>
      <w:r w:rsidR="001C5A9D">
        <w:rPr>
          <w:rFonts w:ascii="Times New Roman" w:hAnsi="Times New Roman"/>
          <w:b/>
          <w:lang w:val="uk-UA"/>
        </w:rPr>
        <w:t xml:space="preserve"> </w:t>
      </w:r>
      <w:r w:rsidR="000E2C33" w:rsidRPr="00AB305B">
        <w:rPr>
          <w:rFonts w:ascii="Times New Roman" w:hAnsi="Times New Roman"/>
          <w:lang w:val="uk-UA"/>
        </w:rPr>
        <w:t xml:space="preserve"> </w:t>
      </w:r>
      <w:r w:rsidR="003D5656">
        <w:rPr>
          <w:rFonts w:ascii="Times New Roman" w:hAnsi="Times New Roman"/>
          <w:sz w:val="24"/>
          <w:lang w:val="uk-UA"/>
        </w:rPr>
        <w:t xml:space="preserve">розраховані у </w:t>
      </w:r>
      <w:r w:rsidR="001C5A9D">
        <w:rPr>
          <w:rFonts w:ascii="Times New Roman" w:hAnsi="Times New Roman"/>
          <w:sz w:val="24"/>
          <w:lang w:val="uk-UA"/>
        </w:rPr>
        <w:t xml:space="preserve">                </w:t>
      </w:r>
      <w:r w:rsidR="003D5656">
        <w:rPr>
          <w:rFonts w:ascii="Times New Roman" w:hAnsi="Times New Roman"/>
          <w:sz w:val="24"/>
          <w:lang w:val="uk-UA"/>
        </w:rPr>
        <w:t>сумі</w:t>
      </w:r>
      <w:r w:rsidR="000E2C33" w:rsidRPr="00AB305B">
        <w:rPr>
          <w:rFonts w:ascii="Times New Roman" w:hAnsi="Times New Roman"/>
          <w:sz w:val="24"/>
          <w:lang w:val="uk-UA"/>
        </w:rPr>
        <w:t xml:space="preserve"> </w:t>
      </w:r>
      <w:r w:rsidR="00CC6A68">
        <w:rPr>
          <w:rFonts w:ascii="Times New Roman" w:hAnsi="Times New Roman"/>
          <w:sz w:val="24"/>
          <w:lang w:val="uk-UA"/>
        </w:rPr>
        <w:t>170,0 тис.</w:t>
      </w:r>
      <w:r w:rsidR="000E2C33" w:rsidRPr="00AB305B">
        <w:rPr>
          <w:rFonts w:ascii="Times New Roman" w:hAnsi="Times New Roman"/>
          <w:sz w:val="24"/>
          <w:lang w:val="uk-UA"/>
        </w:rPr>
        <w:t xml:space="preserve"> грн</w:t>
      </w:r>
      <w:r w:rsidR="001C5A9D">
        <w:rPr>
          <w:rFonts w:ascii="Times New Roman" w:hAnsi="Times New Roman"/>
          <w:sz w:val="24"/>
          <w:lang w:val="uk-UA"/>
        </w:rPr>
        <w:t>.</w:t>
      </w:r>
      <w:r w:rsidR="000E2C33" w:rsidRPr="00AB305B">
        <w:rPr>
          <w:rFonts w:ascii="Times New Roman" w:hAnsi="Times New Roman"/>
          <w:sz w:val="24"/>
          <w:lang w:val="uk-UA"/>
        </w:rPr>
        <w:t xml:space="preserve"> </w:t>
      </w:r>
    </w:p>
    <w:p w:rsidR="001C5A9D" w:rsidRPr="00AB305B" w:rsidRDefault="001C5A9D" w:rsidP="00A306C9">
      <w:pPr>
        <w:spacing w:line="240" w:lineRule="auto"/>
        <w:ind w:firstLine="567"/>
        <w:contextualSpacing/>
        <w:jc w:val="both"/>
        <w:rPr>
          <w:noProof/>
          <w:highlight w:val="yellow"/>
          <w:lang w:val="uk-UA" w:eastAsia="ru-RU"/>
        </w:rPr>
      </w:pPr>
      <w:r w:rsidRPr="00AF7E21">
        <w:rPr>
          <w:rFonts w:ascii="Times New Roman" w:hAnsi="Times New Roman"/>
          <w:sz w:val="24"/>
          <w:lang w:val="uk-UA"/>
        </w:rPr>
        <w:t>Відповідно до п.</w:t>
      </w:r>
      <w:r w:rsidR="006334EE">
        <w:rPr>
          <w:rFonts w:ascii="Times New Roman" w:hAnsi="Times New Roman"/>
          <w:sz w:val="24"/>
          <w:lang w:val="uk-UA"/>
        </w:rPr>
        <w:t xml:space="preserve"> </w:t>
      </w:r>
      <w:r w:rsidRPr="00AF7E21">
        <w:rPr>
          <w:rFonts w:ascii="Times New Roman" w:hAnsi="Times New Roman"/>
          <w:sz w:val="24"/>
          <w:lang w:val="uk-UA"/>
        </w:rPr>
        <w:t>п. 38 п. 1 статті 64 глави 11 розділу III Бюджетного кодексу України надходження адміністративних штрафів, що накладаються місцевими органами виконавчої влади та виконавчими органами місцевих рад або утвореними ними в установленому порядку адміністративними комісіями, входить до складу доходів загального  фонду місцевого бюджету.</w:t>
      </w:r>
    </w:p>
    <w:p w:rsidR="00A306C9" w:rsidRDefault="000E2C33" w:rsidP="000E2C33">
      <w:pPr>
        <w:pStyle w:val="a5"/>
        <w:ind w:firstLine="567"/>
        <w:rPr>
          <w:rFonts w:ascii="Times New Roman" w:hAnsi="Times New Roman"/>
        </w:rPr>
      </w:pPr>
      <w:r w:rsidRPr="00EA45A3">
        <w:rPr>
          <w:rFonts w:ascii="Times New Roman" w:hAnsi="Times New Roman"/>
          <w:b/>
        </w:rPr>
        <w:t xml:space="preserve"> Адміністративні штрафи та інші санкції за порушення законодавства у сфері виробництва та обігу алкогольних напоїв та тютюнових виробів (ККДБ 21081500</w:t>
      </w:r>
      <w:r w:rsidRPr="00A306C9">
        <w:rPr>
          <w:rFonts w:ascii="Times New Roman" w:hAnsi="Times New Roman"/>
          <w:b/>
        </w:rPr>
        <w:t xml:space="preserve">) </w:t>
      </w:r>
      <w:r w:rsidRPr="00A306C9">
        <w:rPr>
          <w:rFonts w:ascii="Times New Roman" w:hAnsi="Times New Roman"/>
        </w:rPr>
        <w:t>на       202</w:t>
      </w:r>
      <w:r w:rsidR="00EA45A3" w:rsidRPr="00A306C9">
        <w:rPr>
          <w:rFonts w:ascii="Times New Roman" w:hAnsi="Times New Roman"/>
        </w:rPr>
        <w:t>4</w:t>
      </w:r>
      <w:r w:rsidRPr="00A306C9">
        <w:rPr>
          <w:rFonts w:ascii="Times New Roman" w:hAnsi="Times New Roman"/>
        </w:rPr>
        <w:t xml:space="preserve"> рік </w:t>
      </w:r>
      <w:r w:rsidRPr="00EA45A3">
        <w:rPr>
          <w:rFonts w:ascii="Times New Roman" w:hAnsi="Times New Roman"/>
        </w:rPr>
        <w:t xml:space="preserve">заплановані в сумі </w:t>
      </w:r>
      <w:r w:rsidR="00EA45A3" w:rsidRPr="00EA45A3">
        <w:rPr>
          <w:rFonts w:ascii="Times New Roman" w:hAnsi="Times New Roman"/>
        </w:rPr>
        <w:t>450</w:t>
      </w:r>
      <w:r w:rsidR="00C363D2">
        <w:rPr>
          <w:rFonts w:ascii="Times New Roman" w:hAnsi="Times New Roman"/>
        </w:rPr>
        <w:t>,</w:t>
      </w:r>
      <w:r w:rsidRPr="00EA45A3">
        <w:rPr>
          <w:rFonts w:ascii="Times New Roman" w:hAnsi="Times New Roman"/>
        </w:rPr>
        <w:t xml:space="preserve"> 0</w:t>
      </w:r>
      <w:r w:rsidR="00C363D2">
        <w:rPr>
          <w:rFonts w:ascii="Times New Roman" w:hAnsi="Times New Roman"/>
        </w:rPr>
        <w:t xml:space="preserve"> тис. </w:t>
      </w:r>
      <w:r w:rsidRPr="00EA45A3">
        <w:rPr>
          <w:rFonts w:ascii="Times New Roman" w:hAnsi="Times New Roman"/>
        </w:rPr>
        <w:t xml:space="preserve">грн виходячи із динаміки надходжень за попередні  роки. </w:t>
      </w:r>
    </w:p>
    <w:p w:rsidR="00C363D2" w:rsidRPr="00EA45A3" w:rsidRDefault="00C363D2" w:rsidP="000E2C33">
      <w:pPr>
        <w:pStyle w:val="a5"/>
        <w:ind w:firstLine="567"/>
        <w:rPr>
          <w:rFonts w:ascii="Times New Roman" w:hAnsi="Times New Roman"/>
        </w:rPr>
      </w:pPr>
    </w:p>
    <w:p w:rsidR="000E2C33" w:rsidRPr="00EA45A3" w:rsidRDefault="000E2C33" w:rsidP="00AD2D0D">
      <w:pPr>
        <w:pStyle w:val="a5"/>
        <w:ind w:firstLine="567"/>
        <w:rPr>
          <w:rFonts w:ascii="Times New Roman" w:hAnsi="Times New Roman"/>
        </w:rPr>
      </w:pPr>
      <w:r w:rsidRPr="00EA45A3">
        <w:rPr>
          <w:rFonts w:ascii="Times New Roman" w:hAnsi="Times New Roman"/>
          <w:b/>
        </w:rPr>
        <w:t xml:space="preserve">Плата за надання адміністративних послуг (ККДБ 22010000) </w:t>
      </w:r>
      <w:r w:rsidRPr="00EA45A3">
        <w:rPr>
          <w:rFonts w:ascii="Times New Roman" w:hAnsi="Times New Roman"/>
        </w:rPr>
        <w:t>на 202</w:t>
      </w:r>
      <w:r w:rsidR="00EA45A3" w:rsidRPr="00EA45A3">
        <w:rPr>
          <w:rFonts w:ascii="Times New Roman" w:hAnsi="Times New Roman"/>
        </w:rPr>
        <w:t>4</w:t>
      </w:r>
      <w:r w:rsidR="00303DB5">
        <w:rPr>
          <w:rFonts w:ascii="Times New Roman" w:hAnsi="Times New Roman"/>
        </w:rPr>
        <w:t xml:space="preserve"> </w:t>
      </w:r>
      <w:r w:rsidRPr="00EA45A3">
        <w:rPr>
          <w:rFonts w:ascii="Times New Roman" w:hAnsi="Times New Roman"/>
        </w:rPr>
        <w:t>р</w:t>
      </w:r>
      <w:r w:rsidR="00303DB5">
        <w:rPr>
          <w:rFonts w:ascii="Times New Roman" w:hAnsi="Times New Roman"/>
        </w:rPr>
        <w:t>ік</w:t>
      </w:r>
      <w:r w:rsidRPr="00EA45A3">
        <w:rPr>
          <w:rFonts w:ascii="Times New Roman" w:hAnsi="Times New Roman"/>
        </w:rPr>
        <w:t xml:space="preserve"> визначена у сумі </w:t>
      </w:r>
      <w:r w:rsidR="00EA45A3" w:rsidRPr="00EA45A3">
        <w:rPr>
          <w:rFonts w:ascii="Times New Roman" w:hAnsi="Times New Roman"/>
        </w:rPr>
        <w:t>7</w:t>
      </w:r>
      <w:r w:rsidR="00E20796">
        <w:rPr>
          <w:rFonts w:ascii="Times New Roman" w:hAnsi="Times New Roman"/>
        </w:rPr>
        <w:t> </w:t>
      </w:r>
      <w:r w:rsidR="00EA45A3" w:rsidRPr="00EA45A3">
        <w:rPr>
          <w:rFonts w:ascii="Times New Roman" w:hAnsi="Times New Roman"/>
        </w:rPr>
        <w:t>365</w:t>
      </w:r>
      <w:r w:rsidR="00E20796">
        <w:rPr>
          <w:rFonts w:ascii="Times New Roman" w:hAnsi="Times New Roman"/>
        </w:rPr>
        <w:t>,0 тис.</w:t>
      </w:r>
      <w:r w:rsidRPr="00EA45A3">
        <w:rPr>
          <w:rFonts w:ascii="Times New Roman" w:hAnsi="Times New Roman"/>
        </w:rPr>
        <w:t xml:space="preserve"> грн.</w:t>
      </w:r>
    </w:p>
    <w:p w:rsidR="000E2C33" w:rsidRPr="00D71A61" w:rsidRDefault="000E2C33" w:rsidP="00AD2D0D">
      <w:pPr>
        <w:pStyle w:val="a5"/>
        <w:ind w:firstLine="567"/>
        <w:rPr>
          <w:rFonts w:ascii="Times New Roman" w:hAnsi="Times New Roman"/>
        </w:rPr>
      </w:pPr>
      <w:r w:rsidRPr="00D71A61">
        <w:rPr>
          <w:rFonts w:ascii="Times New Roman" w:hAnsi="Times New Roman"/>
        </w:rPr>
        <w:lastRenderedPageBreak/>
        <w:t xml:space="preserve">Адміністративні послуги юридичним та фізичним особам надаються через Центр надання адміністративних послуг, створений у складі виконавчого комітету Чорноморської міської ради Одеської області. </w:t>
      </w:r>
    </w:p>
    <w:p w:rsidR="000E2C33" w:rsidRPr="00D71A61" w:rsidRDefault="000E2C33" w:rsidP="00AD2D0D">
      <w:pPr>
        <w:pStyle w:val="a5"/>
        <w:ind w:firstLine="567"/>
        <w:rPr>
          <w:rFonts w:ascii="Times New Roman" w:hAnsi="Times New Roman"/>
        </w:rPr>
      </w:pPr>
      <w:r w:rsidRPr="00D71A61">
        <w:rPr>
          <w:rFonts w:ascii="Times New Roman" w:hAnsi="Times New Roman"/>
        </w:rPr>
        <w:t>Фахівцями Центру надається 5</w:t>
      </w:r>
      <w:r w:rsidR="00D71A61" w:rsidRPr="00D71A61">
        <w:rPr>
          <w:rFonts w:ascii="Times New Roman" w:hAnsi="Times New Roman"/>
        </w:rPr>
        <w:t>04</w:t>
      </w:r>
      <w:r w:rsidR="0071554E">
        <w:rPr>
          <w:rFonts w:ascii="Times New Roman" w:hAnsi="Times New Roman"/>
        </w:rPr>
        <w:t xml:space="preserve"> види</w:t>
      </w:r>
      <w:r w:rsidRPr="00D71A61">
        <w:rPr>
          <w:rFonts w:ascii="Times New Roman" w:hAnsi="Times New Roman"/>
        </w:rPr>
        <w:t xml:space="preserve"> адміністративних  послуг.</w:t>
      </w:r>
    </w:p>
    <w:p w:rsidR="000E2C33" w:rsidRPr="00D71A61" w:rsidRDefault="000E2C33" w:rsidP="00AD2D0D">
      <w:pPr>
        <w:pStyle w:val="a5"/>
        <w:ind w:firstLine="567"/>
        <w:rPr>
          <w:rFonts w:ascii="Times New Roman" w:hAnsi="Times New Roman"/>
        </w:rPr>
      </w:pPr>
      <w:r w:rsidRPr="00D71A61">
        <w:rPr>
          <w:rFonts w:ascii="Times New Roman" w:hAnsi="Times New Roman"/>
        </w:rPr>
        <w:t>Структуру надходжень  за надання адміністративних послуг в основному формують:</w:t>
      </w:r>
    </w:p>
    <w:p w:rsidR="000E2C33" w:rsidRPr="00D71A61" w:rsidRDefault="000E2C33" w:rsidP="00AD2D0D">
      <w:pPr>
        <w:pStyle w:val="a5"/>
        <w:ind w:firstLine="567"/>
        <w:rPr>
          <w:rFonts w:ascii="Times New Roman" w:hAnsi="Times New Roman"/>
        </w:rPr>
      </w:pPr>
      <w:r w:rsidRPr="00D71A61">
        <w:rPr>
          <w:rFonts w:ascii="Times New Roman" w:hAnsi="Times New Roman"/>
        </w:rPr>
        <w:t>- послуги, що надаються Державною міграційною службою, які пов`язані з оформленням паспортів;</w:t>
      </w:r>
    </w:p>
    <w:p w:rsidR="000E2C33" w:rsidRPr="00D71A61" w:rsidRDefault="000E2C33" w:rsidP="00AD2D0D">
      <w:pPr>
        <w:pStyle w:val="a5"/>
        <w:ind w:firstLine="567"/>
        <w:rPr>
          <w:rFonts w:ascii="Times New Roman" w:hAnsi="Times New Roman"/>
        </w:rPr>
      </w:pPr>
      <w:r w:rsidRPr="00D71A61">
        <w:rPr>
          <w:rFonts w:ascii="Times New Roman" w:hAnsi="Times New Roman"/>
        </w:rPr>
        <w:t>-  послуги за отримання витягів з Державного земельного кадастру;</w:t>
      </w:r>
    </w:p>
    <w:p w:rsidR="000E2C33" w:rsidRPr="00D71A61" w:rsidRDefault="000E2C33" w:rsidP="00AD2D0D">
      <w:pPr>
        <w:pStyle w:val="a5"/>
        <w:ind w:firstLine="567"/>
        <w:rPr>
          <w:rFonts w:ascii="Times New Roman" w:hAnsi="Times New Roman"/>
        </w:rPr>
      </w:pPr>
      <w:r w:rsidRPr="00D71A61">
        <w:rPr>
          <w:rFonts w:ascii="Times New Roman" w:hAnsi="Times New Roman"/>
        </w:rPr>
        <w:t>- реєстрація, зняття з реєстрації місця проживання;</w:t>
      </w:r>
    </w:p>
    <w:p w:rsidR="000E2C33" w:rsidRPr="00D71A61" w:rsidRDefault="000E2C33" w:rsidP="00AD2D0D">
      <w:pPr>
        <w:pStyle w:val="a5"/>
        <w:ind w:firstLine="567"/>
        <w:rPr>
          <w:rFonts w:ascii="Times New Roman" w:hAnsi="Times New Roman"/>
        </w:rPr>
      </w:pPr>
      <w:r w:rsidRPr="00D71A61">
        <w:rPr>
          <w:rFonts w:ascii="Times New Roman" w:hAnsi="Times New Roman"/>
        </w:rPr>
        <w:t>- реєстрація речових прав на нерухоме майно та їх обтяжень;</w:t>
      </w:r>
    </w:p>
    <w:p w:rsidR="000E2C33" w:rsidRPr="00D71A61" w:rsidRDefault="000E2C33" w:rsidP="00AD2D0D">
      <w:pPr>
        <w:pStyle w:val="a5"/>
        <w:ind w:firstLine="567"/>
        <w:rPr>
          <w:rFonts w:ascii="Times New Roman" w:hAnsi="Times New Roman"/>
        </w:rPr>
      </w:pPr>
      <w:r w:rsidRPr="00D71A61">
        <w:rPr>
          <w:rFonts w:ascii="Times New Roman" w:hAnsi="Times New Roman"/>
        </w:rPr>
        <w:t>- проведення державної реєстрації юридичних осіб, фізичних осіб - підприємців та громадських формувань;</w:t>
      </w:r>
    </w:p>
    <w:p w:rsidR="000E2C33" w:rsidRPr="00545127" w:rsidRDefault="000E2C33" w:rsidP="00AD2D0D">
      <w:pPr>
        <w:pStyle w:val="a5"/>
        <w:ind w:firstLine="567"/>
        <w:rPr>
          <w:rFonts w:ascii="Times New Roman" w:hAnsi="Times New Roman"/>
          <w:highlight w:val="yellow"/>
        </w:rPr>
      </w:pPr>
    </w:p>
    <w:p w:rsidR="00AD2D0D" w:rsidRPr="00545127" w:rsidRDefault="00AD2D0D" w:rsidP="00AD2D0D">
      <w:pPr>
        <w:pStyle w:val="a5"/>
        <w:ind w:firstLine="567"/>
        <w:rPr>
          <w:rFonts w:ascii="Times New Roman" w:hAnsi="Times New Roman"/>
          <w:highlight w:val="yellow"/>
        </w:rPr>
      </w:pPr>
    </w:p>
    <w:p w:rsidR="000E2C33" w:rsidRPr="008A22EE" w:rsidRDefault="000E2C33" w:rsidP="000E2C33">
      <w:pPr>
        <w:pStyle w:val="a5"/>
        <w:spacing w:line="276" w:lineRule="auto"/>
        <w:rPr>
          <w:rFonts w:ascii="Times New Roman" w:hAnsi="Times New Roman"/>
        </w:rPr>
      </w:pPr>
      <w:r w:rsidRPr="008A22EE">
        <w:rPr>
          <w:rFonts w:ascii="Times New Roman" w:hAnsi="Times New Roman"/>
          <w:noProof/>
          <w:lang w:eastAsia="uk-UA"/>
        </w:rPr>
        <mc:AlternateContent>
          <mc:Choice Requires="wps">
            <w:drawing>
              <wp:anchor distT="0" distB="0" distL="114300" distR="114300" simplePos="0" relativeHeight="251730944" behindDoc="0" locked="0" layoutInCell="1" allowOverlap="1" wp14:anchorId="38941D44" wp14:editId="25338742">
                <wp:simplePos x="0" y="0"/>
                <wp:positionH relativeFrom="column">
                  <wp:posOffset>805180</wp:posOffset>
                </wp:positionH>
                <wp:positionV relativeFrom="paragraph">
                  <wp:posOffset>2185670</wp:posOffset>
                </wp:positionV>
                <wp:extent cx="1038225" cy="723900"/>
                <wp:effectExtent l="0" t="0" r="9525" b="0"/>
                <wp:wrapNone/>
                <wp:docPr id="21"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8225" cy="723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E5C4EB" id="AutoShape 131" o:spid="_x0000_s1026" type="#_x0000_t32" style="position:absolute;margin-left:63.4pt;margin-top:172.1pt;width:81.75pt;height:5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"/>
            </w:pict>
          </mc:Fallback>
        </mc:AlternateContent>
      </w:r>
      <w:r w:rsidRPr="008A22EE">
        <w:rPr>
          <w:rFonts w:ascii="Times New Roman" w:hAnsi="Times New Roman"/>
          <w:noProof/>
          <w:lang w:eastAsia="uk-UA"/>
        </w:rPr>
        <w:drawing>
          <wp:inline distT="0" distB="0" distL="0" distR="0" wp14:anchorId="44D8A261" wp14:editId="45DA2DF1">
            <wp:extent cx="6019800" cy="4086225"/>
            <wp:effectExtent l="0" t="0" r="0" b="9525"/>
            <wp:docPr id="1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EA45A3" w:rsidRDefault="00EA45A3" w:rsidP="000E2C33">
      <w:pPr>
        <w:pStyle w:val="a5"/>
        <w:ind w:firstLine="567"/>
        <w:rPr>
          <w:rFonts w:ascii="Times New Roman" w:hAnsi="Times New Roman"/>
          <w:b/>
          <w:szCs w:val="24"/>
          <w:highlight w:val="yellow"/>
        </w:rPr>
      </w:pPr>
    </w:p>
    <w:p w:rsidR="00EA45A3" w:rsidRDefault="00EA45A3" w:rsidP="000E2C33">
      <w:pPr>
        <w:pStyle w:val="a5"/>
        <w:ind w:firstLine="567"/>
        <w:rPr>
          <w:rFonts w:ascii="Times New Roman" w:hAnsi="Times New Roman"/>
          <w:b/>
          <w:szCs w:val="24"/>
          <w:highlight w:val="yellow"/>
        </w:rPr>
      </w:pPr>
    </w:p>
    <w:p w:rsidR="000E2C33" w:rsidRPr="00811EB5" w:rsidRDefault="000E2C33" w:rsidP="000E2C33">
      <w:pPr>
        <w:pStyle w:val="a5"/>
        <w:ind w:firstLine="567"/>
        <w:rPr>
          <w:rFonts w:ascii="Times New Roman" w:hAnsi="Times New Roman"/>
          <w:szCs w:val="24"/>
        </w:rPr>
      </w:pPr>
      <w:r w:rsidRPr="00811EB5">
        <w:rPr>
          <w:rFonts w:ascii="Times New Roman" w:hAnsi="Times New Roman"/>
          <w:b/>
          <w:szCs w:val="24"/>
        </w:rPr>
        <w:t>Надходження від орендної плати</w:t>
      </w:r>
      <w:r w:rsidRPr="00811EB5">
        <w:rPr>
          <w:rFonts w:ascii="Times New Roman" w:hAnsi="Times New Roman"/>
          <w:szCs w:val="24"/>
        </w:rPr>
        <w:t xml:space="preserve"> за користування цілісним майновим комплексом та іншим майном, що перебуває в комунальній власності, </w:t>
      </w:r>
      <w:r w:rsidRPr="00811EB5">
        <w:rPr>
          <w:rFonts w:ascii="Times New Roman" w:hAnsi="Times New Roman"/>
          <w:b/>
          <w:szCs w:val="24"/>
        </w:rPr>
        <w:t>(код 22080400)</w:t>
      </w:r>
      <w:r w:rsidR="00E20796" w:rsidRPr="00811EB5">
        <w:rPr>
          <w:rFonts w:ascii="Times New Roman" w:hAnsi="Times New Roman"/>
          <w:szCs w:val="24"/>
        </w:rPr>
        <w:t xml:space="preserve"> на 2024</w:t>
      </w:r>
      <w:r w:rsidRPr="00811EB5">
        <w:rPr>
          <w:rFonts w:ascii="Times New Roman" w:hAnsi="Times New Roman"/>
          <w:szCs w:val="24"/>
        </w:rPr>
        <w:t xml:space="preserve"> рік прогнозується в розмірі </w:t>
      </w:r>
      <w:r w:rsidR="00811EB5">
        <w:rPr>
          <w:rFonts w:ascii="Times New Roman" w:hAnsi="Times New Roman"/>
          <w:szCs w:val="24"/>
        </w:rPr>
        <w:t>4 000,0</w:t>
      </w:r>
      <w:r w:rsidR="00E20796" w:rsidRPr="00811EB5">
        <w:rPr>
          <w:rFonts w:ascii="Times New Roman" w:hAnsi="Times New Roman"/>
          <w:szCs w:val="24"/>
        </w:rPr>
        <w:t xml:space="preserve"> тис.</w:t>
      </w:r>
      <w:r w:rsidR="0017163E">
        <w:rPr>
          <w:rFonts w:ascii="Times New Roman" w:hAnsi="Times New Roman"/>
          <w:szCs w:val="24"/>
        </w:rPr>
        <w:t xml:space="preserve"> </w:t>
      </w:r>
      <w:r w:rsidR="00E20796" w:rsidRPr="00811EB5">
        <w:rPr>
          <w:rFonts w:ascii="Times New Roman" w:hAnsi="Times New Roman"/>
          <w:szCs w:val="24"/>
        </w:rPr>
        <w:t>грн.</w:t>
      </w:r>
      <w:r w:rsidRPr="00811EB5">
        <w:rPr>
          <w:rFonts w:ascii="Times New Roman" w:hAnsi="Times New Roman"/>
          <w:szCs w:val="24"/>
        </w:rPr>
        <w:t xml:space="preserve"> </w:t>
      </w:r>
    </w:p>
    <w:p w:rsidR="000E2C33" w:rsidRPr="00811EB5" w:rsidRDefault="000E2C33" w:rsidP="000E2C33">
      <w:pPr>
        <w:pStyle w:val="a5"/>
        <w:ind w:firstLine="567"/>
        <w:rPr>
          <w:rFonts w:ascii="Times New Roman" w:hAnsi="Times New Roman"/>
          <w:szCs w:val="24"/>
        </w:rPr>
      </w:pPr>
      <w:r w:rsidRPr="00811EB5">
        <w:rPr>
          <w:rFonts w:ascii="Times New Roman" w:hAnsi="Times New Roman"/>
          <w:szCs w:val="24"/>
        </w:rPr>
        <w:t>Рішенням Чорноморської міської ради Одеської області від 08.06.2018р. № 341-VIІ встановлено пропорції розподілу орендної плати між міським бюджетом, орендодавцем і балансоутримувачем у співвідношенні:</w:t>
      </w:r>
    </w:p>
    <w:p w:rsidR="000E2C33" w:rsidRPr="00811EB5" w:rsidRDefault="000E2C33" w:rsidP="000E2C33">
      <w:pPr>
        <w:pStyle w:val="a5"/>
        <w:ind w:firstLine="567"/>
        <w:rPr>
          <w:rFonts w:ascii="Times New Roman" w:hAnsi="Times New Roman"/>
          <w:szCs w:val="24"/>
        </w:rPr>
      </w:pPr>
      <w:r w:rsidRPr="00811EB5">
        <w:rPr>
          <w:rFonts w:ascii="Times New Roman" w:hAnsi="Times New Roman"/>
          <w:szCs w:val="24"/>
        </w:rPr>
        <w:t>- за окреме індивідуально визначене майно підприємства, організації (крім нерухомого) - 100 відсотків підприємству, організації;</w:t>
      </w:r>
    </w:p>
    <w:p w:rsidR="000E2C33" w:rsidRPr="00811EB5" w:rsidRDefault="000E2C33" w:rsidP="000E2C33">
      <w:pPr>
        <w:pStyle w:val="a5"/>
        <w:ind w:firstLine="567"/>
        <w:rPr>
          <w:rFonts w:ascii="Times New Roman" w:hAnsi="Times New Roman"/>
          <w:szCs w:val="24"/>
        </w:rPr>
      </w:pPr>
      <w:r w:rsidRPr="00811EB5">
        <w:rPr>
          <w:rFonts w:ascii="Times New Roman" w:hAnsi="Times New Roman"/>
          <w:szCs w:val="24"/>
        </w:rPr>
        <w:t>- за цілісні майнові комплекси комунальних підприємств, структурних підрозділів підприємств, організацій, нерухоме майно:</w:t>
      </w:r>
    </w:p>
    <w:p w:rsidR="000E2C33" w:rsidRPr="00811EB5" w:rsidRDefault="000E2C33" w:rsidP="000E2C33">
      <w:pPr>
        <w:pStyle w:val="a5"/>
        <w:ind w:firstLine="567"/>
        <w:rPr>
          <w:rFonts w:ascii="Times New Roman" w:hAnsi="Times New Roman"/>
          <w:szCs w:val="24"/>
        </w:rPr>
      </w:pPr>
      <w:r w:rsidRPr="00811EB5">
        <w:rPr>
          <w:rFonts w:ascii="Times New Roman" w:hAnsi="Times New Roman"/>
          <w:szCs w:val="24"/>
        </w:rPr>
        <w:t>- 70 відсотків орендної плати підприємству, організацій;</w:t>
      </w:r>
    </w:p>
    <w:p w:rsidR="000E2C33" w:rsidRPr="00811EB5" w:rsidRDefault="000E2C33" w:rsidP="000E2C33">
      <w:pPr>
        <w:pStyle w:val="a5"/>
        <w:ind w:firstLine="567"/>
        <w:rPr>
          <w:rFonts w:ascii="Times New Roman" w:hAnsi="Times New Roman"/>
          <w:szCs w:val="24"/>
        </w:rPr>
      </w:pPr>
      <w:r w:rsidRPr="00811EB5">
        <w:rPr>
          <w:rFonts w:ascii="Times New Roman" w:hAnsi="Times New Roman"/>
          <w:szCs w:val="24"/>
        </w:rPr>
        <w:t>- 30 відсотків - до міського бюджету;</w:t>
      </w:r>
    </w:p>
    <w:p w:rsidR="000E2C33" w:rsidRPr="00811EB5" w:rsidRDefault="000E2C33" w:rsidP="000E2C33">
      <w:pPr>
        <w:pStyle w:val="a5"/>
        <w:ind w:firstLine="567"/>
        <w:rPr>
          <w:rFonts w:ascii="Times New Roman" w:hAnsi="Times New Roman"/>
          <w:szCs w:val="24"/>
        </w:rPr>
      </w:pPr>
      <w:r w:rsidRPr="00811EB5">
        <w:rPr>
          <w:rFonts w:ascii="Times New Roman" w:hAnsi="Times New Roman"/>
          <w:szCs w:val="24"/>
        </w:rPr>
        <w:t>- за нерухоме майно:</w:t>
      </w:r>
    </w:p>
    <w:p w:rsidR="000E2C33" w:rsidRPr="00811EB5" w:rsidRDefault="000E2C33" w:rsidP="000E2C33">
      <w:pPr>
        <w:pStyle w:val="a5"/>
        <w:ind w:firstLine="567"/>
        <w:rPr>
          <w:rFonts w:ascii="Times New Roman" w:hAnsi="Times New Roman"/>
          <w:szCs w:val="24"/>
        </w:rPr>
      </w:pPr>
      <w:r w:rsidRPr="00811EB5">
        <w:rPr>
          <w:rFonts w:ascii="Times New Roman" w:hAnsi="Times New Roman"/>
          <w:szCs w:val="24"/>
        </w:rPr>
        <w:t xml:space="preserve">- що знаходиться на балансі виконавчих органів Чорноморської міської ради Одеської області - 100 % на відповідні рахунки виконавчих органів Чорноморської міської ради </w:t>
      </w:r>
      <w:r w:rsidRPr="00811EB5">
        <w:rPr>
          <w:rFonts w:ascii="Times New Roman" w:hAnsi="Times New Roman"/>
          <w:szCs w:val="24"/>
        </w:rPr>
        <w:lastRenderedPageBreak/>
        <w:t xml:space="preserve">Одеської області, відкритих в територіальному органі державної казначейської служби України, як власні надходження. </w:t>
      </w:r>
    </w:p>
    <w:p w:rsidR="000E2C33" w:rsidRPr="00811EB5" w:rsidRDefault="000E2C33" w:rsidP="000E2C33">
      <w:pPr>
        <w:pStyle w:val="a5"/>
        <w:ind w:firstLine="567"/>
        <w:rPr>
          <w:rFonts w:ascii="Times New Roman" w:hAnsi="Times New Roman"/>
          <w:szCs w:val="24"/>
        </w:rPr>
      </w:pPr>
      <w:r w:rsidRPr="00811EB5">
        <w:rPr>
          <w:rFonts w:ascii="Times New Roman" w:hAnsi="Times New Roman"/>
          <w:szCs w:val="24"/>
        </w:rPr>
        <w:t>- яке знаходиться на балансі управління комунальної власності та земельних відносин Чорноморської міської ради Одеської області - 100 % до міського бюджету.</w:t>
      </w:r>
    </w:p>
    <w:p w:rsidR="000E2C33" w:rsidRPr="00811EB5" w:rsidRDefault="000E2C33" w:rsidP="000E2C33">
      <w:pPr>
        <w:pStyle w:val="a5"/>
        <w:ind w:firstLine="567"/>
        <w:rPr>
          <w:rFonts w:ascii="Times New Roman" w:hAnsi="Times New Roman"/>
          <w:szCs w:val="24"/>
        </w:rPr>
      </w:pPr>
      <w:r w:rsidRPr="00811EB5">
        <w:rPr>
          <w:rFonts w:ascii="Times New Roman" w:hAnsi="Times New Roman"/>
          <w:szCs w:val="24"/>
        </w:rPr>
        <w:t xml:space="preserve">Відповідно до Закону України </w:t>
      </w:r>
      <w:r w:rsidR="00DE1743" w:rsidRPr="00811EB5">
        <w:rPr>
          <w:rFonts w:ascii="Times New Roman" w:hAnsi="Times New Roman"/>
          <w:szCs w:val="24"/>
        </w:rPr>
        <w:t>«</w:t>
      </w:r>
      <w:r w:rsidRPr="00811EB5">
        <w:rPr>
          <w:rFonts w:ascii="Times New Roman" w:hAnsi="Times New Roman"/>
          <w:szCs w:val="24"/>
        </w:rPr>
        <w:t>Про оренду державного та комунального майна</w:t>
      </w:r>
      <w:r w:rsidR="00DE1743" w:rsidRPr="00811EB5">
        <w:rPr>
          <w:rFonts w:ascii="Times New Roman" w:hAnsi="Times New Roman"/>
          <w:szCs w:val="24"/>
        </w:rPr>
        <w:t>»</w:t>
      </w:r>
      <w:r w:rsidRPr="00811EB5">
        <w:rPr>
          <w:rFonts w:ascii="Times New Roman" w:hAnsi="Times New Roman"/>
          <w:szCs w:val="24"/>
        </w:rPr>
        <w:t>, у разі, якщо на момент продовження дії договору оренди остання оцінка об`єкта оренди була зроблена більш як три роки тому, для продовження (поновлення) договору оренди провадиться оцінка об`єкта оренди.</w:t>
      </w:r>
    </w:p>
    <w:p w:rsidR="000E2C33" w:rsidRPr="008A22EE" w:rsidRDefault="000E2C33" w:rsidP="000E2C33">
      <w:pPr>
        <w:pStyle w:val="a5"/>
        <w:spacing w:line="276" w:lineRule="auto"/>
        <w:rPr>
          <w:rFonts w:ascii="Times New Roman" w:hAnsi="Times New Roman"/>
          <w:szCs w:val="24"/>
        </w:rPr>
      </w:pPr>
      <w:r w:rsidRPr="008A22EE">
        <w:rPr>
          <w:rFonts w:ascii="Times New Roman" w:hAnsi="Times New Roman"/>
          <w:noProof/>
          <w:color w:val="FF0000"/>
          <w:szCs w:val="24"/>
          <w:lang w:eastAsia="uk-UA"/>
        </w:rPr>
        <w:drawing>
          <wp:inline distT="0" distB="0" distL="0" distR="0" wp14:anchorId="5E21540F" wp14:editId="3FA2B7AA">
            <wp:extent cx="5934075" cy="2743200"/>
            <wp:effectExtent l="0" t="0" r="9525"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0E2C33" w:rsidRPr="00DA1B00" w:rsidRDefault="000E2C33" w:rsidP="000E2C33">
      <w:pPr>
        <w:pStyle w:val="a5"/>
        <w:spacing w:line="276" w:lineRule="auto"/>
        <w:rPr>
          <w:rFonts w:ascii="Times New Roman" w:hAnsi="Times New Roman"/>
          <w:szCs w:val="24"/>
        </w:rPr>
      </w:pPr>
      <w:r w:rsidRPr="00DA1B00">
        <w:rPr>
          <w:rFonts w:ascii="Times New Roman" w:hAnsi="Times New Roman"/>
          <w:noProof/>
          <w:szCs w:val="24"/>
          <w:lang w:eastAsia="uk-UA"/>
        </w:rPr>
        <mc:AlternateContent>
          <mc:Choice Requires="wps">
            <w:drawing>
              <wp:anchor distT="4294967295" distB="4294967295" distL="114300" distR="114300" simplePos="0" relativeHeight="251729920" behindDoc="0" locked="0" layoutInCell="1" allowOverlap="1" wp14:anchorId="606CC408" wp14:editId="47A9477D">
                <wp:simplePos x="0" y="0"/>
                <wp:positionH relativeFrom="column">
                  <wp:posOffset>15240</wp:posOffset>
                </wp:positionH>
                <wp:positionV relativeFrom="paragraph">
                  <wp:posOffset>-1271</wp:posOffset>
                </wp:positionV>
                <wp:extent cx="5934075" cy="0"/>
                <wp:effectExtent l="0" t="0" r="9525" b="0"/>
                <wp:wrapNone/>
                <wp:docPr id="2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046402" id="AutoShape 18" o:spid="_x0000_s1026" type="#_x0000_t32" style="position:absolute;margin-left:1.2pt;margin-top:-.1pt;width:467.25pt;height:0;z-index:251729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yDyIAIAAD0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"/>
            </w:pict>
          </mc:Fallback>
        </mc:AlternateContent>
      </w:r>
      <w:r w:rsidR="00B17EE2" w:rsidRPr="00DA1B00">
        <w:rPr>
          <w:rFonts w:ascii="Times New Roman" w:hAnsi="Times New Roman"/>
          <w:szCs w:val="24"/>
        </w:rPr>
        <w:t xml:space="preserve">      </w:t>
      </w:r>
    </w:p>
    <w:p w:rsidR="00B17EE2" w:rsidRPr="00DA1B00" w:rsidRDefault="00B17EE2" w:rsidP="000E2C33">
      <w:pPr>
        <w:pStyle w:val="a5"/>
        <w:spacing w:line="276" w:lineRule="auto"/>
        <w:rPr>
          <w:rFonts w:ascii="Times New Roman" w:hAnsi="Times New Roman"/>
          <w:i/>
          <w:szCs w:val="24"/>
          <w:lang w:val="ru-RU"/>
        </w:rPr>
      </w:pPr>
      <w:r w:rsidRPr="00DA1B00">
        <w:rPr>
          <w:rFonts w:ascii="Times New Roman" w:hAnsi="Times New Roman"/>
          <w:i/>
          <w:szCs w:val="24"/>
        </w:rPr>
        <w:t>Примітка</w:t>
      </w:r>
      <w:r w:rsidRPr="00DA1B00">
        <w:rPr>
          <w:rFonts w:ascii="Times New Roman" w:hAnsi="Times New Roman"/>
          <w:i/>
          <w:szCs w:val="24"/>
          <w:lang w:val="ru-RU"/>
        </w:rPr>
        <w:t>:</w:t>
      </w:r>
      <w:r w:rsidRPr="00DA1B00">
        <w:t xml:space="preserve"> </w:t>
      </w:r>
      <w:r w:rsidRPr="00DA1B00">
        <w:rPr>
          <w:rFonts w:ascii="Times New Roman" w:hAnsi="Times New Roman"/>
          <w:i/>
          <w:szCs w:val="24"/>
          <w:lang w:val="ru-RU"/>
        </w:rPr>
        <w:t xml:space="preserve">При </w:t>
      </w:r>
      <w:proofErr w:type="spellStart"/>
      <w:r w:rsidRPr="00DA1B00">
        <w:rPr>
          <w:rFonts w:ascii="Times New Roman" w:hAnsi="Times New Roman"/>
          <w:i/>
          <w:szCs w:val="24"/>
          <w:lang w:val="ru-RU"/>
        </w:rPr>
        <w:t>розрахунку</w:t>
      </w:r>
      <w:proofErr w:type="spellEnd"/>
      <w:r w:rsidRPr="00DA1B00">
        <w:rPr>
          <w:rFonts w:ascii="Times New Roman" w:hAnsi="Times New Roman"/>
          <w:i/>
          <w:szCs w:val="24"/>
          <w:lang w:val="ru-RU"/>
        </w:rPr>
        <w:t xml:space="preserve"> планового </w:t>
      </w:r>
      <w:proofErr w:type="spellStart"/>
      <w:r w:rsidRPr="00DA1B00">
        <w:rPr>
          <w:rFonts w:ascii="Times New Roman" w:hAnsi="Times New Roman"/>
          <w:i/>
          <w:szCs w:val="24"/>
          <w:lang w:val="ru-RU"/>
        </w:rPr>
        <w:t>показника</w:t>
      </w:r>
      <w:proofErr w:type="spellEnd"/>
      <w:r w:rsidRPr="00DA1B00">
        <w:rPr>
          <w:rFonts w:ascii="Times New Roman" w:hAnsi="Times New Roman"/>
          <w:i/>
          <w:szCs w:val="24"/>
          <w:lang w:val="ru-RU"/>
        </w:rPr>
        <w:t xml:space="preserve"> на 2024 </w:t>
      </w:r>
      <w:proofErr w:type="spellStart"/>
      <w:r w:rsidRPr="00DA1B00">
        <w:rPr>
          <w:rFonts w:ascii="Times New Roman" w:hAnsi="Times New Roman"/>
          <w:i/>
          <w:szCs w:val="24"/>
          <w:lang w:val="ru-RU"/>
        </w:rPr>
        <w:t>рік</w:t>
      </w:r>
      <w:proofErr w:type="spellEnd"/>
      <w:r w:rsidRPr="00DA1B00">
        <w:rPr>
          <w:rFonts w:ascii="Times New Roman" w:hAnsi="Times New Roman"/>
          <w:i/>
          <w:szCs w:val="24"/>
          <w:lang w:val="ru-RU"/>
        </w:rPr>
        <w:t xml:space="preserve">,  </w:t>
      </w:r>
      <w:proofErr w:type="spellStart"/>
      <w:r w:rsidRPr="00DA1B00">
        <w:rPr>
          <w:rFonts w:ascii="Times New Roman" w:hAnsi="Times New Roman"/>
          <w:i/>
          <w:szCs w:val="24"/>
          <w:lang w:val="ru-RU"/>
        </w:rPr>
        <w:t>із</w:t>
      </w:r>
      <w:proofErr w:type="spellEnd"/>
      <w:r w:rsidRPr="00DA1B00">
        <w:rPr>
          <w:rFonts w:ascii="Times New Roman" w:hAnsi="Times New Roman"/>
          <w:i/>
          <w:szCs w:val="24"/>
          <w:lang w:val="ru-RU"/>
        </w:rPr>
        <w:t xml:space="preserve"> </w:t>
      </w:r>
      <w:proofErr w:type="spellStart"/>
      <w:r w:rsidRPr="00DA1B00">
        <w:rPr>
          <w:rFonts w:ascii="Times New Roman" w:hAnsi="Times New Roman"/>
          <w:i/>
          <w:szCs w:val="24"/>
          <w:lang w:val="ru-RU"/>
        </w:rPr>
        <w:t>бази</w:t>
      </w:r>
      <w:proofErr w:type="spellEnd"/>
      <w:r w:rsidRPr="00DA1B00">
        <w:rPr>
          <w:rFonts w:ascii="Times New Roman" w:hAnsi="Times New Roman"/>
          <w:i/>
          <w:szCs w:val="24"/>
          <w:lang w:val="ru-RU"/>
        </w:rPr>
        <w:t xml:space="preserve"> </w:t>
      </w:r>
      <w:proofErr w:type="spellStart"/>
      <w:r w:rsidRPr="00DA1B00">
        <w:rPr>
          <w:rFonts w:ascii="Times New Roman" w:hAnsi="Times New Roman"/>
          <w:i/>
          <w:szCs w:val="24"/>
          <w:lang w:val="ru-RU"/>
        </w:rPr>
        <w:t>надходжень</w:t>
      </w:r>
      <w:proofErr w:type="spellEnd"/>
      <w:r w:rsidRPr="00DA1B00">
        <w:rPr>
          <w:rFonts w:ascii="Times New Roman" w:hAnsi="Times New Roman"/>
          <w:i/>
          <w:szCs w:val="24"/>
          <w:lang w:val="ru-RU"/>
        </w:rPr>
        <w:t xml:space="preserve"> 2023 року </w:t>
      </w:r>
      <w:proofErr w:type="spellStart"/>
      <w:r w:rsidRPr="00DA1B00">
        <w:rPr>
          <w:rFonts w:ascii="Times New Roman" w:hAnsi="Times New Roman"/>
          <w:i/>
          <w:szCs w:val="24"/>
          <w:lang w:val="ru-RU"/>
        </w:rPr>
        <w:t>вираховано</w:t>
      </w:r>
      <w:proofErr w:type="spellEnd"/>
      <w:r w:rsidRPr="00DA1B00">
        <w:rPr>
          <w:rFonts w:ascii="Times New Roman" w:hAnsi="Times New Roman"/>
          <w:i/>
          <w:szCs w:val="24"/>
          <w:lang w:val="ru-RU"/>
        </w:rPr>
        <w:t xml:space="preserve">  </w:t>
      </w:r>
      <w:proofErr w:type="spellStart"/>
      <w:r w:rsidRPr="00DA1B00">
        <w:rPr>
          <w:rFonts w:ascii="Times New Roman" w:hAnsi="Times New Roman"/>
          <w:i/>
          <w:szCs w:val="24"/>
          <w:lang w:val="ru-RU"/>
        </w:rPr>
        <w:t>погашення</w:t>
      </w:r>
      <w:proofErr w:type="spellEnd"/>
      <w:r w:rsidRPr="00DA1B00">
        <w:rPr>
          <w:rFonts w:ascii="Times New Roman" w:hAnsi="Times New Roman"/>
          <w:i/>
          <w:szCs w:val="24"/>
          <w:lang w:val="ru-RU"/>
        </w:rPr>
        <w:t xml:space="preserve"> </w:t>
      </w:r>
      <w:proofErr w:type="spellStart"/>
      <w:r w:rsidRPr="00DA1B00">
        <w:rPr>
          <w:rFonts w:ascii="Times New Roman" w:hAnsi="Times New Roman"/>
          <w:i/>
          <w:szCs w:val="24"/>
          <w:lang w:val="ru-RU"/>
        </w:rPr>
        <w:t>податкового</w:t>
      </w:r>
      <w:proofErr w:type="spellEnd"/>
      <w:r w:rsidRPr="00DA1B00">
        <w:rPr>
          <w:rFonts w:ascii="Times New Roman" w:hAnsi="Times New Roman"/>
          <w:i/>
          <w:szCs w:val="24"/>
          <w:lang w:val="ru-RU"/>
        </w:rPr>
        <w:t xml:space="preserve"> боргу у </w:t>
      </w:r>
      <w:proofErr w:type="spellStart"/>
      <w:r w:rsidRPr="00DA1B00">
        <w:rPr>
          <w:rFonts w:ascii="Times New Roman" w:hAnsi="Times New Roman"/>
          <w:i/>
          <w:szCs w:val="24"/>
          <w:lang w:val="ru-RU"/>
        </w:rPr>
        <w:t>сумі</w:t>
      </w:r>
      <w:proofErr w:type="spellEnd"/>
      <w:r w:rsidRPr="00DA1B00">
        <w:rPr>
          <w:rFonts w:ascii="Times New Roman" w:hAnsi="Times New Roman"/>
          <w:i/>
          <w:szCs w:val="24"/>
          <w:lang w:val="ru-RU"/>
        </w:rPr>
        <w:t xml:space="preserve">   </w:t>
      </w:r>
      <w:r w:rsidR="004800D9" w:rsidRPr="00DA1B00">
        <w:rPr>
          <w:rFonts w:ascii="Times New Roman" w:hAnsi="Times New Roman"/>
          <w:i/>
          <w:szCs w:val="24"/>
          <w:lang w:val="ru-RU"/>
        </w:rPr>
        <w:t>395</w:t>
      </w:r>
      <w:r w:rsidR="007D65EE">
        <w:rPr>
          <w:rFonts w:ascii="Times New Roman" w:hAnsi="Times New Roman"/>
          <w:i/>
          <w:szCs w:val="24"/>
          <w:lang w:val="ru-RU"/>
        </w:rPr>
        <w:t>,</w:t>
      </w:r>
      <w:r w:rsidR="004800D9" w:rsidRPr="00DA1B00">
        <w:rPr>
          <w:rFonts w:ascii="Times New Roman" w:hAnsi="Times New Roman"/>
          <w:i/>
          <w:szCs w:val="24"/>
          <w:lang w:val="ru-RU"/>
        </w:rPr>
        <w:t>0</w:t>
      </w:r>
      <w:r w:rsidRPr="00DA1B00">
        <w:rPr>
          <w:rFonts w:ascii="Times New Roman" w:hAnsi="Times New Roman"/>
          <w:i/>
          <w:szCs w:val="24"/>
          <w:lang w:val="ru-RU"/>
        </w:rPr>
        <w:t xml:space="preserve"> тис. </w:t>
      </w:r>
      <w:proofErr w:type="spellStart"/>
      <w:r w:rsidRPr="00DA1B00">
        <w:rPr>
          <w:rFonts w:ascii="Times New Roman" w:hAnsi="Times New Roman"/>
          <w:i/>
          <w:szCs w:val="24"/>
          <w:lang w:val="ru-RU"/>
        </w:rPr>
        <w:t>грн</w:t>
      </w:r>
      <w:proofErr w:type="spellEnd"/>
    </w:p>
    <w:p w:rsidR="000E2C33" w:rsidRPr="00977DCD" w:rsidRDefault="000E2C33" w:rsidP="000E2C33">
      <w:pPr>
        <w:pStyle w:val="a5"/>
        <w:ind w:firstLine="567"/>
        <w:rPr>
          <w:rFonts w:ascii="Times New Roman" w:hAnsi="Times New Roman"/>
          <w:szCs w:val="24"/>
        </w:rPr>
      </w:pPr>
      <w:r w:rsidRPr="00DA1B00">
        <w:rPr>
          <w:rFonts w:ascii="Times New Roman" w:hAnsi="Times New Roman"/>
          <w:szCs w:val="24"/>
        </w:rPr>
        <w:t>За даними управління комунальної власності та земельних відносин</w:t>
      </w:r>
      <w:r w:rsidRPr="00977DCD">
        <w:rPr>
          <w:rFonts w:ascii="Times New Roman" w:hAnsi="Times New Roman"/>
          <w:szCs w:val="24"/>
        </w:rPr>
        <w:t xml:space="preserve"> Чорноморської міської ради Одеської області кількість укладених договорів оренди ко</w:t>
      </w:r>
      <w:r w:rsidR="00952766" w:rsidRPr="00977DCD">
        <w:rPr>
          <w:rFonts w:ascii="Times New Roman" w:hAnsi="Times New Roman"/>
          <w:szCs w:val="24"/>
        </w:rPr>
        <w:t>мунального майна станом на 01.10</w:t>
      </w:r>
      <w:r w:rsidRPr="00977DCD">
        <w:rPr>
          <w:rFonts w:ascii="Times New Roman" w:hAnsi="Times New Roman"/>
          <w:szCs w:val="24"/>
        </w:rPr>
        <w:t>.</w:t>
      </w:r>
      <w:r w:rsidRPr="000F3F88">
        <w:rPr>
          <w:rFonts w:ascii="Times New Roman" w:hAnsi="Times New Roman"/>
          <w:szCs w:val="24"/>
        </w:rPr>
        <w:t>202</w:t>
      </w:r>
      <w:r w:rsidR="00952766" w:rsidRPr="000F3F88">
        <w:rPr>
          <w:rFonts w:ascii="Times New Roman" w:hAnsi="Times New Roman"/>
          <w:szCs w:val="24"/>
        </w:rPr>
        <w:t>3</w:t>
      </w:r>
      <w:r w:rsidR="00C30E6A" w:rsidRPr="000F3F88">
        <w:rPr>
          <w:rFonts w:ascii="Times New Roman" w:hAnsi="Times New Roman"/>
          <w:szCs w:val="24"/>
        </w:rPr>
        <w:t xml:space="preserve">р. становить </w:t>
      </w:r>
      <w:r w:rsidR="000F3F88" w:rsidRPr="000F3F88">
        <w:rPr>
          <w:rFonts w:ascii="Times New Roman" w:hAnsi="Times New Roman"/>
          <w:szCs w:val="24"/>
        </w:rPr>
        <w:t>184</w:t>
      </w:r>
      <w:r w:rsidRPr="000F3F88">
        <w:rPr>
          <w:rFonts w:ascii="Times New Roman" w:hAnsi="Times New Roman"/>
          <w:szCs w:val="24"/>
        </w:rPr>
        <w:t xml:space="preserve">, із яких по </w:t>
      </w:r>
      <w:r w:rsidR="000F3F88" w:rsidRPr="000F3F88">
        <w:rPr>
          <w:rFonts w:ascii="Times New Roman" w:hAnsi="Times New Roman"/>
          <w:szCs w:val="24"/>
        </w:rPr>
        <w:t>172</w:t>
      </w:r>
      <w:r w:rsidRPr="000F3F88">
        <w:rPr>
          <w:rFonts w:ascii="Times New Roman" w:hAnsi="Times New Roman"/>
          <w:szCs w:val="24"/>
        </w:rPr>
        <w:t xml:space="preserve"> договорам зараховується до бюджету орендна плата за користування цілісним майновим комплексом та іншим майном, що перебуває в комунальній власності за ККДБ 22080400.</w:t>
      </w:r>
      <w:r w:rsidRPr="00977DCD">
        <w:rPr>
          <w:rFonts w:ascii="Times New Roman" w:hAnsi="Times New Roman"/>
          <w:szCs w:val="24"/>
        </w:rPr>
        <w:t xml:space="preserve"> </w:t>
      </w:r>
    </w:p>
    <w:p w:rsidR="000E2C33" w:rsidRPr="00977DCD" w:rsidRDefault="000E2C33" w:rsidP="000E2C33">
      <w:pPr>
        <w:pStyle w:val="a5"/>
        <w:ind w:firstLine="567"/>
        <w:rPr>
          <w:rFonts w:ascii="Times New Roman" w:hAnsi="Times New Roman"/>
          <w:szCs w:val="24"/>
        </w:rPr>
      </w:pPr>
      <w:r w:rsidRPr="00977DCD">
        <w:rPr>
          <w:rFonts w:ascii="Times New Roman" w:hAnsi="Times New Roman"/>
          <w:szCs w:val="24"/>
        </w:rPr>
        <w:t>Надходження від орендної плати за користування комунальним майном (30 % до бюджету міста)</w:t>
      </w:r>
      <w:r w:rsidR="00952766" w:rsidRPr="00977DCD">
        <w:rPr>
          <w:rFonts w:ascii="Times New Roman" w:hAnsi="Times New Roman"/>
          <w:szCs w:val="24"/>
        </w:rPr>
        <w:t xml:space="preserve"> за даними зведеної звітності від комунальних підприємств</w:t>
      </w:r>
      <w:r w:rsidR="000E250A" w:rsidRPr="00977DCD">
        <w:rPr>
          <w:rFonts w:ascii="Times New Roman" w:hAnsi="Times New Roman"/>
          <w:szCs w:val="24"/>
        </w:rPr>
        <w:t xml:space="preserve"> станом на 01.10.2023 року </w:t>
      </w:r>
      <w:r w:rsidR="00952766" w:rsidRPr="00977DCD">
        <w:rPr>
          <w:rFonts w:ascii="Times New Roman" w:hAnsi="Times New Roman"/>
          <w:szCs w:val="24"/>
        </w:rPr>
        <w:t xml:space="preserve"> </w:t>
      </w:r>
      <w:r w:rsidRPr="00977DCD">
        <w:rPr>
          <w:rFonts w:ascii="Times New Roman" w:hAnsi="Times New Roman"/>
          <w:szCs w:val="24"/>
        </w:rPr>
        <w:t>формується наступним чином:</w:t>
      </w:r>
    </w:p>
    <w:p w:rsidR="000E2C33" w:rsidRPr="00545127" w:rsidRDefault="000E2C33" w:rsidP="000E2C33">
      <w:pPr>
        <w:pStyle w:val="a5"/>
        <w:ind w:firstLine="567"/>
        <w:rPr>
          <w:rFonts w:ascii="Times New Roman" w:hAnsi="Times New Roman"/>
          <w:szCs w:val="24"/>
          <w:highlight w:val="yellow"/>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559"/>
        <w:gridCol w:w="1134"/>
        <w:gridCol w:w="1559"/>
        <w:gridCol w:w="1418"/>
      </w:tblGrid>
      <w:tr w:rsidR="000E2C33" w:rsidRPr="00545127" w:rsidTr="00F31A02">
        <w:tc>
          <w:tcPr>
            <w:tcW w:w="4219" w:type="dxa"/>
            <w:shd w:val="clear" w:color="auto" w:fill="auto"/>
          </w:tcPr>
          <w:p w:rsidR="000E2C33" w:rsidRPr="00750B61" w:rsidRDefault="000E2C33" w:rsidP="00F31A02">
            <w:pPr>
              <w:pStyle w:val="a5"/>
              <w:jc w:val="center"/>
              <w:rPr>
                <w:rFonts w:ascii="Times New Roman" w:hAnsi="Times New Roman"/>
                <w:color w:val="000000" w:themeColor="text1"/>
                <w:szCs w:val="24"/>
              </w:rPr>
            </w:pPr>
          </w:p>
          <w:p w:rsidR="000E2C33" w:rsidRPr="00750B61" w:rsidRDefault="000E2C33" w:rsidP="00F31A02">
            <w:pPr>
              <w:pStyle w:val="a5"/>
              <w:jc w:val="center"/>
              <w:rPr>
                <w:rFonts w:ascii="Times New Roman" w:hAnsi="Times New Roman"/>
                <w:color w:val="000000" w:themeColor="text1"/>
                <w:szCs w:val="24"/>
              </w:rPr>
            </w:pPr>
          </w:p>
          <w:p w:rsidR="000E2C33" w:rsidRPr="00750B61" w:rsidRDefault="000E2C33" w:rsidP="00F31A02">
            <w:pPr>
              <w:pStyle w:val="a5"/>
              <w:jc w:val="center"/>
              <w:rPr>
                <w:rFonts w:ascii="Times New Roman" w:hAnsi="Times New Roman"/>
                <w:color w:val="000000" w:themeColor="text1"/>
                <w:szCs w:val="24"/>
              </w:rPr>
            </w:pPr>
            <w:r w:rsidRPr="00750B61">
              <w:rPr>
                <w:rFonts w:ascii="Times New Roman" w:hAnsi="Times New Roman"/>
                <w:color w:val="000000" w:themeColor="text1"/>
                <w:szCs w:val="24"/>
              </w:rPr>
              <w:t>Назва орендодавця</w:t>
            </w:r>
          </w:p>
        </w:tc>
        <w:tc>
          <w:tcPr>
            <w:tcW w:w="1559" w:type="dxa"/>
            <w:shd w:val="clear" w:color="auto" w:fill="auto"/>
            <w:vAlign w:val="center"/>
          </w:tcPr>
          <w:p w:rsidR="000E2C33" w:rsidRPr="00545127" w:rsidRDefault="000E2C33" w:rsidP="00F31A02">
            <w:pPr>
              <w:pStyle w:val="a5"/>
              <w:jc w:val="center"/>
              <w:rPr>
                <w:rFonts w:ascii="Times New Roman" w:hAnsi="Times New Roman"/>
                <w:color w:val="000000" w:themeColor="text1"/>
                <w:szCs w:val="24"/>
                <w:highlight w:val="yellow"/>
              </w:rPr>
            </w:pPr>
            <w:r w:rsidRPr="00D83D6F">
              <w:rPr>
                <w:rFonts w:ascii="Times New Roman" w:hAnsi="Times New Roman"/>
                <w:color w:val="000000" w:themeColor="text1"/>
                <w:szCs w:val="24"/>
              </w:rPr>
              <w:t>Сума</w:t>
            </w:r>
            <w:r w:rsidR="00C30E6A" w:rsidRPr="00D83D6F">
              <w:rPr>
                <w:rFonts w:ascii="Times New Roman" w:hAnsi="Times New Roman"/>
                <w:color w:val="000000" w:themeColor="text1"/>
                <w:szCs w:val="24"/>
              </w:rPr>
              <w:t xml:space="preserve"> надходжень стан</w:t>
            </w:r>
            <w:r w:rsidR="00977DCD" w:rsidRPr="00D83D6F">
              <w:rPr>
                <w:rFonts w:ascii="Times New Roman" w:hAnsi="Times New Roman"/>
                <w:color w:val="000000" w:themeColor="text1"/>
                <w:szCs w:val="24"/>
              </w:rPr>
              <w:t>ом на 01.10.2023</w:t>
            </w:r>
            <w:r w:rsidRPr="00D83D6F">
              <w:rPr>
                <w:rFonts w:ascii="Times New Roman" w:hAnsi="Times New Roman"/>
                <w:color w:val="000000" w:themeColor="text1"/>
                <w:szCs w:val="24"/>
              </w:rPr>
              <w:t>р., тис. грн</w:t>
            </w:r>
          </w:p>
        </w:tc>
        <w:tc>
          <w:tcPr>
            <w:tcW w:w="1134" w:type="dxa"/>
            <w:shd w:val="clear" w:color="auto" w:fill="auto"/>
            <w:vAlign w:val="center"/>
          </w:tcPr>
          <w:p w:rsidR="000E2C33" w:rsidRPr="00484A09" w:rsidRDefault="000E2C33" w:rsidP="00F31A02">
            <w:pPr>
              <w:pStyle w:val="a5"/>
              <w:jc w:val="center"/>
              <w:rPr>
                <w:rFonts w:ascii="Times New Roman" w:hAnsi="Times New Roman"/>
                <w:color w:val="000000" w:themeColor="text1"/>
                <w:szCs w:val="24"/>
              </w:rPr>
            </w:pPr>
            <w:r w:rsidRPr="00484A09">
              <w:rPr>
                <w:rFonts w:ascii="Times New Roman" w:hAnsi="Times New Roman"/>
                <w:color w:val="000000" w:themeColor="text1"/>
                <w:szCs w:val="24"/>
              </w:rPr>
              <w:t>Питома вага у загальній сумі надходжень, %</w:t>
            </w:r>
          </w:p>
        </w:tc>
        <w:tc>
          <w:tcPr>
            <w:tcW w:w="1559" w:type="dxa"/>
            <w:shd w:val="clear" w:color="auto" w:fill="auto"/>
            <w:vAlign w:val="center"/>
          </w:tcPr>
          <w:p w:rsidR="000E2C33" w:rsidRPr="00D83D6F" w:rsidRDefault="000E2C33" w:rsidP="00F31A02">
            <w:pPr>
              <w:pStyle w:val="a5"/>
              <w:jc w:val="center"/>
              <w:rPr>
                <w:rFonts w:ascii="Times New Roman" w:hAnsi="Times New Roman"/>
                <w:color w:val="000000" w:themeColor="text1"/>
                <w:szCs w:val="24"/>
              </w:rPr>
            </w:pPr>
            <w:r w:rsidRPr="00D83D6F">
              <w:rPr>
                <w:rFonts w:ascii="Times New Roman" w:hAnsi="Times New Roman"/>
                <w:color w:val="000000" w:themeColor="text1"/>
                <w:szCs w:val="24"/>
              </w:rPr>
              <w:t>Кількість догов</w:t>
            </w:r>
            <w:r w:rsidR="00977DCD" w:rsidRPr="00D83D6F">
              <w:rPr>
                <w:rFonts w:ascii="Times New Roman" w:hAnsi="Times New Roman"/>
                <w:color w:val="000000" w:themeColor="text1"/>
                <w:szCs w:val="24"/>
              </w:rPr>
              <w:t>орів оренди станом на 01.10.2023</w:t>
            </w:r>
            <w:r w:rsidRPr="00D83D6F">
              <w:rPr>
                <w:rFonts w:ascii="Times New Roman" w:hAnsi="Times New Roman"/>
                <w:color w:val="000000" w:themeColor="text1"/>
                <w:szCs w:val="24"/>
              </w:rPr>
              <w:t>р.</w:t>
            </w:r>
          </w:p>
        </w:tc>
        <w:tc>
          <w:tcPr>
            <w:tcW w:w="1418" w:type="dxa"/>
            <w:shd w:val="clear" w:color="auto" w:fill="auto"/>
            <w:vAlign w:val="center"/>
          </w:tcPr>
          <w:p w:rsidR="000E2C33" w:rsidRPr="00867EEA" w:rsidRDefault="000E2C33" w:rsidP="00F31A02">
            <w:pPr>
              <w:pStyle w:val="a5"/>
              <w:jc w:val="center"/>
              <w:rPr>
                <w:rFonts w:ascii="Times New Roman" w:hAnsi="Times New Roman"/>
                <w:color w:val="000000" w:themeColor="text1"/>
                <w:szCs w:val="24"/>
              </w:rPr>
            </w:pPr>
            <w:r w:rsidRPr="00867EEA">
              <w:rPr>
                <w:rFonts w:ascii="Times New Roman" w:hAnsi="Times New Roman"/>
                <w:color w:val="000000" w:themeColor="text1"/>
                <w:szCs w:val="24"/>
              </w:rPr>
              <w:t xml:space="preserve">Розрахункова сума </w:t>
            </w:r>
            <w:r w:rsidR="00977DCD" w:rsidRPr="00867EEA">
              <w:rPr>
                <w:rFonts w:ascii="Times New Roman" w:hAnsi="Times New Roman"/>
                <w:color w:val="000000" w:themeColor="text1"/>
                <w:szCs w:val="24"/>
              </w:rPr>
              <w:t>орендної плати на 2024</w:t>
            </w:r>
            <w:r w:rsidR="00C30E6A" w:rsidRPr="00867EEA">
              <w:rPr>
                <w:rFonts w:ascii="Times New Roman" w:hAnsi="Times New Roman"/>
                <w:color w:val="000000" w:themeColor="text1"/>
                <w:szCs w:val="24"/>
              </w:rPr>
              <w:t xml:space="preserve"> </w:t>
            </w:r>
            <w:r w:rsidRPr="00867EEA">
              <w:rPr>
                <w:rFonts w:ascii="Times New Roman" w:hAnsi="Times New Roman"/>
                <w:color w:val="000000" w:themeColor="text1"/>
                <w:szCs w:val="24"/>
              </w:rPr>
              <w:t>рік, тис. грн</w:t>
            </w:r>
          </w:p>
        </w:tc>
      </w:tr>
      <w:tr w:rsidR="000E2C33" w:rsidRPr="00545127" w:rsidTr="00F31A02">
        <w:trPr>
          <w:trHeight w:val="431"/>
        </w:trPr>
        <w:tc>
          <w:tcPr>
            <w:tcW w:w="4219" w:type="dxa"/>
            <w:shd w:val="clear" w:color="auto" w:fill="auto"/>
          </w:tcPr>
          <w:p w:rsidR="000E2C33" w:rsidRPr="00750B61" w:rsidRDefault="000E2C33" w:rsidP="00F31A02">
            <w:pPr>
              <w:pStyle w:val="a5"/>
              <w:spacing w:line="276" w:lineRule="auto"/>
              <w:rPr>
                <w:rFonts w:ascii="Times New Roman" w:hAnsi="Times New Roman"/>
                <w:color w:val="000000" w:themeColor="text1"/>
                <w:szCs w:val="24"/>
              </w:rPr>
            </w:pPr>
            <w:r w:rsidRPr="00750B61">
              <w:rPr>
                <w:rFonts w:ascii="Times New Roman" w:hAnsi="Times New Roman"/>
                <w:color w:val="000000" w:themeColor="text1"/>
                <w:szCs w:val="24"/>
              </w:rPr>
              <w:t>КП "МУЖКГ" (30%)</w:t>
            </w:r>
          </w:p>
        </w:tc>
        <w:tc>
          <w:tcPr>
            <w:tcW w:w="1559" w:type="dxa"/>
            <w:shd w:val="clear" w:color="auto" w:fill="auto"/>
          </w:tcPr>
          <w:p w:rsidR="000E2C33" w:rsidRPr="00D83D6F" w:rsidRDefault="00D83D6F" w:rsidP="00F31A02">
            <w:pPr>
              <w:pStyle w:val="a5"/>
              <w:spacing w:line="276" w:lineRule="auto"/>
              <w:jc w:val="center"/>
              <w:rPr>
                <w:rFonts w:ascii="Times New Roman" w:hAnsi="Times New Roman"/>
                <w:color w:val="000000" w:themeColor="text1"/>
                <w:szCs w:val="24"/>
              </w:rPr>
            </w:pPr>
            <w:r w:rsidRPr="00D83D6F">
              <w:rPr>
                <w:rFonts w:ascii="Times New Roman" w:hAnsi="Times New Roman"/>
                <w:color w:val="000000" w:themeColor="text1"/>
                <w:szCs w:val="24"/>
              </w:rPr>
              <w:t>1 857,9</w:t>
            </w:r>
          </w:p>
        </w:tc>
        <w:tc>
          <w:tcPr>
            <w:tcW w:w="1134" w:type="dxa"/>
            <w:shd w:val="clear" w:color="auto" w:fill="auto"/>
          </w:tcPr>
          <w:p w:rsidR="000E2C33" w:rsidRPr="00484A09" w:rsidRDefault="00496C45" w:rsidP="00F31A02">
            <w:pPr>
              <w:pStyle w:val="a5"/>
              <w:spacing w:line="276" w:lineRule="auto"/>
              <w:jc w:val="center"/>
              <w:rPr>
                <w:rFonts w:ascii="Times New Roman" w:hAnsi="Times New Roman"/>
                <w:color w:val="000000" w:themeColor="text1"/>
                <w:szCs w:val="24"/>
              </w:rPr>
            </w:pPr>
            <w:r w:rsidRPr="00484A09">
              <w:rPr>
                <w:rFonts w:ascii="Times New Roman" w:hAnsi="Times New Roman"/>
                <w:color w:val="000000" w:themeColor="text1"/>
                <w:szCs w:val="24"/>
              </w:rPr>
              <w:t>55,5</w:t>
            </w:r>
            <w:r w:rsidR="000E2C33" w:rsidRPr="00484A09">
              <w:rPr>
                <w:rFonts w:ascii="Times New Roman" w:hAnsi="Times New Roman"/>
                <w:color w:val="000000" w:themeColor="text1"/>
                <w:szCs w:val="24"/>
              </w:rPr>
              <w:t xml:space="preserve"> %</w:t>
            </w:r>
          </w:p>
        </w:tc>
        <w:tc>
          <w:tcPr>
            <w:tcW w:w="1559" w:type="dxa"/>
            <w:shd w:val="clear" w:color="auto" w:fill="auto"/>
          </w:tcPr>
          <w:p w:rsidR="000E2C33" w:rsidRPr="00D83D6F" w:rsidRDefault="00D83D6F" w:rsidP="00F31A02">
            <w:pPr>
              <w:pStyle w:val="a5"/>
              <w:spacing w:line="276" w:lineRule="auto"/>
              <w:jc w:val="center"/>
              <w:rPr>
                <w:rFonts w:ascii="Times New Roman" w:hAnsi="Times New Roman"/>
                <w:color w:val="000000" w:themeColor="text1"/>
                <w:szCs w:val="24"/>
              </w:rPr>
            </w:pPr>
            <w:r w:rsidRPr="00D83D6F">
              <w:rPr>
                <w:rFonts w:ascii="Times New Roman" w:hAnsi="Times New Roman"/>
                <w:color w:val="000000" w:themeColor="text1"/>
                <w:szCs w:val="24"/>
              </w:rPr>
              <w:t>58</w:t>
            </w:r>
          </w:p>
        </w:tc>
        <w:tc>
          <w:tcPr>
            <w:tcW w:w="1418" w:type="dxa"/>
            <w:shd w:val="clear" w:color="auto" w:fill="auto"/>
          </w:tcPr>
          <w:p w:rsidR="000E2C33" w:rsidRPr="00867EEA" w:rsidRDefault="00406779" w:rsidP="00E20C8C">
            <w:pPr>
              <w:pStyle w:val="a5"/>
              <w:spacing w:line="276" w:lineRule="auto"/>
              <w:jc w:val="center"/>
              <w:rPr>
                <w:rFonts w:ascii="Times New Roman" w:hAnsi="Times New Roman"/>
                <w:color w:val="000000" w:themeColor="text1"/>
                <w:szCs w:val="24"/>
              </w:rPr>
            </w:pPr>
            <w:r w:rsidRPr="00867EEA">
              <w:rPr>
                <w:rFonts w:ascii="Times New Roman" w:hAnsi="Times New Roman"/>
                <w:color w:val="000000" w:themeColor="text1"/>
                <w:szCs w:val="24"/>
              </w:rPr>
              <w:t xml:space="preserve"> 2 </w:t>
            </w:r>
            <w:r w:rsidR="00E20C8C">
              <w:rPr>
                <w:rFonts w:ascii="Times New Roman" w:hAnsi="Times New Roman"/>
                <w:color w:val="000000" w:themeColor="text1"/>
                <w:szCs w:val="24"/>
              </w:rPr>
              <w:t>75</w:t>
            </w:r>
            <w:r w:rsidR="00CF0F05">
              <w:rPr>
                <w:rFonts w:ascii="Times New Roman" w:hAnsi="Times New Roman"/>
                <w:color w:val="000000" w:themeColor="text1"/>
                <w:szCs w:val="24"/>
              </w:rPr>
              <w:t>0</w:t>
            </w:r>
            <w:r w:rsidRPr="00867EEA">
              <w:rPr>
                <w:rFonts w:ascii="Times New Roman" w:hAnsi="Times New Roman"/>
                <w:color w:val="000000" w:themeColor="text1"/>
                <w:szCs w:val="24"/>
              </w:rPr>
              <w:t>,0</w:t>
            </w:r>
          </w:p>
        </w:tc>
      </w:tr>
      <w:tr w:rsidR="002A6B89" w:rsidRPr="00545127" w:rsidTr="00F31A02">
        <w:trPr>
          <w:trHeight w:val="416"/>
        </w:trPr>
        <w:tc>
          <w:tcPr>
            <w:tcW w:w="4219" w:type="dxa"/>
            <w:shd w:val="clear" w:color="auto" w:fill="auto"/>
          </w:tcPr>
          <w:p w:rsidR="002A6B89" w:rsidRPr="00750B61" w:rsidRDefault="002A6B89" w:rsidP="00F31A02">
            <w:pPr>
              <w:pStyle w:val="a5"/>
              <w:spacing w:line="276" w:lineRule="auto"/>
              <w:rPr>
                <w:rFonts w:ascii="Times New Roman" w:hAnsi="Times New Roman"/>
                <w:color w:val="000000" w:themeColor="text1"/>
                <w:szCs w:val="24"/>
              </w:rPr>
            </w:pPr>
            <w:r w:rsidRPr="00750B61">
              <w:rPr>
                <w:rFonts w:ascii="Times New Roman" w:hAnsi="Times New Roman"/>
                <w:color w:val="000000" w:themeColor="text1"/>
                <w:szCs w:val="24"/>
              </w:rPr>
              <w:t>КНП "Чорноморська лікарня"(30%)</w:t>
            </w:r>
          </w:p>
        </w:tc>
        <w:tc>
          <w:tcPr>
            <w:tcW w:w="1559" w:type="dxa"/>
            <w:shd w:val="clear" w:color="auto" w:fill="auto"/>
          </w:tcPr>
          <w:p w:rsidR="002A6B89" w:rsidRPr="00D83D6F" w:rsidRDefault="002A6B89"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783,3</w:t>
            </w:r>
          </w:p>
        </w:tc>
        <w:tc>
          <w:tcPr>
            <w:tcW w:w="1134" w:type="dxa"/>
            <w:shd w:val="clear" w:color="auto" w:fill="auto"/>
          </w:tcPr>
          <w:p w:rsidR="002A6B89" w:rsidRPr="00484A09" w:rsidRDefault="002A6B89"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23,4 %</w:t>
            </w:r>
          </w:p>
        </w:tc>
        <w:tc>
          <w:tcPr>
            <w:tcW w:w="1559" w:type="dxa"/>
            <w:shd w:val="clear" w:color="auto" w:fill="auto"/>
          </w:tcPr>
          <w:p w:rsidR="002A6B89" w:rsidRPr="00D83D6F" w:rsidRDefault="002A6B89"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12</w:t>
            </w:r>
          </w:p>
        </w:tc>
        <w:tc>
          <w:tcPr>
            <w:tcW w:w="1418" w:type="dxa"/>
            <w:shd w:val="clear" w:color="auto" w:fill="auto"/>
          </w:tcPr>
          <w:p w:rsidR="002A6B89" w:rsidRPr="00867EEA" w:rsidRDefault="002C7C32"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58</w:t>
            </w:r>
            <w:r w:rsidR="002A6B89">
              <w:rPr>
                <w:rFonts w:ascii="Times New Roman" w:hAnsi="Times New Roman"/>
                <w:color w:val="000000" w:themeColor="text1"/>
                <w:szCs w:val="24"/>
              </w:rPr>
              <w:t>0,0</w:t>
            </w:r>
          </w:p>
        </w:tc>
      </w:tr>
      <w:tr w:rsidR="00B671F1" w:rsidRPr="00545127" w:rsidTr="00F31A02">
        <w:trPr>
          <w:trHeight w:val="416"/>
        </w:trPr>
        <w:tc>
          <w:tcPr>
            <w:tcW w:w="4219" w:type="dxa"/>
            <w:shd w:val="clear" w:color="auto" w:fill="auto"/>
          </w:tcPr>
          <w:p w:rsidR="00B671F1" w:rsidRPr="00750B61" w:rsidRDefault="00B671F1" w:rsidP="00F31A02">
            <w:pPr>
              <w:pStyle w:val="a5"/>
              <w:spacing w:line="276" w:lineRule="auto"/>
              <w:rPr>
                <w:rFonts w:ascii="Times New Roman" w:hAnsi="Times New Roman"/>
                <w:color w:val="000000" w:themeColor="text1"/>
                <w:szCs w:val="24"/>
              </w:rPr>
            </w:pPr>
            <w:r w:rsidRPr="00750B61">
              <w:rPr>
                <w:rFonts w:ascii="Times New Roman" w:hAnsi="Times New Roman"/>
                <w:color w:val="000000" w:themeColor="text1"/>
                <w:szCs w:val="24"/>
              </w:rPr>
              <w:t>УКВ та ЗВ ЧМР (100%)</w:t>
            </w:r>
          </w:p>
        </w:tc>
        <w:tc>
          <w:tcPr>
            <w:tcW w:w="1559" w:type="dxa"/>
            <w:shd w:val="clear" w:color="auto" w:fill="auto"/>
          </w:tcPr>
          <w:p w:rsidR="00B671F1" w:rsidRPr="00D83D6F" w:rsidRDefault="00B671F1"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360,3</w:t>
            </w:r>
          </w:p>
        </w:tc>
        <w:tc>
          <w:tcPr>
            <w:tcW w:w="1134" w:type="dxa"/>
            <w:shd w:val="clear" w:color="auto" w:fill="auto"/>
          </w:tcPr>
          <w:p w:rsidR="00B671F1" w:rsidRPr="00484A09" w:rsidRDefault="00B671F1"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10,7 %</w:t>
            </w:r>
          </w:p>
        </w:tc>
        <w:tc>
          <w:tcPr>
            <w:tcW w:w="1559" w:type="dxa"/>
            <w:shd w:val="clear" w:color="auto" w:fill="auto"/>
          </w:tcPr>
          <w:p w:rsidR="00B671F1" w:rsidRPr="00D83D6F" w:rsidRDefault="00B671F1"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14</w:t>
            </w:r>
          </w:p>
        </w:tc>
        <w:tc>
          <w:tcPr>
            <w:tcW w:w="1418" w:type="dxa"/>
            <w:shd w:val="clear" w:color="auto" w:fill="auto"/>
          </w:tcPr>
          <w:p w:rsidR="00B671F1" w:rsidRPr="00867EEA" w:rsidRDefault="002C7C32"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25</w:t>
            </w:r>
            <w:r w:rsidR="00B671F1">
              <w:rPr>
                <w:rFonts w:ascii="Times New Roman" w:hAnsi="Times New Roman"/>
                <w:color w:val="000000" w:themeColor="text1"/>
                <w:szCs w:val="24"/>
              </w:rPr>
              <w:t>0,0</w:t>
            </w:r>
          </w:p>
        </w:tc>
      </w:tr>
      <w:tr w:rsidR="00B671F1" w:rsidRPr="00545127" w:rsidTr="00F31A02">
        <w:trPr>
          <w:trHeight w:val="416"/>
        </w:trPr>
        <w:tc>
          <w:tcPr>
            <w:tcW w:w="4219" w:type="dxa"/>
            <w:shd w:val="clear" w:color="auto" w:fill="auto"/>
          </w:tcPr>
          <w:p w:rsidR="00B671F1" w:rsidRPr="00750B61" w:rsidRDefault="00B671F1" w:rsidP="00F31A02">
            <w:pPr>
              <w:pStyle w:val="a5"/>
              <w:spacing w:line="276" w:lineRule="auto"/>
              <w:rPr>
                <w:rFonts w:ascii="Times New Roman" w:hAnsi="Times New Roman"/>
                <w:color w:val="000000" w:themeColor="text1"/>
                <w:szCs w:val="24"/>
              </w:rPr>
            </w:pPr>
            <w:r w:rsidRPr="00750B61">
              <w:rPr>
                <w:rFonts w:ascii="Times New Roman" w:hAnsi="Times New Roman"/>
                <w:color w:val="000000" w:themeColor="text1"/>
                <w:szCs w:val="24"/>
              </w:rPr>
              <w:t>КП "Палац спорту "Юність"</w:t>
            </w:r>
          </w:p>
        </w:tc>
        <w:tc>
          <w:tcPr>
            <w:tcW w:w="1559" w:type="dxa"/>
            <w:shd w:val="clear" w:color="auto" w:fill="auto"/>
          </w:tcPr>
          <w:p w:rsidR="00B671F1" w:rsidRPr="00D83D6F" w:rsidRDefault="0085681C"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165,8</w:t>
            </w:r>
          </w:p>
        </w:tc>
        <w:tc>
          <w:tcPr>
            <w:tcW w:w="1134" w:type="dxa"/>
            <w:shd w:val="clear" w:color="auto" w:fill="auto"/>
          </w:tcPr>
          <w:p w:rsidR="00B671F1" w:rsidRPr="00484A09" w:rsidRDefault="0085681C"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4,9 %</w:t>
            </w:r>
          </w:p>
        </w:tc>
        <w:tc>
          <w:tcPr>
            <w:tcW w:w="1559" w:type="dxa"/>
            <w:shd w:val="clear" w:color="auto" w:fill="auto"/>
          </w:tcPr>
          <w:p w:rsidR="00B671F1" w:rsidRPr="00D83D6F" w:rsidRDefault="0085681C"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4</w:t>
            </w:r>
          </w:p>
        </w:tc>
        <w:tc>
          <w:tcPr>
            <w:tcW w:w="1418" w:type="dxa"/>
            <w:shd w:val="clear" w:color="auto" w:fill="auto"/>
          </w:tcPr>
          <w:p w:rsidR="00B671F1" w:rsidRPr="00867EEA" w:rsidRDefault="00CF0F05"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90</w:t>
            </w:r>
            <w:r w:rsidR="0085681C">
              <w:rPr>
                <w:rFonts w:ascii="Times New Roman" w:hAnsi="Times New Roman"/>
                <w:color w:val="000000" w:themeColor="text1"/>
                <w:szCs w:val="24"/>
              </w:rPr>
              <w:t>,0</w:t>
            </w:r>
          </w:p>
        </w:tc>
      </w:tr>
      <w:tr w:rsidR="000E2C33" w:rsidRPr="00545127" w:rsidTr="00F31A02">
        <w:trPr>
          <w:trHeight w:val="416"/>
        </w:trPr>
        <w:tc>
          <w:tcPr>
            <w:tcW w:w="4219" w:type="dxa"/>
            <w:shd w:val="clear" w:color="auto" w:fill="auto"/>
          </w:tcPr>
          <w:p w:rsidR="000E2C33" w:rsidRPr="00750B61" w:rsidRDefault="000E2C33" w:rsidP="00F31A02">
            <w:pPr>
              <w:pStyle w:val="a5"/>
              <w:spacing w:line="276" w:lineRule="auto"/>
              <w:rPr>
                <w:rFonts w:ascii="Times New Roman" w:hAnsi="Times New Roman"/>
                <w:color w:val="000000" w:themeColor="text1"/>
                <w:szCs w:val="24"/>
              </w:rPr>
            </w:pPr>
            <w:r w:rsidRPr="00750B61">
              <w:rPr>
                <w:rFonts w:ascii="Times New Roman" w:hAnsi="Times New Roman"/>
                <w:color w:val="000000" w:themeColor="text1"/>
                <w:szCs w:val="24"/>
              </w:rPr>
              <w:t>КП "Фірма «Райдуга" (30%)</w:t>
            </w:r>
          </w:p>
        </w:tc>
        <w:tc>
          <w:tcPr>
            <w:tcW w:w="1559" w:type="dxa"/>
            <w:shd w:val="clear" w:color="auto" w:fill="auto"/>
          </w:tcPr>
          <w:p w:rsidR="000E2C33" w:rsidRPr="00D83D6F" w:rsidRDefault="00D83D6F" w:rsidP="00F31A02">
            <w:pPr>
              <w:pStyle w:val="a5"/>
              <w:spacing w:line="276" w:lineRule="auto"/>
              <w:jc w:val="center"/>
              <w:rPr>
                <w:rFonts w:ascii="Times New Roman" w:hAnsi="Times New Roman"/>
                <w:color w:val="000000" w:themeColor="text1"/>
                <w:szCs w:val="24"/>
              </w:rPr>
            </w:pPr>
            <w:r w:rsidRPr="00D83D6F">
              <w:rPr>
                <w:rFonts w:ascii="Times New Roman" w:hAnsi="Times New Roman"/>
                <w:color w:val="000000" w:themeColor="text1"/>
                <w:szCs w:val="24"/>
              </w:rPr>
              <w:t>96,5</w:t>
            </w:r>
          </w:p>
        </w:tc>
        <w:tc>
          <w:tcPr>
            <w:tcW w:w="1134" w:type="dxa"/>
            <w:shd w:val="clear" w:color="auto" w:fill="auto"/>
          </w:tcPr>
          <w:p w:rsidR="000E2C33" w:rsidRPr="00484A09" w:rsidRDefault="00496C45" w:rsidP="00F31A02">
            <w:pPr>
              <w:pStyle w:val="a5"/>
              <w:spacing w:line="276" w:lineRule="auto"/>
              <w:jc w:val="center"/>
              <w:rPr>
                <w:rFonts w:ascii="Times New Roman" w:hAnsi="Times New Roman"/>
                <w:color w:val="000000" w:themeColor="text1"/>
                <w:szCs w:val="24"/>
              </w:rPr>
            </w:pPr>
            <w:r w:rsidRPr="00484A09">
              <w:rPr>
                <w:rFonts w:ascii="Times New Roman" w:hAnsi="Times New Roman"/>
                <w:color w:val="000000" w:themeColor="text1"/>
                <w:szCs w:val="24"/>
              </w:rPr>
              <w:t>2,9</w:t>
            </w:r>
            <w:r w:rsidR="000E2C33" w:rsidRPr="00484A09">
              <w:rPr>
                <w:rFonts w:ascii="Times New Roman" w:hAnsi="Times New Roman"/>
                <w:color w:val="000000" w:themeColor="text1"/>
                <w:szCs w:val="24"/>
              </w:rPr>
              <w:t xml:space="preserve"> %</w:t>
            </w:r>
          </w:p>
        </w:tc>
        <w:tc>
          <w:tcPr>
            <w:tcW w:w="1559" w:type="dxa"/>
            <w:shd w:val="clear" w:color="auto" w:fill="auto"/>
          </w:tcPr>
          <w:p w:rsidR="000E2C33" w:rsidRPr="00D83D6F" w:rsidRDefault="00D83D6F" w:rsidP="00F31A02">
            <w:pPr>
              <w:pStyle w:val="a5"/>
              <w:spacing w:line="276" w:lineRule="auto"/>
              <w:jc w:val="center"/>
              <w:rPr>
                <w:rFonts w:ascii="Times New Roman" w:hAnsi="Times New Roman"/>
                <w:color w:val="000000" w:themeColor="text1"/>
                <w:szCs w:val="24"/>
              </w:rPr>
            </w:pPr>
            <w:r w:rsidRPr="00D83D6F">
              <w:rPr>
                <w:rFonts w:ascii="Times New Roman" w:hAnsi="Times New Roman"/>
                <w:color w:val="000000" w:themeColor="text1"/>
                <w:szCs w:val="24"/>
              </w:rPr>
              <w:t>71</w:t>
            </w:r>
          </w:p>
        </w:tc>
        <w:tc>
          <w:tcPr>
            <w:tcW w:w="1418" w:type="dxa"/>
            <w:shd w:val="clear" w:color="auto" w:fill="auto"/>
          </w:tcPr>
          <w:p w:rsidR="000E2C33" w:rsidRPr="00867EEA" w:rsidRDefault="0067775B"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180,0</w:t>
            </w:r>
          </w:p>
        </w:tc>
      </w:tr>
      <w:tr w:rsidR="0085681C" w:rsidRPr="00545127" w:rsidTr="00F31A02">
        <w:trPr>
          <w:trHeight w:val="421"/>
        </w:trPr>
        <w:tc>
          <w:tcPr>
            <w:tcW w:w="4219" w:type="dxa"/>
            <w:shd w:val="clear" w:color="auto" w:fill="auto"/>
          </w:tcPr>
          <w:p w:rsidR="0085681C" w:rsidRPr="00750B61" w:rsidRDefault="0085681C" w:rsidP="00F31A02">
            <w:pPr>
              <w:pStyle w:val="a5"/>
              <w:spacing w:line="276" w:lineRule="auto"/>
              <w:jc w:val="left"/>
              <w:rPr>
                <w:rFonts w:ascii="Times New Roman" w:hAnsi="Times New Roman"/>
                <w:color w:val="000000" w:themeColor="text1"/>
                <w:szCs w:val="24"/>
              </w:rPr>
            </w:pPr>
            <w:r w:rsidRPr="00750B61">
              <w:rPr>
                <w:rFonts w:ascii="Times New Roman" w:hAnsi="Times New Roman"/>
                <w:color w:val="000000" w:themeColor="text1"/>
                <w:szCs w:val="24"/>
              </w:rPr>
              <w:t>КП "</w:t>
            </w:r>
            <w:proofErr w:type="spellStart"/>
            <w:r w:rsidRPr="00750B61">
              <w:rPr>
                <w:rFonts w:ascii="Times New Roman" w:hAnsi="Times New Roman"/>
                <w:color w:val="000000" w:themeColor="text1"/>
                <w:szCs w:val="24"/>
              </w:rPr>
              <w:t>Чорноморськтеплоенерго</w:t>
            </w:r>
            <w:proofErr w:type="spellEnd"/>
            <w:r w:rsidRPr="00750B61">
              <w:rPr>
                <w:rFonts w:ascii="Times New Roman" w:hAnsi="Times New Roman"/>
                <w:color w:val="000000" w:themeColor="text1"/>
                <w:szCs w:val="24"/>
              </w:rPr>
              <w:t>" (30%)</w:t>
            </w:r>
          </w:p>
        </w:tc>
        <w:tc>
          <w:tcPr>
            <w:tcW w:w="1559" w:type="dxa"/>
            <w:shd w:val="clear" w:color="auto" w:fill="auto"/>
          </w:tcPr>
          <w:p w:rsidR="0085681C" w:rsidRPr="00D83D6F" w:rsidRDefault="0085681C"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53,1</w:t>
            </w:r>
          </w:p>
        </w:tc>
        <w:tc>
          <w:tcPr>
            <w:tcW w:w="1134" w:type="dxa"/>
            <w:shd w:val="clear" w:color="auto" w:fill="auto"/>
          </w:tcPr>
          <w:p w:rsidR="0085681C" w:rsidRPr="00484A09" w:rsidRDefault="0085681C"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1,6</w:t>
            </w:r>
            <w:r w:rsidR="002C7C32">
              <w:rPr>
                <w:rFonts w:ascii="Times New Roman" w:hAnsi="Times New Roman"/>
                <w:color w:val="000000" w:themeColor="text1"/>
                <w:szCs w:val="24"/>
              </w:rPr>
              <w:t xml:space="preserve"> %</w:t>
            </w:r>
          </w:p>
        </w:tc>
        <w:tc>
          <w:tcPr>
            <w:tcW w:w="1559" w:type="dxa"/>
            <w:shd w:val="clear" w:color="auto" w:fill="auto"/>
          </w:tcPr>
          <w:p w:rsidR="0085681C" w:rsidRPr="00D83D6F" w:rsidRDefault="0085681C"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5</w:t>
            </w:r>
          </w:p>
        </w:tc>
        <w:tc>
          <w:tcPr>
            <w:tcW w:w="1418" w:type="dxa"/>
            <w:shd w:val="clear" w:color="auto" w:fill="auto"/>
          </w:tcPr>
          <w:p w:rsidR="0085681C" w:rsidRPr="00867EEA" w:rsidRDefault="002C7C32"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9</w:t>
            </w:r>
            <w:r w:rsidR="0085681C">
              <w:rPr>
                <w:rFonts w:ascii="Times New Roman" w:hAnsi="Times New Roman"/>
                <w:color w:val="000000" w:themeColor="text1"/>
                <w:szCs w:val="24"/>
              </w:rPr>
              <w:t>0,0</w:t>
            </w:r>
          </w:p>
        </w:tc>
      </w:tr>
      <w:tr w:rsidR="000E2C33" w:rsidRPr="00545127" w:rsidTr="00F31A02">
        <w:trPr>
          <w:trHeight w:val="421"/>
        </w:trPr>
        <w:tc>
          <w:tcPr>
            <w:tcW w:w="4219" w:type="dxa"/>
            <w:shd w:val="clear" w:color="auto" w:fill="auto"/>
          </w:tcPr>
          <w:p w:rsidR="000E2C33" w:rsidRPr="00750B61" w:rsidRDefault="000E2C33" w:rsidP="00F31A02">
            <w:pPr>
              <w:pStyle w:val="a5"/>
              <w:spacing w:line="276" w:lineRule="auto"/>
              <w:jc w:val="left"/>
              <w:rPr>
                <w:rFonts w:ascii="Times New Roman" w:hAnsi="Times New Roman"/>
                <w:color w:val="000000" w:themeColor="text1"/>
                <w:szCs w:val="24"/>
              </w:rPr>
            </w:pPr>
            <w:r w:rsidRPr="00750B61">
              <w:rPr>
                <w:rFonts w:ascii="Times New Roman" w:hAnsi="Times New Roman"/>
                <w:color w:val="000000" w:themeColor="text1"/>
                <w:szCs w:val="24"/>
              </w:rPr>
              <w:t>КП "</w:t>
            </w:r>
            <w:proofErr w:type="spellStart"/>
            <w:r w:rsidRPr="00750B61">
              <w:rPr>
                <w:rFonts w:ascii="Times New Roman" w:hAnsi="Times New Roman"/>
                <w:color w:val="000000" w:themeColor="text1"/>
                <w:szCs w:val="24"/>
              </w:rPr>
              <w:t>Чорноморськводоканал</w:t>
            </w:r>
            <w:proofErr w:type="spellEnd"/>
            <w:r w:rsidRPr="00750B61">
              <w:rPr>
                <w:rFonts w:ascii="Times New Roman" w:hAnsi="Times New Roman"/>
                <w:color w:val="000000" w:themeColor="text1"/>
                <w:szCs w:val="24"/>
              </w:rPr>
              <w:t>" (30%)</w:t>
            </w:r>
          </w:p>
        </w:tc>
        <w:tc>
          <w:tcPr>
            <w:tcW w:w="1559" w:type="dxa"/>
            <w:shd w:val="clear" w:color="auto" w:fill="auto"/>
          </w:tcPr>
          <w:p w:rsidR="000E2C33" w:rsidRPr="00D83D6F" w:rsidRDefault="00D83D6F" w:rsidP="00F31A02">
            <w:pPr>
              <w:pStyle w:val="a5"/>
              <w:spacing w:line="276" w:lineRule="auto"/>
              <w:jc w:val="center"/>
              <w:rPr>
                <w:rFonts w:ascii="Times New Roman" w:hAnsi="Times New Roman"/>
                <w:color w:val="000000" w:themeColor="text1"/>
                <w:szCs w:val="24"/>
              </w:rPr>
            </w:pPr>
            <w:r w:rsidRPr="00D83D6F">
              <w:rPr>
                <w:rFonts w:ascii="Times New Roman" w:hAnsi="Times New Roman"/>
                <w:color w:val="000000" w:themeColor="text1"/>
                <w:szCs w:val="24"/>
              </w:rPr>
              <w:t>32,6</w:t>
            </w:r>
          </w:p>
        </w:tc>
        <w:tc>
          <w:tcPr>
            <w:tcW w:w="1134" w:type="dxa"/>
            <w:shd w:val="clear" w:color="auto" w:fill="auto"/>
          </w:tcPr>
          <w:p w:rsidR="000E2C33" w:rsidRPr="00484A09" w:rsidRDefault="00484A09" w:rsidP="00F31A02">
            <w:pPr>
              <w:pStyle w:val="a5"/>
              <w:spacing w:line="276" w:lineRule="auto"/>
              <w:jc w:val="center"/>
              <w:rPr>
                <w:rFonts w:ascii="Times New Roman" w:hAnsi="Times New Roman"/>
                <w:color w:val="000000" w:themeColor="text1"/>
                <w:szCs w:val="24"/>
              </w:rPr>
            </w:pPr>
            <w:r w:rsidRPr="00484A09">
              <w:rPr>
                <w:rFonts w:ascii="Times New Roman" w:hAnsi="Times New Roman"/>
                <w:color w:val="000000" w:themeColor="text1"/>
                <w:szCs w:val="24"/>
              </w:rPr>
              <w:t>1,0</w:t>
            </w:r>
            <w:r w:rsidR="000E2C33" w:rsidRPr="00484A09">
              <w:rPr>
                <w:rFonts w:ascii="Times New Roman" w:hAnsi="Times New Roman"/>
                <w:color w:val="000000" w:themeColor="text1"/>
                <w:szCs w:val="24"/>
              </w:rPr>
              <w:t xml:space="preserve"> %</w:t>
            </w:r>
          </w:p>
        </w:tc>
        <w:tc>
          <w:tcPr>
            <w:tcW w:w="1559" w:type="dxa"/>
            <w:shd w:val="clear" w:color="auto" w:fill="auto"/>
          </w:tcPr>
          <w:p w:rsidR="000E2C33" w:rsidRPr="00D83D6F" w:rsidRDefault="00D83D6F" w:rsidP="00F31A02">
            <w:pPr>
              <w:pStyle w:val="a5"/>
              <w:spacing w:line="276" w:lineRule="auto"/>
              <w:jc w:val="center"/>
              <w:rPr>
                <w:rFonts w:ascii="Times New Roman" w:hAnsi="Times New Roman"/>
                <w:color w:val="000000" w:themeColor="text1"/>
                <w:szCs w:val="24"/>
              </w:rPr>
            </w:pPr>
            <w:r w:rsidRPr="00D83D6F">
              <w:rPr>
                <w:rFonts w:ascii="Times New Roman" w:hAnsi="Times New Roman"/>
                <w:color w:val="000000" w:themeColor="text1"/>
                <w:szCs w:val="24"/>
              </w:rPr>
              <w:t>8</w:t>
            </w:r>
          </w:p>
        </w:tc>
        <w:tc>
          <w:tcPr>
            <w:tcW w:w="1418" w:type="dxa"/>
            <w:shd w:val="clear" w:color="auto" w:fill="auto"/>
          </w:tcPr>
          <w:p w:rsidR="000E2C33" w:rsidRPr="00867EEA" w:rsidRDefault="00CF0F05" w:rsidP="00F31A02">
            <w:pPr>
              <w:pStyle w:val="a5"/>
              <w:spacing w:line="276" w:lineRule="auto"/>
              <w:jc w:val="center"/>
              <w:rPr>
                <w:rFonts w:ascii="Times New Roman" w:hAnsi="Times New Roman"/>
                <w:color w:val="000000" w:themeColor="text1"/>
                <w:szCs w:val="24"/>
              </w:rPr>
            </w:pPr>
            <w:r>
              <w:rPr>
                <w:rFonts w:ascii="Times New Roman" w:hAnsi="Times New Roman"/>
                <w:color w:val="000000" w:themeColor="text1"/>
                <w:szCs w:val="24"/>
              </w:rPr>
              <w:t>60</w:t>
            </w:r>
            <w:r w:rsidR="00406779" w:rsidRPr="00867EEA">
              <w:rPr>
                <w:rFonts w:ascii="Times New Roman" w:hAnsi="Times New Roman"/>
                <w:color w:val="000000" w:themeColor="text1"/>
                <w:szCs w:val="24"/>
              </w:rPr>
              <w:t>,0</w:t>
            </w:r>
          </w:p>
        </w:tc>
      </w:tr>
      <w:tr w:rsidR="000E2C33" w:rsidRPr="00545127" w:rsidTr="00F31A02">
        <w:trPr>
          <w:trHeight w:val="419"/>
        </w:trPr>
        <w:tc>
          <w:tcPr>
            <w:tcW w:w="4219" w:type="dxa"/>
            <w:shd w:val="clear" w:color="auto" w:fill="auto"/>
          </w:tcPr>
          <w:p w:rsidR="000E2C33" w:rsidRPr="00750B61" w:rsidRDefault="000E2C33" w:rsidP="00F31A02">
            <w:pPr>
              <w:pStyle w:val="a5"/>
              <w:spacing w:line="276" w:lineRule="auto"/>
              <w:rPr>
                <w:rFonts w:ascii="Times New Roman" w:hAnsi="Times New Roman"/>
                <w:b/>
                <w:color w:val="000000" w:themeColor="text1"/>
                <w:szCs w:val="24"/>
              </w:rPr>
            </w:pPr>
            <w:r w:rsidRPr="00750B61">
              <w:rPr>
                <w:rFonts w:ascii="Times New Roman" w:hAnsi="Times New Roman"/>
                <w:b/>
                <w:color w:val="000000" w:themeColor="text1"/>
                <w:szCs w:val="24"/>
              </w:rPr>
              <w:t>РАЗОМ :</w:t>
            </w:r>
          </w:p>
        </w:tc>
        <w:tc>
          <w:tcPr>
            <w:tcW w:w="1559" w:type="dxa"/>
            <w:shd w:val="clear" w:color="auto" w:fill="auto"/>
          </w:tcPr>
          <w:p w:rsidR="000E2C33" w:rsidRPr="00545127" w:rsidRDefault="00D83D6F" w:rsidP="00F31A02">
            <w:pPr>
              <w:pStyle w:val="a5"/>
              <w:spacing w:line="276" w:lineRule="auto"/>
              <w:jc w:val="center"/>
              <w:rPr>
                <w:rFonts w:ascii="Times New Roman" w:hAnsi="Times New Roman"/>
                <w:b/>
                <w:color w:val="000000" w:themeColor="text1"/>
                <w:szCs w:val="24"/>
                <w:highlight w:val="yellow"/>
              </w:rPr>
            </w:pPr>
            <w:r w:rsidRPr="00D83D6F">
              <w:rPr>
                <w:rFonts w:ascii="Times New Roman" w:hAnsi="Times New Roman"/>
                <w:b/>
                <w:color w:val="000000" w:themeColor="text1"/>
                <w:szCs w:val="24"/>
              </w:rPr>
              <w:t>3 349,5</w:t>
            </w:r>
          </w:p>
        </w:tc>
        <w:tc>
          <w:tcPr>
            <w:tcW w:w="1134" w:type="dxa"/>
            <w:shd w:val="clear" w:color="auto" w:fill="auto"/>
          </w:tcPr>
          <w:p w:rsidR="000E2C33" w:rsidRPr="00545127" w:rsidRDefault="000E2C33" w:rsidP="00F31A02">
            <w:pPr>
              <w:pStyle w:val="a5"/>
              <w:spacing w:line="276" w:lineRule="auto"/>
              <w:jc w:val="center"/>
              <w:rPr>
                <w:rFonts w:ascii="Times New Roman" w:hAnsi="Times New Roman"/>
                <w:b/>
                <w:color w:val="000000" w:themeColor="text1"/>
                <w:szCs w:val="24"/>
                <w:highlight w:val="yellow"/>
              </w:rPr>
            </w:pPr>
            <w:r w:rsidRPr="001E07AF">
              <w:rPr>
                <w:rFonts w:ascii="Times New Roman" w:hAnsi="Times New Roman"/>
                <w:b/>
                <w:color w:val="000000" w:themeColor="text1"/>
                <w:szCs w:val="24"/>
              </w:rPr>
              <w:t>100 %</w:t>
            </w:r>
          </w:p>
        </w:tc>
        <w:tc>
          <w:tcPr>
            <w:tcW w:w="1559" w:type="dxa"/>
            <w:shd w:val="clear" w:color="auto" w:fill="auto"/>
          </w:tcPr>
          <w:p w:rsidR="000E2C33" w:rsidRPr="00545127" w:rsidRDefault="00406779" w:rsidP="00F31A02">
            <w:pPr>
              <w:pStyle w:val="a5"/>
              <w:spacing w:line="276" w:lineRule="auto"/>
              <w:jc w:val="center"/>
              <w:rPr>
                <w:rFonts w:ascii="Times New Roman" w:hAnsi="Times New Roman"/>
                <w:b/>
                <w:color w:val="000000" w:themeColor="text1"/>
                <w:szCs w:val="24"/>
                <w:highlight w:val="yellow"/>
              </w:rPr>
            </w:pPr>
            <w:r w:rsidRPr="00867EEA">
              <w:rPr>
                <w:rFonts w:ascii="Times New Roman" w:hAnsi="Times New Roman"/>
                <w:b/>
                <w:color w:val="000000" w:themeColor="text1"/>
                <w:szCs w:val="24"/>
              </w:rPr>
              <w:t>172</w:t>
            </w:r>
          </w:p>
        </w:tc>
        <w:tc>
          <w:tcPr>
            <w:tcW w:w="1418" w:type="dxa"/>
            <w:shd w:val="clear" w:color="auto" w:fill="auto"/>
          </w:tcPr>
          <w:p w:rsidR="000E2C33" w:rsidRPr="00545127" w:rsidRDefault="00977DCD" w:rsidP="00F31A02">
            <w:pPr>
              <w:pStyle w:val="a5"/>
              <w:spacing w:line="276" w:lineRule="auto"/>
              <w:jc w:val="center"/>
              <w:rPr>
                <w:rFonts w:ascii="Times New Roman" w:hAnsi="Times New Roman"/>
                <w:b/>
                <w:color w:val="000000" w:themeColor="text1"/>
                <w:szCs w:val="24"/>
                <w:highlight w:val="yellow"/>
              </w:rPr>
            </w:pPr>
            <w:r w:rsidRPr="00D83D6F">
              <w:rPr>
                <w:rFonts w:ascii="Times New Roman" w:hAnsi="Times New Roman"/>
                <w:b/>
                <w:color w:val="000000" w:themeColor="text1"/>
                <w:szCs w:val="24"/>
              </w:rPr>
              <w:t>4 000,0</w:t>
            </w:r>
          </w:p>
        </w:tc>
      </w:tr>
    </w:tbl>
    <w:p w:rsidR="000E2C33" w:rsidRPr="00545127" w:rsidRDefault="000E2C33" w:rsidP="00F31A02">
      <w:pPr>
        <w:pStyle w:val="a5"/>
        <w:spacing w:line="276" w:lineRule="auto"/>
        <w:rPr>
          <w:rFonts w:ascii="Times New Roman" w:hAnsi="Times New Roman"/>
          <w:szCs w:val="24"/>
          <w:highlight w:val="yellow"/>
        </w:rPr>
      </w:pPr>
    </w:p>
    <w:p w:rsidR="000E2C33" w:rsidRPr="00811EB5" w:rsidRDefault="000E2C33" w:rsidP="000E2C33">
      <w:pPr>
        <w:pStyle w:val="a5"/>
        <w:ind w:firstLine="567"/>
        <w:rPr>
          <w:rFonts w:ascii="Times New Roman" w:hAnsi="Times New Roman"/>
          <w:szCs w:val="24"/>
        </w:rPr>
      </w:pPr>
      <w:r w:rsidRPr="00811EB5">
        <w:rPr>
          <w:rFonts w:ascii="Times New Roman" w:hAnsi="Times New Roman"/>
          <w:b/>
          <w:szCs w:val="24"/>
        </w:rPr>
        <w:lastRenderedPageBreak/>
        <w:t>Державне мито (ККДБ 22090000)</w:t>
      </w:r>
      <w:r w:rsidR="00E20796" w:rsidRPr="00811EB5">
        <w:rPr>
          <w:rFonts w:ascii="Times New Roman" w:hAnsi="Times New Roman"/>
          <w:szCs w:val="24"/>
        </w:rPr>
        <w:t xml:space="preserve"> планується на 2024</w:t>
      </w:r>
      <w:r w:rsidRPr="00811EB5">
        <w:rPr>
          <w:rFonts w:ascii="Times New Roman" w:hAnsi="Times New Roman"/>
          <w:szCs w:val="24"/>
        </w:rPr>
        <w:t xml:space="preserve"> рік у сумі </w:t>
      </w:r>
      <w:r w:rsidR="00E20796" w:rsidRPr="00811EB5">
        <w:rPr>
          <w:rFonts w:ascii="Times New Roman" w:hAnsi="Times New Roman"/>
          <w:b/>
          <w:szCs w:val="24"/>
        </w:rPr>
        <w:t>35,0 тис.</w:t>
      </w:r>
      <w:r w:rsidRPr="00811EB5">
        <w:rPr>
          <w:rFonts w:ascii="Times New Roman" w:hAnsi="Times New Roman"/>
          <w:b/>
          <w:szCs w:val="24"/>
        </w:rPr>
        <w:t xml:space="preserve"> грн</w:t>
      </w:r>
      <w:r w:rsidRPr="00811EB5">
        <w:rPr>
          <w:rFonts w:ascii="Times New Roman" w:hAnsi="Times New Roman"/>
          <w:szCs w:val="24"/>
        </w:rPr>
        <w:t>.</w:t>
      </w:r>
    </w:p>
    <w:p w:rsidR="000E2C33" w:rsidRPr="00811EB5" w:rsidRDefault="000E2C33" w:rsidP="000E2C33">
      <w:pPr>
        <w:pStyle w:val="a5"/>
        <w:ind w:firstLine="567"/>
        <w:rPr>
          <w:rFonts w:ascii="Times New Roman" w:hAnsi="Times New Roman"/>
          <w:szCs w:val="24"/>
        </w:rPr>
      </w:pPr>
      <w:r w:rsidRPr="00811EB5">
        <w:rPr>
          <w:rFonts w:ascii="Times New Roman" w:hAnsi="Times New Roman"/>
          <w:szCs w:val="24"/>
        </w:rPr>
        <w:t xml:space="preserve">Структура надходжень державного мита до бюджету міста формується за рахунок: </w:t>
      </w:r>
    </w:p>
    <w:p w:rsidR="000E2C33" w:rsidRPr="00811EB5" w:rsidRDefault="000E2C33" w:rsidP="000E2C33">
      <w:pPr>
        <w:pStyle w:val="a5"/>
        <w:ind w:firstLine="567"/>
        <w:rPr>
          <w:rFonts w:ascii="Times New Roman" w:hAnsi="Times New Roman"/>
          <w:szCs w:val="24"/>
        </w:rPr>
      </w:pPr>
      <w:r w:rsidRPr="00811EB5">
        <w:rPr>
          <w:rFonts w:ascii="Times New Roman" w:hAnsi="Times New Roman"/>
          <w:szCs w:val="24"/>
        </w:rPr>
        <w:t>- державного мита, що сплачується за місцем розгляду та оформлення документів, у тому числі за оформлення документів на спадщину і дарування – 11,5%;</w:t>
      </w:r>
    </w:p>
    <w:p w:rsidR="000E2C33" w:rsidRPr="00811EB5" w:rsidRDefault="000E2C33" w:rsidP="000E2C33">
      <w:pPr>
        <w:pStyle w:val="a5"/>
        <w:ind w:firstLine="567"/>
        <w:rPr>
          <w:rFonts w:ascii="Times New Roman" w:hAnsi="Times New Roman"/>
          <w:szCs w:val="24"/>
        </w:rPr>
      </w:pPr>
      <w:r w:rsidRPr="00811EB5">
        <w:rPr>
          <w:rFonts w:ascii="Times New Roman" w:hAnsi="Times New Roman"/>
          <w:szCs w:val="24"/>
        </w:rPr>
        <w:t>- державного мита, пов'язаного з  оформленням закордонних паспортів (посвідок) та паспортів України - 88,5%.</w:t>
      </w:r>
    </w:p>
    <w:p w:rsidR="000E2C33" w:rsidRPr="00545127" w:rsidRDefault="000E2C33" w:rsidP="000E2C33">
      <w:pPr>
        <w:pStyle w:val="a5"/>
        <w:spacing w:line="276" w:lineRule="auto"/>
        <w:rPr>
          <w:rFonts w:ascii="Times New Roman" w:hAnsi="Times New Roman"/>
          <w:szCs w:val="24"/>
          <w:highlight w:val="yellow"/>
        </w:rPr>
      </w:pPr>
    </w:p>
    <w:p w:rsidR="000E2C33" w:rsidRPr="008A22EE" w:rsidRDefault="00811EB5" w:rsidP="000E2C33">
      <w:pPr>
        <w:spacing w:after="0"/>
        <w:jc w:val="both"/>
        <w:rPr>
          <w:rFonts w:ascii="Times New Roman" w:hAnsi="Times New Roman" w:cs="Times New Roman"/>
          <w:b/>
          <w:sz w:val="16"/>
          <w:szCs w:val="16"/>
          <w:lang w:val="uk-UA"/>
        </w:rPr>
      </w:pPr>
      <w:r w:rsidRPr="008A22EE">
        <w:rPr>
          <w:rFonts w:ascii="Times New Roman" w:hAnsi="Times New Roman" w:cs="Times New Roman"/>
          <w:b/>
          <w:noProof/>
          <w:color w:val="D99594" w:themeColor="accent2" w:themeTint="99"/>
          <w:sz w:val="16"/>
          <w:szCs w:val="16"/>
          <w:lang w:val="uk-UA" w:eastAsia="uk-UA"/>
        </w:rPr>
        <w:drawing>
          <wp:inline distT="0" distB="0" distL="0" distR="0" wp14:anchorId="17560F8D" wp14:editId="5B9F40BB">
            <wp:extent cx="6029325" cy="3851290"/>
            <wp:effectExtent l="19050" t="19050" r="9525" b="15875"/>
            <wp:docPr id="3"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157773" w:rsidRDefault="00157773" w:rsidP="00582AD2">
      <w:pPr>
        <w:pStyle w:val="a5"/>
        <w:spacing w:line="276" w:lineRule="auto"/>
        <w:ind w:firstLine="567"/>
        <w:rPr>
          <w:rFonts w:ascii="Times New Roman" w:hAnsi="Times New Roman"/>
          <w:i/>
          <w:szCs w:val="24"/>
        </w:rPr>
      </w:pPr>
      <w:r w:rsidRPr="00157773">
        <w:rPr>
          <w:rFonts w:ascii="Times New Roman" w:hAnsi="Times New Roman"/>
          <w:i/>
          <w:szCs w:val="24"/>
        </w:rPr>
        <w:t>Довідково: н</w:t>
      </w:r>
      <w:r w:rsidR="00FE3B8F" w:rsidRPr="00157773">
        <w:rPr>
          <w:rFonts w:ascii="Times New Roman" w:hAnsi="Times New Roman"/>
          <w:i/>
          <w:szCs w:val="24"/>
        </w:rPr>
        <w:t xml:space="preserve">адходження державного мита до бюджету Чорноморської міської ТГ </w:t>
      </w:r>
      <w:r>
        <w:rPr>
          <w:rFonts w:ascii="Times New Roman" w:hAnsi="Times New Roman"/>
          <w:i/>
          <w:szCs w:val="24"/>
        </w:rPr>
        <w:t xml:space="preserve">                  </w:t>
      </w:r>
      <w:r w:rsidR="00CE52DC" w:rsidRPr="00157773">
        <w:rPr>
          <w:rFonts w:ascii="Times New Roman" w:hAnsi="Times New Roman"/>
          <w:b/>
          <w:i/>
          <w:szCs w:val="24"/>
        </w:rPr>
        <w:t>за 2023 рік (очікувані)</w:t>
      </w:r>
      <w:r w:rsidR="00CE52DC" w:rsidRPr="00157773">
        <w:rPr>
          <w:rFonts w:ascii="Times New Roman" w:hAnsi="Times New Roman"/>
          <w:i/>
          <w:szCs w:val="24"/>
        </w:rPr>
        <w:t xml:space="preserve"> з урахуванням </w:t>
      </w:r>
      <w:r w:rsidR="00BE56C1" w:rsidRPr="00157773">
        <w:rPr>
          <w:rFonts w:ascii="Times New Roman" w:hAnsi="Times New Roman"/>
          <w:i/>
          <w:szCs w:val="24"/>
        </w:rPr>
        <w:t>сплати</w:t>
      </w:r>
      <w:r w:rsidR="00BB7883" w:rsidRPr="00157773">
        <w:rPr>
          <w:rFonts w:ascii="Times New Roman" w:hAnsi="Times New Roman"/>
          <w:i/>
          <w:szCs w:val="24"/>
        </w:rPr>
        <w:t xml:space="preserve"> </w:t>
      </w:r>
      <w:r w:rsidRPr="00157773">
        <w:rPr>
          <w:rFonts w:ascii="Times New Roman" w:hAnsi="Times New Roman"/>
          <w:i/>
          <w:szCs w:val="24"/>
        </w:rPr>
        <w:t>в травні поточного року</w:t>
      </w:r>
      <w:r w:rsidR="009334D3" w:rsidRPr="00157773">
        <w:rPr>
          <w:rFonts w:ascii="Times New Roman" w:hAnsi="Times New Roman"/>
          <w:i/>
          <w:szCs w:val="24"/>
        </w:rPr>
        <w:t xml:space="preserve"> </w:t>
      </w:r>
      <w:r w:rsidR="00BE56C1" w:rsidRPr="00157773">
        <w:rPr>
          <w:rFonts w:ascii="Times New Roman" w:hAnsi="Times New Roman"/>
          <w:i/>
          <w:szCs w:val="24"/>
        </w:rPr>
        <w:t>ПАТ «АДМ ІЛЛІ</w:t>
      </w:r>
      <w:r w:rsidRPr="00157773">
        <w:rPr>
          <w:rFonts w:ascii="Times New Roman" w:hAnsi="Times New Roman"/>
          <w:i/>
          <w:szCs w:val="24"/>
        </w:rPr>
        <w:t>Ч</w:t>
      </w:r>
      <w:r w:rsidR="00BE56C1" w:rsidRPr="00157773">
        <w:rPr>
          <w:rFonts w:ascii="Times New Roman" w:hAnsi="Times New Roman"/>
          <w:i/>
          <w:szCs w:val="24"/>
        </w:rPr>
        <w:t>ІВСЬК»</w:t>
      </w:r>
      <w:r w:rsidR="00BB7883" w:rsidRPr="00157773">
        <w:rPr>
          <w:rFonts w:ascii="Times New Roman" w:hAnsi="Times New Roman"/>
          <w:i/>
          <w:szCs w:val="24"/>
        </w:rPr>
        <w:t xml:space="preserve"> </w:t>
      </w:r>
      <w:r w:rsidR="00754533" w:rsidRPr="00157773">
        <w:rPr>
          <w:rFonts w:ascii="Times New Roman" w:hAnsi="Times New Roman"/>
          <w:i/>
          <w:szCs w:val="24"/>
        </w:rPr>
        <w:t>держмита, що сплачується за місцем реєстраці</w:t>
      </w:r>
      <w:r w:rsidRPr="00157773">
        <w:rPr>
          <w:rFonts w:ascii="Times New Roman" w:hAnsi="Times New Roman"/>
          <w:i/>
          <w:szCs w:val="24"/>
        </w:rPr>
        <w:t xml:space="preserve">ї </w:t>
      </w:r>
      <w:r w:rsidR="00ED5805">
        <w:rPr>
          <w:rFonts w:ascii="Times New Roman" w:hAnsi="Times New Roman"/>
          <w:i/>
          <w:szCs w:val="24"/>
        </w:rPr>
        <w:t xml:space="preserve">випуску </w:t>
      </w:r>
      <w:r w:rsidRPr="00157773">
        <w:rPr>
          <w:rFonts w:ascii="Times New Roman" w:hAnsi="Times New Roman"/>
          <w:i/>
          <w:szCs w:val="24"/>
        </w:rPr>
        <w:t>цінних паперів в                                сумі 134,2 тис. грн.</w:t>
      </w:r>
    </w:p>
    <w:p w:rsidR="00582AD2" w:rsidRDefault="00582AD2" w:rsidP="00582AD2">
      <w:pPr>
        <w:pStyle w:val="a5"/>
        <w:spacing w:line="276" w:lineRule="auto"/>
        <w:ind w:firstLine="567"/>
        <w:rPr>
          <w:rFonts w:ascii="Times New Roman" w:hAnsi="Times New Roman"/>
          <w:b/>
          <w:szCs w:val="24"/>
        </w:rPr>
      </w:pPr>
    </w:p>
    <w:p w:rsidR="000E2C33" w:rsidRPr="000804B7" w:rsidRDefault="000E2C33" w:rsidP="00DF56C5">
      <w:pPr>
        <w:pStyle w:val="a5"/>
        <w:ind w:firstLine="567"/>
        <w:rPr>
          <w:rFonts w:ascii="Times New Roman" w:hAnsi="Times New Roman"/>
        </w:rPr>
      </w:pPr>
      <w:r w:rsidRPr="00AC1E0A">
        <w:rPr>
          <w:rFonts w:ascii="Times New Roman" w:hAnsi="Times New Roman"/>
          <w:b/>
          <w:szCs w:val="24"/>
        </w:rPr>
        <w:t xml:space="preserve">Інші надходження (ККДБ 24060300) </w:t>
      </w:r>
      <w:r w:rsidRPr="00AC1E0A">
        <w:rPr>
          <w:rFonts w:ascii="Times New Roman" w:hAnsi="Times New Roman"/>
          <w:szCs w:val="24"/>
        </w:rPr>
        <w:t xml:space="preserve">розраховані у сумі </w:t>
      </w:r>
      <w:r w:rsidR="000804B7" w:rsidRPr="00AC1E0A">
        <w:rPr>
          <w:rFonts w:ascii="Times New Roman" w:hAnsi="Times New Roman"/>
          <w:szCs w:val="24"/>
        </w:rPr>
        <w:t>1 700,0 тис.</w:t>
      </w:r>
      <w:r w:rsidR="000550F3" w:rsidRPr="00AC1E0A">
        <w:rPr>
          <w:rFonts w:ascii="Times New Roman" w:hAnsi="Times New Roman"/>
          <w:szCs w:val="24"/>
        </w:rPr>
        <w:t xml:space="preserve"> </w:t>
      </w:r>
      <w:r w:rsidR="000804B7" w:rsidRPr="00AC1E0A">
        <w:rPr>
          <w:rFonts w:ascii="Times New Roman" w:hAnsi="Times New Roman"/>
          <w:szCs w:val="24"/>
        </w:rPr>
        <w:t>грн</w:t>
      </w:r>
      <w:r w:rsidRPr="00AC1E0A">
        <w:rPr>
          <w:rFonts w:ascii="Times New Roman" w:hAnsi="Times New Roman"/>
          <w:szCs w:val="24"/>
        </w:rPr>
        <w:t xml:space="preserve"> </w:t>
      </w:r>
      <w:r w:rsidR="00582AD2" w:rsidRPr="00AC1E0A">
        <w:rPr>
          <w:rFonts w:ascii="Times New Roman" w:hAnsi="Times New Roman"/>
          <w:szCs w:val="24"/>
        </w:rPr>
        <w:t>з урахуванням динаміки</w:t>
      </w:r>
      <w:r w:rsidR="00A5453C" w:rsidRPr="00AC1E0A">
        <w:rPr>
          <w:rFonts w:ascii="Times New Roman" w:hAnsi="Times New Roman"/>
          <w:szCs w:val="24"/>
        </w:rPr>
        <w:t xml:space="preserve"> таких</w:t>
      </w:r>
      <w:r w:rsidR="00582AD2" w:rsidRPr="00AC1E0A">
        <w:rPr>
          <w:rFonts w:ascii="Times New Roman" w:hAnsi="Times New Roman"/>
          <w:szCs w:val="24"/>
        </w:rPr>
        <w:t xml:space="preserve"> надходжень  за минулі періоди</w:t>
      </w:r>
      <w:r w:rsidRPr="00AC1E0A">
        <w:rPr>
          <w:rFonts w:ascii="Times New Roman" w:hAnsi="Times New Roman"/>
        </w:rPr>
        <w:t>.</w:t>
      </w:r>
    </w:p>
    <w:p w:rsidR="000E2C33" w:rsidRPr="000804B7" w:rsidRDefault="000E2C33" w:rsidP="00DF56C5">
      <w:pPr>
        <w:pStyle w:val="a5"/>
        <w:ind w:firstLine="567"/>
        <w:rPr>
          <w:rFonts w:ascii="Times New Roman" w:hAnsi="Times New Roman"/>
          <w:szCs w:val="24"/>
        </w:rPr>
      </w:pPr>
      <w:r w:rsidRPr="000804B7">
        <w:rPr>
          <w:rFonts w:ascii="Times New Roman" w:hAnsi="Times New Roman"/>
          <w:szCs w:val="24"/>
        </w:rPr>
        <w:t>Структуру  інших надходжень формують:</w:t>
      </w:r>
    </w:p>
    <w:p w:rsidR="000E2C33" w:rsidRPr="000804B7" w:rsidRDefault="000E2C33" w:rsidP="00E67FF2">
      <w:pPr>
        <w:pStyle w:val="a5"/>
        <w:numPr>
          <w:ilvl w:val="0"/>
          <w:numId w:val="8"/>
        </w:numPr>
        <w:rPr>
          <w:rFonts w:ascii="Times New Roman" w:hAnsi="Times New Roman"/>
        </w:rPr>
      </w:pPr>
      <w:r w:rsidRPr="000804B7">
        <w:rPr>
          <w:rFonts w:ascii="Times New Roman" w:hAnsi="Times New Roman"/>
        </w:rPr>
        <w:t>надходження від плати за розміщення зовнішньої реклами (рішення виконавчого комітету Чорноморської міської ради від 31.10.2019р. № 277);</w:t>
      </w:r>
    </w:p>
    <w:p w:rsidR="000E2C33" w:rsidRPr="000804B7" w:rsidRDefault="000E2C33" w:rsidP="00E67FF2">
      <w:pPr>
        <w:pStyle w:val="a5"/>
        <w:numPr>
          <w:ilvl w:val="0"/>
          <w:numId w:val="8"/>
        </w:numPr>
        <w:rPr>
          <w:rFonts w:ascii="Times New Roman" w:hAnsi="Times New Roman"/>
        </w:rPr>
      </w:pPr>
      <w:r w:rsidRPr="000804B7">
        <w:rPr>
          <w:rFonts w:ascii="Times New Roman" w:hAnsi="Times New Roman"/>
        </w:rPr>
        <w:t>надходження від договорів на право користування чужою земельною ділянкою для забудови (</w:t>
      </w:r>
      <w:proofErr w:type="spellStart"/>
      <w:r w:rsidRPr="000804B7">
        <w:rPr>
          <w:rFonts w:ascii="Times New Roman" w:hAnsi="Times New Roman"/>
        </w:rPr>
        <w:t>суперфіцій</w:t>
      </w:r>
      <w:proofErr w:type="spellEnd"/>
      <w:r w:rsidRPr="000804B7">
        <w:rPr>
          <w:rFonts w:ascii="Times New Roman" w:hAnsi="Times New Roman"/>
        </w:rPr>
        <w:t>);</w:t>
      </w:r>
    </w:p>
    <w:p w:rsidR="000E2C33" w:rsidRPr="000804B7" w:rsidRDefault="000E2C33" w:rsidP="00E67FF2">
      <w:pPr>
        <w:pStyle w:val="a5"/>
        <w:numPr>
          <w:ilvl w:val="0"/>
          <w:numId w:val="8"/>
        </w:numPr>
        <w:rPr>
          <w:rFonts w:ascii="Times New Roman" w:hAnsi="Times New Roman"/>
        </w:rPr>
      </w:pPr>
      <w:r w:rsidRPr="000804B7">
        <w:rPr>
          <w:rFonts w:ascii="Times New Roman" w:hAnsi="Times New Roman"/>
        </w:rPr>
        <w:t>відшкодування збитків внаслідок порушення порядку землекористування;</w:t>
      </w:r>
    </w:p>
    <w:p w:rsidR="000E2C33" w:rsidRPr="000804B7" w:rsidRDefault="000E2C33" w:rsidP="00E67FF2">
      <w:pPr>
        <w:pStyle w:val="a5"/>
        <w:numPr>
          <w:ilvl w:val="0"/>
          <w:numId w:val="8"/>
        </w:numPr>
        <w:rPr>
          <w:rFonts w:ascii="Times New Roman" w:hAnsi="Times New Roman"/>
        </w:rPr>
      </w:pPr>
      <w:r w:rsidRPr="000804B7">
        <w:rPr>
          <w:rFonts w:ascii="Times New Roman" w:hAnsi="Times New Roman"/>
        </w:rPr>
        <w:t>повернення видатків минулих років.</w:t>
      </w:r>
    </w:p>
    <w:p w:rsidR="008D283F" w:rsidRPr="00545127" w:rsidRDefault="008D283F" w:rsidP="00970412">
      <w:pPr>
        <w:pStyle w:val="a5"/>
        <w:spacing w:line="276" w:lineRule="auto"/>
        <w:ind w:left="720"/>
        <w:rPr>
          <w:rFonts w:ascii="Times New Roman" w:hAnsi="Times New Roman"/>
          <w:highlight w:val="yellow"/>
        </w:rPr>
      </w:pPr>
    </w:p>
    <w:p w:rsidR="000E2C33" w:rsidRPr="00F1780E" w:rsidRDefault="000E2C33" w:rsidP="000E2C33">
      <w:pPr>
        <w:pStyle w:val="a5"/>
        <w:ind w:firstLine="567"/>
        <w:rPr>
          <w:rFonts w:ascii="Times New Roman" w:hAnsi="Times New Roman"/>
          <w:b/>
          <w:szCs w:val="24"/>
        </w:rPr>
      </w:pPr>
      <w:r w:rsidRPr="00F1780E">
        <w:rPr>
          <w:rFonts w:ascii="Times New Roman" w:hAnsi="Times New Roman"/>
          <w:b/>
          <w:szCs w:val="24"/>
        </w:rPr>
        <w:t>Доходи спеціального фонду бюджету Чорноморської міської територіальної громади</w:t>
      </w:r>
      <w:r w:rsidR="008F4615" w:rsidRPr="00F1780E">
        <w:rPr>
          <w:rFonts w:ascii="Times New Roman" w:hAnsi="Times New Roman"/>
          <w:b/>
          <w:szCs w:val="24"/>
        </w:rPr>
        <w:t xml:space="preserve"> на 2024</w:t>
      </w:r>
      <w:r w:rsidR="00F6144C" w:rsidRPr="00F1780E">
        <w:rPr>
          <w:rFonts w:ascii="Times New Roman" w:hAnsi="Times New Roman"/>
          <w:b/>
          <w:szCs w:val="24"/>
        </w:rPr>
        <w:t xml:space="preserve"> рік </w:t>
      </w:r>
      <w:r w:rsidR="004E3D53" w:rsidRPr="00F1780E">
        <w:rPr>
          <w:rFonts w:ascii="Times New Roman" w:hAnsi="Times New Roman"/>
          <w:b/>
          <w:szCs w:val="24"/>
        </w:rPr>
        <w:t xml:space="preserve">розраховані </w:t>
      </w:r>
      <w:r w:rsidR="00F6144C" w:rsidRPr="00F1780E">
        <w:rPr>
          <w:rFonts w:ascii="Times New Roman" w:hAnsi="Times New Roman"/>
          <w:b/>
          <w:szCs w:val="24"/>
        </w:rPr>
        <w:t xml:space="preserve"> у сумі </w:t>
      </w:r>
      <w:r w:rsidR="00F1780E" w:rsidRPr="00F1780E">
        <w:rPr>
          <w:rFonts w:ascii="Times New Roman" w:hAnsi="Times New Roman"/>
          <w:b/>
          <w:szCs w:val="24"/>
        </w:rPr>
        <w:t xml:space="preserve"> 21 149,0</w:t>
      </w:r>
      <w:r w:rsidR="008F4615" w:rsidRPr="00F1780E">
        <w:rPr>
          <w:rFonts w:ascii="Times New Roman" w:hAnsi="Times New Roman"/>
          <w:b/>
          <w:szCs w:val="24"/>
        </w:rPr>
        <w:t xml:space="preserve"> тис.</w:t>
      </w:r>
      <w:r w:rsidRPr="00F1780E">
        <w:rPr>
          <w:rFonts w:ascii="Times New Roman" w:hAnsi="Times New Roman"/>
          <w:b/>
          <w:szCs w:val="24"/>
        </w:rPr>
        <w:t xml:space="preserve"> грн,  в тому числі доходи бюджету розвитку – </w:t>
      </w:r>
      <w:r w:rsidR="008F4615" w:rsidRPr="00F1780E">
        <w:rPr>
          <w:rFonts w:ascii="Times New Roman" w:hAnsi="Times New Roman"/>
          <w:b/>
          <w:szCs w:val="24"/>
        </w:rPr>
        <w:t>2 799,0 тис.</w:t>
      </w:r>
      <w:r w:rsidR="0002467A">
        <w:rPr>
          <w:rFonts w:ascii="Times New Roman" w:hAnsi="Times New Roman"/>
          <w:b/>
          <w:szCs w:val="24"/>
        </w:rPr>
        <w:t xml:space="preserve"> </w:t>
      </w:r>
      <w:r w:rsidR="008F4615" w:rsidRPr="00F1780E">
        <w:rPr>
          <w:rFonts w:ascii="Times New Roman" w:hAnsi="Times New Roman"/>
          <w:b/>
          <w:szCs w:val="24"/>
        </w:rPr>
        <w:t>грн</w:t>
      </w:r>
      <w:r w:rsidR="007D65EE">
        <w:rPr>
          <w:rFonts w:ascii="Times New Roman" w:hAnsi="Times New Roman"/>
          <w:b/>
          <w:szCs w:val="24"/>
        </w:rPr>
        <w:t>.</w:t>
      </w:r>
      <w:r w:rsidRPr="00F1780E">
        <w:rPr>
          <w:rFonts w:ascii="Times New Roman" w:hAnsi="Times New Roman"/>
          <w:b/>
          <w:szCs w:val="24"/>
        </w:rPr>
        <w:t xml:space="preserve">  </w:t>
      </w:r>
    </w:p>
    <w:p w:rsidR="000E2C33" w:rsidRPr="00545127" w:rsidRDefault="000E2C33" w:rsidP="000E2C33">
      <w:pPr>
        <w:pStyle w:val="a5"/>
        <w:ind w:firstLine="567"/>
        <w:rPr>
          <w:rFonts w:ascii="Times New Roman" w:hAnsi="Times New Roman"/>
          <w:szCs w:val="24"/>
          <w:highlight w:val="yellow"/>
        </w:rPr>
      </w:pPr>
    </w:p>
    <w:p w:rsidR="000E2C33" w:rsidRPr="00545127" w:rsidRDefault="000E2C33" w:rsidP="000E2C33">
      <w:pPr>
        <w:pStyle w:val="a5"/>
        <w:spacing w:line="276" w:lineRule="auto"/>
        <w:rPr>
          <w:rFonts w:ascii="Times New Roman" w:hAnsi="Times New Roman"/>
          <w:b/>
          <w:sz w:val="18"/>
          <w:szCs w:val="18"/>
          <w:highlight w:val="yellow"/>
        </w:rPr>
      </w:pPr>
      <w:r w:rsidRPr="004A0354">
        <w:rPr>
          <w:noProof/>
          <w:sz w:val="18"/>
          <w:szCs w:val="18"/>
          <w:lang w:eastAsia="uk-UA"/>
        </w:rPr>
        <w:lastRenderedPageBreak/>
        <w:drawing>
          <wp:inline distT="0" distB="0" distL="0" distR="0" wp14:anchorId="7151E994" wp14:editId="6E7ABAD7">
            <wp:extent cx="5940425" cy="3162300"/>
            <wp:effectExtent l="0" t="0" r="3175"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0E2C33" w:rsidRPr="00545127" w:rsidRDefault="000E2C33" w:rsidP="000E2C33">
      <w:pPr>
        <w:pStyle w:val="a5"/>
        <w:ind w:firstLine="567"/>
        <w:rPr>
          <w:rFonts w:ascii="Times New Roman" w:hAnsi="Times New Roman"/>
          <w:szCs w:val="24"/>
          <w:highlight w:val="yellow"/>
        </w:rPr>
      </w:pPr>
    </w:p>
    <w:p w:rsidR="000E2C33" w:rsidRPr="00F1780E" w:rsidRDefault="000E2C33" w:rsidP="000E2C33">
      <w:pPr>
        <w:pStyle w:val="a5"/>
        <w:ind w:firstLine="567"/>
        <w:rPr>
          <w:rFonts w:ascii="Times New Roman" w:hAnsi="Times New Roman"/>
          <w:szCs w:val="24"/>
        </w:rPr>
      </w:pPr>
      <w:r w:rsidRPr="00F1780E">
        <w:rPr>
          <w:rFonts w:ascii="Times New Roman" w:hAnsi="Times New Roman"/>
          <w:szCs w:val="24"/>
        </w:rPr>
        <w:t xml:space="preserve">В структурі доходів спеціального фонду бюджету міста </w:t>
      </w:r>
      <w:r w:rsidR="00F1780E" w:rsidRPr="00F1780E">
        <w:rPr>
          <w:rFonts w:ascii="Times New Roman" w:hAnsi="Times New Roman"/>
          <w:szCs w:val="24"/>
        </w:rPr>
        <w:t>85,1</w:t>
      </w:r>
      <w:r w:rsidRPr="00F1780E">
        <w:rPr>
          <w:rFonts w:ascii="Times New Roman" w:hAnsi="Times New Roman"/>
          <w:szCs w:val="24"/>
        </w:rPr>
        <w:t xml:space="preserve"> % складають  </w:t>
      </w:r>
      <w:r w:rsidR="00AB1823" w:rsidRPr="00F1780E">
        <w:rPr>
          <w:rFonts w:ascii="Times New Roman" w:hAnsi="Times New Roman"/>
          <w:szCs w:val="24"/>
        </w:rPr>
        <w:t xml:space="preserve">                         </w:t>
      </w:r>
      <w:r w:rsidRPr="00F1780E">
        <w:rPr>
          <w:rFonts w:ascii="Times New Roman" w:hAnsi="Times New Roman"/>
          <w:b/>
          <w:szCs w:val="24"/>
        </w:rPr>
        <w:t>власні надходження</w:t>
      </w:r>
      <w:r w:rsidRPr="00F1780E">
        <w:rPr>
          <w:rFonts w:ascii="Times New Roman" w:hAnsi="Times New Roman"/>
          <w:szCs w:val="24"/>
        </w:rPr>
        <w:t xml:space="preserve"> бюджетних установ </w:t>
      </w:r>
      <w:r w:rsidRPr="00F1780E">
        <w:rPr>
          <w:rFonts w:ascii="Times New Roman" w:hAnsi="Times New Roman"/>
          <w:b/>
          <w:szCs w:val="24"/>
        </w:rPr>
        <w:t>(ККДБ</w:t>
      </w:r>
      <w:r w:rsidR="006252DE">
        <w:rPr>
          <w:rFonts w:ascii="Times New Roman" w:hAnsi="Times New Roman"/>
          <w:b/>
          <w:szCs w:val="24"/>
        </w:rPr>
        <w:t xml:space="preserve"> </w:t>
      </w:r>
      <w:r w:rsidRPr="00F1780E">
        <w:rPr>
          <w:rFonts w:ascii="Times New Roman" w:hAnsi="Times New Roman"/>
          <w:b/>
          <w:szCs w:val="24"/>
        </w:rPr>
        <w:t>25000000)</w:t>
      </w:r>
      <w:r w:rsidRPr="00F1780E">
        <w:rPr>
          <w:rFonts w:ascii="Times New Roman" w:hAnsi="Times New Roman"/>
          <w:szCs w:val="24"/>
        </w:rPr>
        <w:t>,</w:t>
      </w:r>
      <w:r w:rsidRPr="00F1780E">
        <w:rPr>
          <w:rFonts w:ascii="Times New Roman" w:hAnsi="Times New Roman"/>
          <w:b/>
          <w:szCs w:val="24"/>
        </w:rPr>
        <w:t xml:space="preserve"> </w:t>
      </w:r>
      <w:r w:rsidRPr="00F1780E">
        <w:rPr>
          <w:rFonts w:ascii="Times New Roman" w:hAnsi="Times New Roman"/>
          <w:szCs w:val="24"/>
        </w:rPr>
        <w:t>які</w:t>
      </w:r>
      <w:r w:rsidRPr="00F1780E">
        <w:rPr>
          <w:rFonts w:ascii="Times New Roman" w:hAnsi="Times New Roman"/>
          <w:b/>
          <w:szCs w:val="24"/>
        </w:rPr>
        <w:t xml:space="preserve"> </w:t>
      </w:r>
      <w:r w:rsidRPr="00F1780E">
        <w:rPr>
          <w:rFonts w:ascii="Times New Roman" w:hAnsi="Times New Roman"/>
          <w:szCs w:val="24"/>
        </w:rPr>
        <w:t>розрахован</w:t>
      </w:r>
      <w:r w:rsidR="00222DBD" w:rsidRPr="00F1780E">
        <w:rPr>
          <w:rFonts w:ascii="Times New Roman" w:hAnsi="Times New Roman"/>
          <w:szCs w:val="24"/>
        </w:rPr>
        <w:t>о</w:t>
      </w:r>
      <w:r w:rsidRPr="00F1780E">
        <w:rPr>
          <w:rFonts w:ascii="Times New Roman" w:hAnsi="Times New Roman"/>
          <w:szCs w:val="24"/>
        </w:rPr>
        <w:t xml:space="preserve"> у сумі</w:t>
      </w:r>
      <w:r w:rsidR="00AB1823" w:rsidRPr="00F1780E">
        <w:rPr>
          <w:rFonts w:ascii="Times New Roman" w:hAnsi="Times New Roman"/>
          <w:szCs w:val="24"/>
        </w:rPr>
        <w:t xml:space="preserve">                       </w:t>
      </w:r>
      <w:r w:rsidRPr="00F1780E">
        <w:rPr>
          <w:rFonts w:ascii="Times New Roman" w:hAnsi="Times New Roman"/>
          <w:szCs w:val="24"/>
        </w:rPr>
        <w:t xml:space="preserve"> </w:t>
      </w:r>
      <w:r w:rsidR="00F1780E" w:rsidRPr="00F1780E">
        <w:rPr>
          <w:rFonts w:ascii="Times New Roman" w:hAnsi="Times New Roman"/>
          <w:szCs w:val="24"/>
        </w:rPr>
        <w:t>18 000,0 тис.</w:t>
      </w:r>
      <w:r w:rsidR="0002467A">
        <w:rPr>
          <w:rFonts w:ascii="Times New Roman" w:hAnsi="Times New Roman"/>
          <w:szCs w:val="24"/>
        </w:rPr>
        <w:t xml:space="preserve"> </w:t>
      </w:r>
      <w:r w:rsidR="00F1780E" w:rsidRPr="00F1780E">
        <w:rPr>
          <w:rFonts w:ascii="Times New Roman" w:hAnsi="Times New Roman"/>
          <w:szCs w:val="24"/>
        </w:rPr>
        <w:t>грн</w:t>
      </w:r>
      <w:r w:rsidR="0002467A">
        <w:rPr>
          <w:rFonts w:ascii="Times New Roman" w:hAnsi="Times New Roman"/>
          <w:szCs w:val="24"/>
        </w:rPr>
        <w:t>.</w:t>
      </w:r>
    </w:p>
    <w:p w:rsidR="008A22EE" w:rsidRDefault="008A22EE" w:rsidP="000E2C33">
      <w:pPr>
        <w:spacing w:after="0" w:line="240" w:lineRule="auto"/>
        <w:ind w:firstLine="567"/>
        <w:jc w:val="both"/>
        <w:rPr>
          <w:rFonts w:ascii="Times New Roman" w:hAnsi="Times New Roman"/>
          <w:sz w:val="24"/>
          <w:szCs w:val="24"/>
          <w:lang w:val="uk-UA"/>
        </w:rPr>
      </w:pPr>
    </w:p>
    <w:p w:rsidR="000E2C33" w:rsidRPr="00F1780E" w:rsidRDefault="000E2C33" w:rsidP="000E2C33">
      <w:pPr>
        <w:spacing w:after="0" w:line="240" w:lineRule="auto"/>
        <w:ind w:firstLine="567"/>
        <w:jc w:val="both"/>
        <w:rPr>
          <w:rFonts w:ascii="Times New Roman" w:hAnsi="Times New Roman"/>
          <w:sz w:val="24"/>
          <w:szCs w:val="24"/>
          <w:lang w:val="uk-UA"/>
        </w:rPr>
      </w:pPr>
      <w:r w:rsidRPr="00F1780E">
        <w:rPr>
          <w:rFonts w:ascii="Times New Roman" w:hAnsi="Times New Roman"/>
          <w:sz w:val="24"/>
          <w:szCs w:val="24"/>
          <w:lang w:val="uk-UA"/>
        </w:rPr>
        <w:t xml:space="preserve">У складі спеціального фонду бюджету громади створено </w:t>
      </w:r>
      <w:r w:rsidRPr="00F1780E">
        <w:rPr>
          <w:rFonts w:ascii="Times New Roman" w:hAnsi="Times New Roman"/>
          <w:b/>
          <w:sz w:val="24"/>
          <w:szCs w:val="24"/>
          <w:lang w:val="uk-UA"/>
        </w:rPr>
        <w:t>Фонд охорони  навколишнього природного середовища</w:t>
      </w:r>
      <w:r w:rsidRPr="00F1780E">
        <w:rPr>
          <w:rFonts w:ascii="Times New Roman" w:hAnsi="Times New Roman"/>
          <w:sz w:val="24"/>
          <w:szCs w:val="24"/>
          <w:lang w:val="uk-UA"/>
        </w:rPr>
        <w:t>, доходна частина якого формується за рахунок надходження екологічного податку та грошових стягнень за шкоду, заподіяну порушенням законодавства про охорону навколишнього природного середовища.</w:t>
      </w:r>
    </w:p>
    <w:p w:rsidR="008A22EE" w:rsidRDefault="008A22EE" w:rsidP="000E2C33">
      <w:pPr>
        <w:spacing w:after="0" w:line="240" w:lineRule="auto"/>
        <w:ind w:firstLine="567"/>
        <w:jc w:val="both"/>
        <w:rPr>
          <w:rFonts w:ascii="Times New Roman" w:hAnsi="Times New Roman" w:cs="Times New Roman"/>
          <w:b/>
          <w:sz w:val="24"/>
          <w:szCs w:val="24"/>
          <w:lang w:val="uk-UA"/>
        </w:rPr>
      </w:pPr>
    </w:p>
    <w:p w:rsidR="000E2C33" w:rsidRPr="00AA008C" w:rsidRDefault="000E2C33" w:rsidP="000E2C33">
      <w:pPr>
        <w:spacing w:after="0" w:line="240" w:lineRule="auto"/>
        <w:ind w:firstLine="567"/>
        <w:jc w:val="both"/>
        <w:rPr>
          <w:rFonts w:ascii="Times New Roman" w:hAnsi="Times New Roman" w:cs="Times New Roman"/>
          <w:sz w:val="24"/>
          <w:szCs w:val="24"/>
          <w:lang w:val="uk-UA"/>
        </w:rPr>
      </w:pPr>
      <w:r w:rsidRPr="00AA008C">
        <w:rPr>
          <w:rFonts w:ascii="Times New Roman" w:hAnsi="Times New Roman" w:cs="Times New Roman"/>
          <w:b/>
          <w:sz w:val="24"/>
          <w:szCs w:val="24"/>
          <w:lang w:val="uk-UA"/>
        </w:rPr>
        <w:t>Екологічний податок (ККДБ19010000)</w:t>
      </w:r>
      <w:r w:rsidRPr="00AA008C">
        <w:rPr>
          <w:rFonts w:ascii="Times New Roman" w:hAnsi="Times New Roman" w:cs="Times New Roman"/>
          <w:sz w:val="24"/>
          <w:szCs w:val="24"/>
          <w:lang w:val="uk-UA"/>
        </w:rPr>
        <w:t xml:space="preserve"> </w:t>
      </w:r>
      <w:r w:rsidR="00222DBD" w:rsidRPr="00AA008C">
        <w:rPr>
          <w:rFonts w:ascii="Times New Roman" w:hAnsi="Times New Roman" w:cs="Times New Roman"/>
          <w:sz w:val="24"/>
          <w:szCs w:val="24"/>
          <w:lang w:val="uk-UA"/>
        </w:rPr>
        <w:t>розраховано у сумі</w:t>
      </w:r>
      <w:r w:rsidRPr="00AA008C">
        <w:rPr>
          <w:rFonts w:ascii="Times New Roman" w:hAnsi="Times New Roman" w:cs="Times New Roman"/>
          <w:sz w:val="24"/>
          <w:szCs w:val="24"/>
          <w:lang w:val="uk-UA"/>
        </w:rPr>
        <w:t xml:space="preserve"> </w:t>
      </w:r>
      <w:r w:rsidR="00AA008C" w:rsidRPr="00AA008C">
        <w:rPr>
          <w:rFonts w:ascii="Times New Roman" w:hAnsi="Times New Roman" w:cs="Times New Roman"/>
          <w:sz w:val="24"/>
          <w:szCs w:val="24"/>
          <w:lang w:val="uk-UA"/>
        </w:rPr>
        <w:t>300,0 тис.</w:t>
      </w:r>
      <w:r w:rsidR="0002467A">
        <w:rPr>
          <w:rFonts w:ascii="Times New Roman" w:hAnsi="Times New Roman" w:cs="Times New Roman"/>
          <w:sz w:val="24"/>
          <w:szCs w:val="24"/>
          <w:lang w:val="uk-UA"/>
        </w:rPr>
        <w:t xml:space="preserve"> </w:t>
      </w:r>
      <w:r w:rsidR="00AA008C" w:rsidRPr="00AA008C">
        <w:rPr>
          <w:rFonts w:ascii="Times New Roman" w:hAnsi="Times New Roman" w:cs="Times New Roman"/>
          <w:sz w:val="24"/>
          <w:szCs w:val="24"/>
          <w:lang w:val="uk-UA"/>
        </w:rPr>
        <w:t>грн.</w:t>
      </w:r>
      <w:r w:rsidRPr="00AA008C">
        <w:rPr>
          <w:rFonts w:ascii="Times New Roman" w:hAnsi="Times New Roman" w:cs="Times New Roman"/>
          <w:sz w:val="24"/>
          <w:szCs w:val="24"/>
          <w:lang w:val="uk-UA"/>
        </w:rPr>
        <w:t xml:space="preserve"> Прогнозні показники розраховані з урахуванням динаміки надходжень даного виду податку за минулі періоди.    </w:t>
      </w:r>
    </w:p>
    <w:p w:rsidR="000E2C33" w:rsidRPr="00AA008C" w:rsidRDefault="000E2C33" w:rsidP="000E2C33">
      <w:pPr>
        <w:spacing w:after="0" w:line="240" w:lineRule="auto"/>
        <w:ind w:firstLine="567"/>
        <w:jc w:val="both"/>
        <w:rPr>
          <w:rFonts w:ascii="Times New Roman" w:hAnsi="Times New Roman" w:cs="Times New Roman"/>
          <w:sz w:val="24"/>
          <w:szCs w:val="24"/>
          <w:lang w:val="uk-UA"/>
        </w:rPr>
      </w:pPr>
      <w:r w:rsidRPr="00AA008C">
        <w:rPr>
          <w:rFonts w:ascii="Times New Roman" w:hAnsi="Times New Roman" w:cs="Times New Roman"/>
          <w:sz w:val="24"/>
          <w:szCs w:val="24"/>
          <w:lang w:val="uk-UA"/>
        </w:rPr>
        <w:t>Відповідно до Бюджетного кодексу України надходження екологічного податку у 2023 році розподіляються наступним чином:</w:t>
      </w:r>
    </w:p>
    <w:p w:rsidR="000E2C33" w:rsidRPr="00AA008C" w:rsidRDefault="000E2C33" w:rsidP="000E2C33">
      <w:pPr>
        <w:spacing w:after="0" w:line="240" w:lineRule="auto"/>
        <w:ind w:firstLine="567"/>
        <w:jc w:val="both"/>
        <w:rPr>
          <w:rFonts w:ascii="Times New Roman" w:hAnsi="Times New Roman" w:cs="Times New Roman"/>
          <w:sz w:val="24"/>
          <w:szCs w:val="24"/>
          <w:lang w:val="uk-UA"/>
        </w:rPr>
      </w:pPr>
      <w:r w:rsidRPr="00AA008C">
        <w:rPr>
          <w:rFonts w:ascii="Times New Roman" w:hAnsi="Times New Roman" w:cs="Times New Roman"/>
          <w:b/>
          <w:sz w:val="24"/>
          <w:szCs w:val="24"/>
          <w:lang w:val="uk-UA"/>
        </w:rPr>
        <w:t>- 55 %</w:t>
      </w:r>
      <w:r w:rsidRPr="00AA008C">
        <w:rPr>
          <w:rFonts w:ascii="Times New Roman" w:hAnsi="Times New Roman" w:cs="Times New Roman"/>
          <w:sz w:val="24"/>
          <w:szCs w:val="24"/>
          <w:lang w:val="uk-UA"/>
        </w:rPr>
        <w:t xml:space="preserve"> до місцевих бюджетів, з них:</w:t>
      </w:r>
    </w:p>
    <w:p w:rsidR="000E2C33" w:rsidRPr="00AA008C" w:rsidRDefault="000E2C33" w:rsidP="00141DB6">
      <w:pPr>
        <w:pStyle w:val="a4"/>
        <w:numPr>
          <w:ilvl w:val="0"/>
          <w:numId w:val="6"/>
        </w:numPr>
        <w:spacing w:after="0" w:line="240" w:lineRule="auto"/>
        <w:ind w:left="0" w:firstLine="567"/>
        <w:jc w:val="both"/>
        <w:rPr>
          <w:rFonts w:ascii="Times New Roman" w:hAnsi="Times New Roman" w:cs="Times New Roman"/>
          <w:sz w:val="24"/>
          <w:szCs w:val="24"/>
          <w:lang w:val="uk-UA"/>
        </w:rPr>
      </w:pPr>
      <w:r w:rsidRPr="00AA008C">
        <w:rPr>
          <w:rFonts w:ascii="Times New Roman" w:hAnsi="Times New Roman" w:cs="Times New Roman"/>
          <w:b/>
          <w:sz w:val="24"/>
          <w:szCs w:val="24"/>
          <w:lang w:val="uk-UA"/>
        </w:rPr>
        <w:t>30 %</w:t>
      </w:r>
      <w:r w:rsidRPr="00AA008C">
        <w:rPr>
          <w:rFonts w:ascii="Times New Roman" w:hAnsi="Times New Roman" w:cs="Times New Roman"/>
          <w:sz w:val="24"/>
          <w:szCs w:val="24"/>
          <w:lang w:val="uk-UA"/>
        </w:rPr>
        <w:t xml:space="preserve"> - до обласного бюджету;</w:t>
      </w:r>
    </w:p>
    <w:p w:rsidR="000E2C33" w:rsidRPr="00AA008C" w:rsidRDefault="000E2C33" w:rsidP="00141DB6">
      <w:pPr>
        <w:pStyle w:val="a4"/>
        <w:numPr>
          <w:ilvl w:val="0"/>
          <w:numId w:val="6"/>
        </w:numPr>
        <w:spacing w:after="0" w:line="240" w:lineRule="auto"/>
        <w:ind w:left="0" w:firstLine="567"/>
        <w:jc w:val="both"/>
        <w:rPr>
          <w:rFonts w:ascii="Times New Roman" w:hAnsi="Times New Roman" w:cs="Times New Roman"/>
          <w:sz w:val="24"/>
          <w:szCs w:val="24"/>
          <w:lang w:val="uk-UA"/>
        </w:rPr>
      </w:pPr>
      <w:r w:rsidRPr="00AA008C">
        <w:rPr>
          <w:rFonts w:ascii="Times New Roman" w:hAnsi="Times New Roman" w:cs="Times New Roman"/>
          <w:b/>
          <w:sz w:val="24"/>
          <w:szCs w:val="24"/>
          <w:lang w:val="uk-UA"/>
        </w:rPr>
        <w:t>25 %</w:t>
      </w:r>
      <w:r w:rsidRPr="00AA008C">
        <w:rPr>
          <w:rFonts w:ascii="Times New Roman" w:hAnsi="Times New Roman" w:cs="Times New Roman"/>
          <w:sz w:val="24"/>
          <w:szCs w:val="24"/>
          <w:lang w:val="uk-UA"/>
        </w:rPr>
        <w:t xml:space="preserve"> - до бюджету громади;</w:t>
      </w:r>
    </w:p>
    <w:p w:rsidR="000E2C33" w:rsidRPr="00AA008C" w:rsidRDefault="000E2C33" w:rsidP="00535D27">
      <w:pPr>
        <w:pStyle w:val="a4"/>
        <w:spacing w:after="0" w:line="240" w:lineRule="auto"/>
        <w:ind w:left="567"/>
        <w:jc w:val="both"/>
        <w:rPr>
          <w:rFonts w:ascii="Times New Roman" w:hAnsi="Times New Roman" w:cs="Times New Roman"/>
          <w:b/>
          <w:sz w:val="24"/>
          <w:szCs w:val="24"/>
          <w:lang w:val="uk-UA"/>
        </w:rPr>
      </w:pPr>
      <w:r w:rsidRPr="00AA008C">
        <w:rPr>
          <w:rFonts w:ascii="Times New Roman" w:hAnsi="Times New Roman" w:cs="Times New Roman"/>
          <w:b/>
          <w:sz w:val="24"/>
          <w:szCs w:val="24"/>
          <w:lang w:val="uk-UA"/>
        </w:rPr>
        <w:t>- 45 %</w:t>
      </w:r>
      <w:r w:rsidRPr="00AA008C">
        <w:rPr>
          <w:rFonts w:ascii="Times New Roman" w:hAnsi="Times New Roman" w:cs="Times New Roman"/>
          <w:sz w:val="24"/>
          <w:szCs w:val="24"/>
          <w:lang w:val="uk-UA"/>
        </w:rPr>
        <w:t xml:space="preserve"> до державного бюджету.</w:t>
      </w:r>
    </w:p>
    <w:p w:rsidR="008A22EE" w:rsidRDefault="008A22EE" w:rsidP="00535D27">
      <w:pPr>
        <w:pStyle w:val="a5"/>
        <w:ind w:firstLine="567"/>
        <w:rPr>
          <w:rFonts w:ascii="Times New Roman" w:hAnsi="Times New Roman"/>
          <w:b/>
          <w:szCs w:val="24"/>
        </w:rPr>
      </w:pPr>
    </w:p>
    <w:p w:rsidR="000E2C33" w:rsidRPr="00235835" w:rsidRDefault="000E2C33" w:rsidP="00535D27">
      <w:pPr>
        <w:pStyle w:val="a5"/>
        <w:ind w:firstLine="567"/>
        <w:rPr>
          <w:rFonts w:ascii="Times New Roman" w:hAnsi="Times New Roman"/>
          <w:szCs w:val="24"/>
        </w:rPr>
      </w:pPr>
      <w:r w:rsidRPr="00235835">
        <w:rPr>
          <w:rFonts w:ascii="Times New Roman" w:hAnsi="Times New Roman"/>
          <w:b/>
          <w:szCs w:val="24"/>
        </w:rPr>
        <w:t>Надходження грошових стягнень за шкоду, заподіяну порушенням законодавства про охорону навколишнього природного середовища</w:t>
      </w:r>
      <w:r w:rsidRPr="00235835">
        <w:rPr>
          <w:rFonts w:ascii="Times New Roman" w:hAnsi="Times New Roman"/>
          <w:szCs w:val="24"/>
        </w:rPr>
        <w:t xml:space="preserve"> внаслідок господарської та іншої діяльності </w:t>
      </w:r>
      <w:r w:rsidRPr="00235835">
        <w:rPr>
          <w:rFonts w:ascii="Times New Roman" w:hAnsi="Times New Roman"/>
          <w:b/>
          <w:szCs w:val="24"/>
        </w:rPr>
        <w:t xml:space="preserve">(ККДБ24062100) </w:t>
      </w:r>
      <w:r w:rsidRPr="00235835">
        <w:rPr>
          <w:rFonts w:ascii="Times New Roman" w:hAnsi="Times New Roman"/>
          <w:szCs w:val="24"/>
        </w:rPr>
        <w:t>на 202</w:t>
      </w:r>
      <w:r w:rsidR="00235835" w:rsidRPr="00235835">
        <w:rPr>
          <w:rFonts w:ascii="Times New Roman" w:hAnsi="Times New Roman"/>
          <w:szCs w:val="24"/>
        </w:rPr>
        <w:t>4</w:t>
      </w:r>
      <w:r w:rsidRPr="00235835">
        <w:rPr>
          <w:rFonts w:ascii="Times New Roman" w:hAnsi="Times New Roman"/>
          <w:szCs w:val="24"/>
        </w:rPr>
        <w:t xml:space="preserve"> рік визначені  у сумі   </w:t>
      </w:r>
      <w:r w:rsidR="00235835" w:rsidRPr="00235835">
        <w:rPr>
          <w:rFonts w:ascii="Times New Roman" w:hAnsi="Times New Roman"/>
          <w:szCs w:val="24"/>
        </w:rPr>
        <w:t>50,0 тис.</w:t>
      </w:r>
      <w:r w:rsidR="00DE246B">
        <w:rPr>
          <w:rFonts w:ascii="Times New Roman" w:hAnsi="Times New Roman"/>
          <w:szCs w:val="24"/>
        </w:rPr>
        <w:t xml:space="preserve"> </w:t>
      </w:r>
      <w:r w:rsidR="00235835" w:rsidRPr="00235835">
        <w:rPr>
          <w:rFonts w:ascii="Times New Roman" w:hAnsi="Times New Roman"/>
          <w:szCs w:val="24"/>
        </w:rPr>
        <w:t>грн</w:t>
      </w:r>
      <w:r w:rsidRPr="00235835">
        <w:rPr>
          <w:rFonts w:ascii="Times New Roman" w:hAnsi="Times New Roman"/>
          <w:szCs w:val="24"/>
        </w:rPr>
        <w:t>, оскільки даний вид надходжень носить не системний характер.</w:t>
      </w:r>
    </w:p>
    <w:p w:rsidR="000E2C33" w:rsidRPr="00235835" w:rsidRDefault="000E2C33" w:rsidP="000E2C33">
      <w:pPr>
        <w:spacing w:after="0" w:line="240" w:lineRule="auto"/>
        <w:ind w:right="-2" w:firstLine="567"/>
        <w:jc w:val="both"/>
        <w:rPr>
          <w:rFonts w:ascii="Times New Roman" w:hAnsi="Times New Roman" w:cs="Times New Roman"/>
          <w:bCs/>
          <w:sz w:val="24"/>
          <w:szCs w:val="24"/>
          <w:lang w:val="uk-UA"/>
        </w:rPr>
      </w:pPr>
      <w:r w:rsidRPr="00235835">
        <w:rPr>
          <w:rFonts w:ascii="Times New Roman" w:hAnsi="Times New Roman" w:cs="Times New Roman"/>
          <w:sz w:val="24"/>
          <w:szCs w:val="24"/>
          <w:lang w:val="uk-UA"/>
        </w:rPr>
        <w:t xml:space="preserve">Відповідно до </w:t>
      </w:r>
      <w:r w:rsidRPr="00235835">
        <w:rPr>
          <w:rFonts w:ascii="Times New Roman" w:hAnsi="Times New Roman" w:cs="Times New Roman"/>
          <w:bCs/>
          <w:sz w:val="24"/>
          <w:szCs w:val="24"/>
          <w:lang w:val="uk-UA"/>
        </w:rPr>
        <w:t xml:space="preserve">Бюджетного кодексу України </w:t>
      </w:r>
      <w:r w:rsidRPr="00235835">
        <w:rPr>
          <w:rFonts w:ascii="Times New Roman" w:hAnsi="Times New Roman" w:cs="Times New Roman"/>
          <w:sz w:val="24"/>
          <w:szCs w:val="24"/>
          <w:lang w:val="uk-UA"/>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r w:rsidRPr="00235835">
        <w:rPr>
          <w:rFonts w:ascii="Times New Roman" w:hAnsi="Times New Roman" w:cs="Times New Roman"/>
          <w:bCs/>
          <w:sz w:val="24"/>
          <w:szCs w:val="24"/>
          <w:lang w:val="uk-UA"/>
        </w:rPr>
        <w:t xml:space="preserve"> розподіляються наступним чином :</w:t>
      </w:r>
    </w:p>
    <w:p w:rsidR="000E2C33" w:rsidRPr="00235835" w:rsidRDefault="000E2C33" w:rsidP="00141DB6">
      <w:pPr>
        <w:pStyle w:val="a4"/>
        <w:numPr>
          <w:ilvl w:val="0"/>
          <w:numId w:val="5"/>
        </w:numPr>
        <w:spacing w:after="0" w:line="240" w:lineRule="auto"/>
        <w:ind w:firstLine="567"/>
        <w:jc w:val="both"/>
        <w:rPr>
          <w:rFonts w:ascii="Times New Roman" w:hAnsi="Times New Roman" w:cs="Times New Roman"/>
          <w:sz w:val="24"/>
          <w:szCs w:val="24"/>
          <w:lang w:val="uk-UA"/>
        </w:rPr>
      </w:pPr>
      <w:r w:rsidRPr="00235835">
        <w:rPr>
          <w:rFonts w:ascii="Times New Roman" w:hAnsi="Times New Roman" w:cs="Times New Roman"/>
          <w:b/>
          <w:sz w:val="24"/>
          <w:szCs w:val="24"/>
          <w:lang w:val="uk-UA"/>
        </w:rPr>
        <w:t>70 %</w:t>
      </w:r>
      <w:r w:rsidRPr="00235835">
        <w:rPr>
          <w:rFonts w:ascii="Times New Roman" w:hAnsi="Times New Roman" w:cs="Times New Roman"/>
          <w:sz w:val="24"/>
          <w:szCs w:val="24"/>
          <w:lang w:val="uk-UA"/>
        </w:rPr>
        <w:t xml:space="preserve"> до місцевих бюджетів, з них :</w:t>
      </w:r>
    </w:p>
    <w:p w:rsidR="000E2C33" w:rsidRPr="00235835" w:rsidRDefault="000E2C33" w:rsidP="00141DB6">
      <w:pPr>
        <w:pStyle w:val="a4"/>
        <w:numPr>
          <w:ilvl w:val="0"/>
          <w:numId w:val="6"/>
        </w:numPr>
        <w:spacing w:after="0" w:line="240" w:lineRule="auto"/>
        <w:ind w:firstLine="567"/>
        <w:jc w:val="both"/>
        <w:rPr>
          <w:rFonts w:ascii="Times New Roman" w:hAnsi="Times New Roman" w:cs="Times New Roman"/>
          <w:sz w:val="24"/>
          <w:szCs w:val="24"/>
          <w:lang w:val="uk-UA"/>
        </w:rPr>
      </w:pPr>
      <w:r w:rsidRPr="00235835">
        <w:rPr>
          <w:rFonts w:ascii="Times New Roman" w:hAnsi="Times New Roman" w:cs="Times New Roman"/>
          <w:b/>
          <w:sz w:val="24"/>
          <w:szCs w:val="24"/>
          <w:lang w:val="uk-UA"/>
        </w:rPr>
        <w:t>20 %</w:t>
      </w:r>
      <w:r w:rsidRPr="00235835">
        <w:rPr>
          <w:rFonts w:ascii="Times New Roman" w:hAnsi="Times New Roman" w:cs="Times New Roman"/>
          <w:sz w:val="24"/>
          <w:szCs w:val="24"/>
          <w:lang w:val="uk-UA"/>
        </w:rPr>
        <w:t xml:space="preserve"> - до обласного бюджету;</w:t>
      </w:r>
    </w:p>
    <w:p w:rsidR="000E2C33" w:rsidRPr="00235835" w:rsidRDefault="000E2C33" w:rsidP="00141DB6">
      <w:pPr>
        <w:pStyle w:val="a4"/>
        <w:numPr>
          <w:ilvl w:val="0"/>
          <w:numId w:val="6"/>
        </w:numPr>
        <w:spacing w:after="0" w:line="240" w:lineRule="auto"/>
        <w:ind w:firstLine="567"/>
        <w:jc w:val="both"/>
        <w:rPr>
          <w:rFonts w:ascii="Times New Roman" w:hAnsi="Times New Roman" w:cs="Times New Roman"/>
          <w:sz w:val="24"/>
          <w:szCs w:val="24"/>
          <w:lang w:val="uk-UA"/>
        </w:rPr>
      </w:pPr>
      <w:r w:rsidRPr="00235835">
        <w:rPr>
          <w:rFonts w:ascii="Times New Roman" w:hAnsi="Times New Roman" w:cs="Times New Roman"/>
          <w:b/>
          <w:sz w:val="24"/>
          <w:szCs w:val="24"/>
          <w:lang w:val="uk-UA"/>
        </w:rPr>
        <w:t>50 %</w:t>
      </w:r>
      <w:r w:rsidRPr="00235835">
        <w:rPr>
          <w:rFonts w:ascii="Times New Roman" w:hAnsi="Times New Roman" w:cs="Times New Roman"/>
          <w:sz w:val="24"/>
          <w:szCs w:val="24"/>
          <w:lang w:val="uk-UA"/>
        </w:rPr>
        <w:t xml:space="preserve"> - до бюджету громади;</w:t>
      </w:r>
    </w:p>
    <w:p w:rsidR="000E2C33" w:rsidRPr="00235835" w:rsidRDefault="000E2C33" w:rsidP="00141DB6">
      <w:pPr>
        <w:pStyle w:val="a4"/>
        <w:numPr>
          <w:ilvl w:val="0"/>
          <w:numId w:val="5"/>
        </w:numPr>
        <w:spacing w:after="0" w:line="240" w:lineRule="auto"/>
        <w:ind w:firstLine="567"/>
        <w:jc w:val="both"/>
        <w:rPr>
          <w:rFonts w:ascii="Times New Roman" w:hAnsi="Times New Roman"/>
          <w:szCs w:val="24"/>
          <w:lang w:val="uk-UA"/>
        </w:rPr>
      </w:pPr>
      <w:r w:rsidRPr="00235835">
        <w:rPr>
          <w:rFonts w:ascii="Times New Roman" w:hAnsi="Times New Roman" w:cs="Times New Roman"/>
          <w:b/>
          <w:sz w:val="24"/>
          <w:szCs w:val="24"/>
          <w:lang w:val="uk-UA"/>
        </w:rPr>
        <w:t>30 %</w:t>
      </w:r>
      <w:r w:rsidRPr="00235835">
        <w:rPr>
          <w:rFonts w:ascii="Times New Roman" w:hAnsi="Times New Roman" w:cs="Times New Roman"/>
          <w:sz w:val="24"/>
          <w:szCs w:val="24"/>
          <w:lang w:val="uk-UA"/>
        </w:rPr>
        <w:t>- до державного бюджету.</w:t>
      </w:r>
    </w:p>
    <w:p w:rsidR="000E2C33" w:rsidRPr="00545127" w:rsidRDefault="000E2C33" w:rsidP="000E2C33">
      <w:pPr>
        <w:pStyle w:val="a5"/>
        <w:ind w:firstLine="567"/>
        <w:rPr>
          <w:rFonts w:ascii="Times New Roman" w:hAnsi="Times New Roman"/>
          <w:b/>
          <w:szCs w:val="24"/>
          <w:highlight w:val="yellow"/>
        </w:rPr>
      </w:pPr>
    </w:p>
    <w:p w:rsidR="000E2C33" w:rsidRPr="00235835" w:rsidRDefault="000E2C33" w:rsidP="000E2C33">
      <w:pPr>
        <w:pStyle w:val="a5"/>
        <w:ind w:firstLine="567"/>
        <w:rPr>
          <w:rFonts w:ascii="Times New Roman" w:hAnsi="Times New Roman"/>
          <w:szCs w:val="24"/>
        </w:rPr>
      </w:pPr>
      <w:r w:rsidRPr="00235835">
        <w:rPr>
          <w:rFonts w:ascii="Times New Roman" w:hAnsi="Times New Roman"/>
          <w:b/>
          <w:szCs w:val="24"/>
        </w:rPr>
        <w:t>Бюджет розвитку</w:t>
      </w:r>
      <w:r w:rsidRPr="00235835">
        <w:rPr>
          <w:rFonts w:ascii="Times New Roman" w:hAnsi="Times New Roman"/>
          <w:szCs w:val="24"/>
        </w:rPr>
        <w:t xml:space="preserve"> у складі спеціального фонду бюджету Чорноморської міської територіальної громади, відповідно до ст.71 Бюджетного кодексу України, сформовано за рахунок </w:t>
      </w:r>
      <w:r w:rsidR="001B5468">
        <w:rPr>
          <w:rFonts w:ascii="Times New Roman" w:hAnsi="Times New Roman"/>
          <w:szCs w:val="24"/>
        </w:rPr>
        <w:t xml:space="preserve">очікуваного надходження </w:t>
      </w:r>
      <w:r w:rsidRPr="00235835">
        <w:rPr>
          <w:rFonts w:ascii="Times New Roman" w:hAnsi="Times New Roman"/>
          <w:szCs w:val="24"/>
        </w:rPr>
        <w:t>коштів від продажу земельних ділянок несільськогосподарського призначення</w:t>
      </w:r>
      <w:r w:rsidR="001B5468">
        <w:rPr>
          <w:rFonts w:ascii="Times New Roman" w:hAnsi="Times New Roman"/>
          <w:szCs w:val="24"/>
        </w:rPr>
        <w:t xml:space="preserve"> за договором розстрочки.</w:t>
      </w:r>
      <w:r w:rsidRPr="00235835">
        <w:rPr>
          <w:rFonts w:ascii="Times New Roman" w:hAnsi="Times New Roman"/>
          <w:szCs w:val="24"/>
        </w:rPr>
        <w:t xml:space="preserve"> </w:t>
      </w:r>
    </w:p>
    <w:p w:rsidR="000E2C33" w:rsidRPr="00545127" w:rsidRDefault="000E2C33" w:rsidP="000E2C33">
      <w:pPr>
        <w:pStyle w:val="a5"/>
        <w:ind w:firstLine="567"/>
        <w:rPr>
          <w:rFonts w:ascii="Times New Roman" w:hAnsi="Times New Roman"/>
          <w:b/>
          <w:highlight w:val="yellow"/>
        </w:rPr>
      </w:pPr>
    </w:p>
    <w:p w:rsidR="000E2C33" w:rsidRPr="00B62D7D" w:rsidRDefault="000E2C33" w:rsidP="00A2450D">
      <w:pPr>
        <w:pStyle w:val="a5"/>
        <w:ind w:firstLine="567"/>
        <w:rPr>
          <w:rFonts w:ascii="Times New Roman" w:hAnsi="Times New Roman"/>
          <w:szCs w:val="24"/>
        </w:rPr>
      </w:pPr>
      <w:r w:rsidRPr="00B62D7D">
        <w:rPr>
          <w:rFonts w:ascii="Times New Roman" w:hAnsi="Times New Roman"/>
          <w:b/>
        </w:rPr>
        <w:lastRenderedPageBreak/>
        <w:t xml:space="preserve">Надходження </w:t>
      </w:r>
      <w:r w:rsidRPr="00B62D7D">
        <w:rPr>
          <w:rFonts w:ascii="Times New Roman" w:hAnsi="Times New Roman"/>
          <w:b/>
          <w:szCs w:val="24"/>
        </w:rPr>
        <w:t>коштів від продажу земельних ділянок</w:t>
      </w:r>
      <w:r w:rsidRPr="00B62D7D">
        <w:rPr>
          <w:rFonts w:ascii="Times New Roman" w:hAnsi="Times New Roman"/>
          <w:szCs w:val="24"/>
        </w:rPr>
        <w:t xml:space="preserve"> несільськогосподарського призначення </w:t>
      </w:r>
      <w:r w:rsidRPr="00B62D7D">
        <w:rPr>
          <w:rFonts w:ascii="Times New Roman" w:hAnsi="Times New Roman"/>
          <w:b/>
          <w:szCs w:val="24"/>
        </w:rPr>
        <w:t xml:space="preserve">(КДБ33010000) </w:t>
      </w:r>
      <w:r w:rsidRPr="00B62D7D">
        <w:rPr>
          <w:rFonts w:ascii="Times New Roman" w:hAnsi="Times New Roman"/>
          <w:szCs w:val="24"/>
        </w:rPr>
        <w:t xml:space="preserve">розраховані в сумі </w:t>
      </w:r>
      <w:r w:rsidR="00343B93" w:rsidRPr="00B62D7D">
        <w:rPr>
          <w:rFonts w:ascii="Times New Roman" w:hAnsi="Times New Roman"/>
          <w:szCs w:val="24"/>
        </w:rPr>
        <w:t>2</w:t>
      </w:r>
      <w:r w:rsidR="00FE6024" w:rsidRPr="00B62D7D">
        <w:rPr>
          <w:rFonts w:ascii="Times New Roman" w:hAnsi="Times New Roman"/>
          <w:szCs w:val="24"/>
        </w:rPr>
        <w:t> </w:t>
      </w:r>
      <w:r w:rsidR="00343B93" w:rsidRPr="00B62D7D">
        <w:rPr>
          <w:rFonts w:ascii="Times New Roman" w:hAnsi="Times New Roman"/>
          <w:szCs w:val="24"/>
        </w:rPr>
        <w:t>7</w:t>
      </w:r>
      <w:r w:rsidR="00FE6024" w:rsidRPr="00B62D7D">
        <w:rPr>
          <w:rFonts w:ascii="Times New Roman" w:hAnsi="Times New Roman"/>
          <w:szCs w:val="24"/>
        </w:rPr>
        <w:t>99,0</w:t>
      </w:r>
      <w:r w:rsidRPr="00B62D7D">
        <w:rPr>
          <w:rFonts w:ascii="Times New Roman" w:hAnsi="Times New Roman"/>
          <w:szCs w:val="24"/>
        </w:rPr>
        <w:t xml:space="preserve"> грн, які очікується отримати від продажу земельної ділянки ПАТ </w:t>
      </w:r>
      <w:r w:rsidR="00DE1743" w:rsidRPr="00B62D7D">
        <w:rPr>
          <w:rFonts w:ascii="Times New Roman" w:hAnsi="Times New Roman"/>
          <w:szCs w:val="24"/>
        </w:rPr>
        <w:t>«</w:t>
      </w:r>
      <w:proofErr w:type="spellStart"/>
      <w:r w:rsidRPr="00B62D7D">
        <w:rPr>
          <w:rFonts w:ascii="Times New Roman" w:hAnsi="Times New Roman"/>
          <w:szCs w:val="24"/>
        </w:rPr>
        <w:t>Іллічівськзовніштранс</w:t>
      </w:r>
      <w:proofErr w:type="spellEnd"/>
      <w:r w:rsidR="00DE1743" w:rsidRPr="00B62D7D">
        <w:rPr>
          <w:rFonts w:ascii="Times New Roman" w:hAnsi="Times New Roman"/>
          <w:szCs w:val="24"/>
        </w:rPr>
        <w:t>»</w:t>
      </w:r>
      <w:r w:rsidRPr="00B62D7D">
        <w:rPr>
          <w:rFonts w:ascii="Times New Roman" w:hAnsi="Times New Roman"/>
          <w:szCs w:val="24"/>
        </w:rPr>
        <w:t xml:space="preserve"> площею 28,240 га за </w:t>
      </w:r>
      <w:proofErr w:type="spellStart"/>
      <w:r w:rsidRPr="00B62D7D">
        <w:rPr>
          <w:rFonts w:ascii="Times New Roman" w:hAnsi="Times New Roman"/>
          <w:szCs w:val="24"/>
        </w:rPr>
        <w:t>адресою</w:t>
      </w:r>
      <w:proofErr w:type="spellEnd"/>
      <w:r w:rsidRPr="00B62D7D">
        <w:rPr>
          <w:rFonts w:ascii="Times New Roman" w:hAnsi="Times New Roman"/>
          <w:szCs w:val="24"/>
        </w:rPr>
        <w:t xml:space="preserve">:                       м. </w:t>
      </w:r>
      <w:proofErr w:type="spellStart"/>
      <w:r w:rsidRPr="00B62D7D">
        <w:rPr>
          <w:rFonts w:ascii="Times New Roman" w:hAnsi="Times New Roman"/>
          <w:szCs w:val="24"/>
        </w:rPr>
        <w:t>Чорноморськ</w:t>
      </w:r>
      <w:proofErr w:type="spellEnd"/>
      <w:r w:rsidRPr="00B62D7D">
        <w:rPr>
          <w:rFonts w:ascii="Times New Roman" w:hAnsi="Times New Roman"/>
          <w:szCs w:val="24"/>
        </w:rPr>
        <w:t>, вул. Промислова,7 згідно договору купівлі-продажу земельної ділянки з розстроченням платежу від 28.03.2019р. Ціна продажу земельної ділянки складає</w:t>
      </w:r>
      <w:r w:rsidR="00DF56C5" w:rsidRPr="00B62D7D">
        <w:rPr>
          <w:rFonts w:ascii="Times New Roman" w:hAnsi="Times New Roman"/>
          <w:szCs w:val="24"/>
        </w:rPr>
        <w:t xml:space="preserve"> </w:t>
      </w:r>
      <w:r w:rsidRPr="00B62D7D">
        <w:rPr>
          <w:rFonts w:ascii="Times New Roman" w:hAnsi="Times New Roman"/>
          <w:szCs w:val="24"/>
        </w:rPr>
        <w:t>58</w:t>
      </w:r>
      <w:r w:rsidR="00DF56C5" w:rsidRPr="00B62D7D">
        <w:rPr>
          <w:rFonts w:ascii="Times New Roman" w:hAnsi="Times New Roman"/>
          <w:szCs w:val="24"/>
        </w:rPr>
        <w:t> </w:t>
      </w:r>
      <w:r w:rsidRPr="00B62D7D">
        <w:rPr>
          <w:rFonts w:ascii="Times New Roman" w:hAnsi="Times New Roman"/>
          <w:szCs w:val="24"/>
        </w:rPr>
        <w:t>501</w:t>
      </w:r>
      <w:r w:rsidR="00DF56C5" w:rsidRPr="00B62D7D">
        <w:rPr>
          <w:rFonts w:ascii="Times New Roman" w:hAnsi="Times New Roman"/>
          <w:szCs w:val="24"/>
        </w:rPr>
        <w:t> </w:t>
      </w:r>
      <w:r w:rsidR="004A694A" w:rsidRPr="00B62D7D">
        <w:rPr>
          <w:rFonts w:ascii="Times New Roman" w:hAnsi="Times New Roman"/>
          <w:szCs w:val="24"/>
        </w:rPr>
        <w:t xml:space="preserve">984,0 грн. </w:t>
      </w:r>
      <w:r w:rsidRPr="00B62D7D">
        <w:rPr>
          <w:rFonts w:ascii="Times New Roman" w:hAnsi="Times New Roman"/>
          <w:szCs w:val="24"/>
        </w:rPr>
        <w:t>Договором передбачена сплата 50 відсотків частини платежу у сумі 28</w:t>
      </w:r>
      <w:r w:rsidR="00DF56C5" w:rsidRPr="00B62D7D">
        <w:rPr>
          <w:rFonts w:ascii="Times New Roman" w:hAnsi="Times New Roman"/>
          <w:szCs w:val="24"/>
        </w:rPr>
        <w:t> </w:t>
      </w:r>
      <w:r w:rsidRPr="00B62D7D">
        <w:rPr>
          <w:rFonts w:ascii="Times New Roman" w:hAnsi="Times New Roman"/>
          <w:szCs w:val="24"/>
        </w:rPr>
        <w:t>000</w:t>
      </w:r>
      <w:r w:rsidR="00DF56C5" w:rsidRPr="00B62D7D">
        <w:rPr>
          <w:rFonts w:ascii="Times New Roman" w:hAnsi="Times New Roman"/>
          <w:szCs w:val="24"/>
        </w:rPr>
        <w:t> </w:t>
      </w:r>
      <w:r w:rsidRPr="00B62D7D">
        <w:rPr>
          <w:rFonts w:ascii="Times New Roman" w:hAnsi="Times New Roman"/>
          <w:szCs w:val="24"/>
        </w:rPr>
        <w:t>992,0 грн першочергово, яка була здійснена в 2019 році,  та 50% рівними частинами протягом наступних 5 років.</w:t>
      </w:r>
      <w:r w:rsidR="0047041F" w:rsidRPr="00B62D7D">
        <w:rPr>
          <w:rFonts w:ascii="Times New Roman" w:hAnsi="Times New Roman"/>
          <w:szCs w:val="24"/>
        </w:rPr>
        <w:t xml:space="preserve"> </w:t>
      </w:r>
      <w:r w:rsidR="00226431" w:rsidRPr="00B62D7D">
        <w:rPr>
          <w:rFonts w:ascii="Times New Roman" w:hAnsi="Times New Roman"/>
          <w:szCs w:val="24"/>
        </w:rPr>
        <w:t>Розрахован</w:t>
      </w:r>
      <w:r w:rsidR="00A2450D" w:rsidRPr="00B62D7D">
        <w:rPr>
          <w:rFonts w:ascii="Times New Roman" w:hAnsi="Times New Roman"/>
          <w:szCs w:val="24"/>
        </w:rPr>
        <w:t>у</w:t>
      </w:r>
      <w:r w:rsidR="00226431" w:rsidRPr="00B62D7D">
        <w:rPr>
          <w:rFonts w:ascii="Times New Roman" w:hAnsi="Times New Roman"/>
          <w:szCs w:val="24"/>
        </w:rPr>
        <w:t xml:space="preserve"> </w:t>
      </w:r>
      <w:r w:rsidR="00A2450D" w:rsidRPr="00B62D7D">
        <w:rPr>
          <w:rFonts w:ascii="Times New Roman" w:hAnsi="Times New Roman"/>
          <w:szCs w:val="24"/>
        </w:rPr>
        <w:t>залишкову</w:t>
      </w:r>
      <w:r w:rsidR="00C44403" w:rsidRPr="00B62D7D">
        <w:rPr>
          <w:rFonts w:ascii="Times New Roman" w:hAnsi="Times New Roman"/>
          <w:szCs w:val="24"/>
        </w:rPr>
        <w:t xml:space="preserve"> </w:t>
      </w:r>
      <w:r w:rsidR="00AC32E5" w:rsidRPr="00B62D7D">
        <w:rPr>
          <w:rFonts w:ascii="Times New Roman" w:hAnsi="Times New Roman"/>
          <w:szCs w:val="24"/>
        </w:rPr>
        <w:t>сум</w:t>
      </w:r>
      <w:r w:rsidR="00A2450D" w:rsidRPr="00B62D7D">
        <w:rPr>
          <w:rFonts w:ascii="Times New Roman" w:hAnsi="Times New Roman"/>
          <w:szCs w:val="24"/>
        </w:rPr>
        <w:t>у</w:t>
      </w:r>
      <w:r w:rsidR="00AC32E5" w:rsidRPr="00B62D7D">
        <w:rPr>
          <w:rFonts w:ascii="Times New Roman" w:hAnsi="Times New Roman"/>
          <w:szCs w:val="24"/>
        </w:rPr>
        <w:t xml:space="preserve"> </w:t>
      </w:r>
      <w:r w:rsidR="0069258A" w:rsidRPr="00B62D7D">
        <w:rPr>
          <w:rFonts w:ascii="Times New Roman" w:hAnsi="Times New Roman"/>
          <w:szCs w:val="24"/>
        </w:rPr>
        <w:t xml:space="preserve">до сплати за вищевказаним </w:t>
      </w:r>
      <w:r w:rsidR="00A2450D" w:rsidRPr="00B62D7D">
        <w:rPr>
          <w:rFonts w:ascii="Times New Roman" w:hAnsi="Times New Roman"/>
          <w:szCs w:val="24"/>
        </w:rPr>
        <w:t>договором</w:t>
      </w:r>
      <w:r w:rsidR="00C44403" w:rsidRPr="00B62D7D">
        <w:rPr>
          <w:rFonts w:ascii="Times New Roman" w:hAnsi="Times New Roman"/>
          <w:szCs w:val="24"/>
        </w:rPr>
        <w:t xml:space="preserve"> </w:t>
      </w:r>
      <w:r w:rsidR="00AC32E5" w:rsidRPr="00B62D7D">
        <w:rPr>
          <w:rFonts w:ascii="Times New Roman" w:hAnsi="Times New Roman"/>
          <w:szCs w:val="24"/>
        </w:rPr>
        <w:t xml:space="preserve">очікується отримати у </w:t>
      </w:r>
      <w:r w:rsidR="0047041F" w:rsidRPr="00B62D7D">
        <w:rPr>
          <w:rFonts w:ascii="Times New Roman" w:hAnsi="Times New Roman"/>
          <w:szCs w:val="24"/>
        </w:rPr>
        <w:t>2024 році</w:t>
      </w:r>
      <w:r w:rsidR="0033164F" w:rsidRPr="00B62D7D">
        <w:rPr>
          <w:rFonts w:ascii="Times New Roman" w:hAnsi="Times New Roman"/>
          <w:szCs w:val="24"/>
        </w:rPr>
        <w:t>.</w:t>
      </w:r>
      <w:r w:rsidR="00AC32E5" w:rsidRPr="00B62D7D">
        <w:rPr>
          <w:rFonts w:ascii="Times New Roman" w:hAnsi="Times New Roman"/>
          <w:szCs w:val="24"/>
        </w:rPr>
        <w:t xml:space="preserve"> </w:t>
      </w:r>
      <w:r w:rsidR="0033164F" w:rsidRPr="00B62D7D">
        <w:rPr>
          <w:rFonts w:ascii="Times New Roman" w:hAnsi="Times New Roman"/>
          <w:szCs w:val="24"/>
        </w:rPr>
        <w:t>Т</w:t>
      </w:r>
      <w:r w:rsidR="00AC32E5" w:rsidRPr="00B62D7D">
        <w:rPr>
          <w:rFonts w:ascii="Times New Roman" w:hAnsi="Times New Roman"/>
          <w:szCs w:val="24"/>
        </w:rPr>
        <w:t xml:space="preserve">аким чином </w:t>
      </w:r>
      <w:r w:rsidR="0047041F" w:rsidRPr="00B62D7D">
        <w:rPr>
          <w:rFonts w:ascii="Times New Roman" w:hAnsi="Times New Roman"/>
          <w:szCs w:val="24"/>
        </w:rPr>
        <w:t xml:space="preserve"> </w:t>
      </w:r>
      <w:r w:rsidR="00845793" w:rsidRPr="00B62D7D">
        <w:rPr>
          <w:rFonts w:ascii="Times New Roman" w:hAnsi="Times New Roman"/>
          <w:szCs w:val="24"/>
        </w:rPr>
        <w:t xml:space="preserve">умови </w:t>
      </w:r>
      <w:r w:rsidR="00595F71" w:rsidRPr="00B62D7D">
        <w:rPr>
          <w:rFonts w:ascii="Times New Roman" w:hAnsi="Times New Roman"/>
          <w:szCs w:val="24"/>
        </w:rPr>
        <w:t xml:space="preserve">цього </w:t>
      </w:r>
      <w:r w:rsidR="00845793" w:rsidRPr="00B62D7D">
        <w:rPr>
          <w:rFonts w:ascii="Times New Roman" w:hAnsi="Times New Roman"/>
          <w:szCs w:val="24"/>
        </w:rPr>
        <w:t>договору</w:t>
      </w:r>
      <w:r w:rsidR="00C25168" w:rsidRPr="00B62D7D">
        <w:rPr>
          <w:rFonts w:ascii="Times New Roman" w:hAnsi="Times New Roman"/>
          <w:szCs w:val="24"/>
        </w:rPr>
        <w:t xml:space="preserve"> будуть виконані.</w:t>
      </w:r>
      <w:r w:rsidR="00872DD4" w:rsidRPr="00B62D7D">
        <w:rPr>
          <w:rFonts w:ascii="Times New Roman" w:hAnsi="Times New Roman"/>
          <w:szCs w:val="24"/>
        </w:rPr>
        <w:t xml:space="preserve"> </w:t>
      </w:r>
    </w:p>
    <w:p w:rsidR="008A22EE" w:rsidRDefault="008A22EE" w:rsidP="002F1FFC">
      <w:pPr>
        <w:pStyle w:val="a5"/>
        <w:jc w:val="center"/>
        <w:rPr>
          <w:rFonts w:ascii="Times New Roman" w:hAnsi="Times New Roman"/>
          <w:b/>
          <w:sz w:val="28"/>
          <w:szCs w:val="28"/>
        </w:rPr>
      </w:pPr>
    </w:p>
    <w:p w:rsidR="00CC337D" w:rsidRPr="00B43087" w:rsidRDefault="00005EB0" w:rsidP="002F1FFC">
      <w:pPr>
        <w:pStyle w:val="a5"/>
        <w:jc w:val="center"/>
        <w:rPr>
          <w:rFonts w:ascii="Times New Roman" w:hAnsi="Times New Roman"/>
          <w:b/>
          <w:sz w:val="28"/>
          <w:szCs w:val="28"/>
        </w:rPr>
      </w:pPr>
      <w:r w:rsidRPr="00B43087">
        <w:rPr>
          <w:rFonts w:ascii="Times New Roman" w:hAnsi="Times New Roman"/>
          <w:b/>
          <w:sz w:val="28"/>
          <w:szCs w:val="28"/>
        </w:rPr>
        <w:t>6</w:t>
      </w:r>
      <w:r w:rsidR="00542A66" w:rsidRPr="00B43087">
        <w:rPr>
          <w:rFonts w:ascii="Times New Roman" w:hAnsi="Times New Roman"/>
          <w:b/>
          <w:sz w:val="28"/>
          <w:szCs w:val="28"/>
        </w:rPr>
        <w:t xml:space="preserve">. </w:t>
      </w:r>
      <w:r w:rsidR="00401E38" w:rsidRPr="00B43087">
        <w:rPr>
          <w:rFonts w:ascii="Times New Roman" w:hAnsi="Times New Roman"/>
          <w:b/>
          <w:sz w:val="28"/>
          <w:szCs w:val="28"/>
        </w:rPr>
        <w:t>Розрахунок втрат надходжен</w:t>
      </w:r>
      <w:r w:rsidR="00F13F73" w:rsidRPr="00B43087">
        <w:rPr>
          <w:rFonts w:ascii="Times New Roman" w:hAnsi="Times New Roman"/>
          <w:b/>
          <w:sz w:val="28"/>
          <w:szCs w:val="28"/>
        </w:rPr>
        <w:t>ь до бюджету</w:t>
      </w:r>
      <w:r w:rsidR="00476B86" w:rsidRPr="00B43087">
        <w:rPr>
          <w:rFonts w:ascii="Times New Roman" w:hAnsi="Times New Roman"/>
          <w:b/>
          <w:sz w:val="28"/>
          <w:szCs w:val="28"/>
        </w:rPr>
        <w:t xml:space="preserve"> Чорноморської міської територіальної громади внаслідок </w:t>
      </w:r>
      <w:r w:rsidR="00F13F73" w:rsidRPr="00B43087">
        <w:rPr>
          <w:rFonts w:ascii="Times New Roman" w:hAnsi="Times New Roman"/>
          <w:b/>
          <w:sz w:val="28"/>
          <w:szCs w:val="28"/>
        </w:rPr>
        <w:t>наданих Чорноморською</w:t>
      </w:r>
      <w:r w:rsidR="00401E38" w:rsidRPr="00B43087">
        <w:rPr>
          <w:rFonts w:ascii="Times New Roman" w:hAnsi="Times New Roman"/>
          <w:b/>
          <w:sz w:val="28"/>
          <w:szCs w:val="28"/>
        </w:rPr>
        <w:t xml:space="preserve"> міською радою </w:t>
      </w:r>
      <w:r w:rsidR="00D26ACE" w:rsidRPr="00B43087">
        <w:rPr>
          <w:rFonts w:ascii="Times New Roman" w:hAnsi="Times New Roman"/>
          <w:b/>
          <w:sz w:val="28"/>
          <w:szCs w:val="28"/>
        </w:rPr>
        <w:t xml:space="preserve">Одеського району </w:t>
      </w:r>
      <w:r w:rsidR="00476B86" w:rsidRPr="00B43087">
        <w:rPr>
          <w:rFonts w:ascii="Times New Roman" w:hAnsi="Times New Roman"/>
          <w:b/>
          <w:sz w:val="28"/>
          <w:szCs w:val="28"/>
        </w:rPr>
        <w:t xml:space="preserve">Одеської області </w:t>
      </w:r>
      <w:r w:rsidR="00401E38" w:rsidRPr="00B43087">
        <w:rPr>
          <w:rFonts w:ascii="Times New Roman" w:hAnsi="Times New Roman"/>
          <w:b/>
          <w:sz w:val="28"/>
          <w:szCs w:val="28"/>
        </w:rPr>
        <w:t>пільг</w:t>
      </w:r>
    </w:p>
    <w:p w:rsidR="00401E38" w:rsidRPr="00B43087" w:rsidRDefault="00401E38" w:rsidP="002F1FFC">
      <w:pPr>
        <w:pStyle w:val="a5"/>
        <w:rPr>
          <w:rFonts w:ascii="Times New Roman" w:hAnsi="Times New Roman"/>
        </w:rPr>
      </w:pPr>
    </w:p>
    <w:p w:rsidR="00401E38" w:rsidRPr="00B43087" w:rsidRDefault="00F13F73" w:rsidP="00F72EB0">
      <w:pPr>
        <w:pStyle w:val="a5"/>
        <w:ind w:firstLine="567"/>
        <w:rPr>
          <w:rFonts w:ascii="Times New Roman" w:hAnsi="Times New Roman"/>
        </w:rPr>
      </w:pPr>
      <w:r w:rsidRPr="00B43087">
        <w:rPr>
          <w:rFonts w:ascii="Times New Roman" w:hAnsi="Times New Roman"/>
        </w:rPr>
        <w:t>Чорноморською</w:t>
      </w:r>
      <w:r w:rsidR="00401E38" w:rsidRPr="00B43087">
        <w:rPr>
          <w:rFonts w:ascii="Times New Roman" w:hAnsi="Times New Roman"/>
        </w:rPr>
        <w:t xml:space="preserve"> міською радою </w:t>
      </w:r>
      <w:r w:rsidR="00476B86" w:rsidRPr="00B43087">
        <w:rPr>
          <w:rFonts w:ascii="Times New Roman" w:hAnsi="Times New Roman"/>
        </w:rPr>
        <w:t>О</w:t>
      </w:r>
      <w:r w:rsidR="00B702FF" w:rsidRPr="00B43087">
        <w:rPr>
          <w:rFonts w:ascii="Times New Roman" w:hAnsi="Times New Roman"/>
        </w:rPr>
        <w:t xml:space="preserve">деської області </w:t>
      </w:r>
      <w:r w:rsidR="00401E38" w:rsidRPr="00B43087">
        <w:rPr>
          <w:rFonts w:ascii="Times New Roman" w:hAnsi="Times New Roman"/>
        </w:rPr>
        <w:t>відповідно до норм чинного податкового та бюджетного законодавства, Закону України "Про місцеве самоврядування в Україні", були прийняті наступні рішення щодо надання пільг:</w:t>
      </w:r>
    </w:p>
    <w:p w:rsidR="00F72EB0" w:rsidRPr="009E758E" w:rsidRDefault="00401E38" w:rsidP="00F72EB0">
      <w:pPr>
        <w:spacing w:after="0" w:line="240" w:lineRule="auto"/>
        <w:ind w:firstLine="567"/>
        <w:jc w:val="both"/>
        <w:rPr>
          <w:rFonts w:ascii="Times New Roman" w:hAnsi="Times New Roman" w:cs="Times New Roman"/>
          <w:sz w:val="24"/>
          <w:szCs w:val="24"/>
          <w:lang w:val="uk-UA"/>
        </w:rPr>
      </w:pPr>
      <w:r w:rsidRPr="009E758E">
        <w:rPr>
          <w:rFonts w:ascii="Times New Roman" w:hAnsi="Times New Roman" w:cs="Times New Roman"/>
          <w:sz w:val="24"/>
          <w:szCs w:val="24"/>
          <w:lang w:val="uk-UA"/>
        </w:rPr>
        <w:t xml:space="preserve">- </w:t>
      </w:r>
      <w:r w:rsidR="00F72EB0" w:rsidRPr="009E758E">
        <w:rPr>
          <w:rFonts w:ascii="Times New Roman" w:hAnsi="Times New Roman" w:cs="Times New Roman"/>
          <w:b/>
          <w:sz w:val="24"/>
          <w:szCs w:val="24"/>
          <w:lang w:val="uk-UA"/>
        </w:rPr>
        <w:t xml:space="preserve">від 26.06.2019р. </w:t>
      </w:r>
      <w:r w:rsidRPr="009E758E">
        <w:rPr>
          <w:rFonts w:ascii="Times New Roman" w:hAnsi="Times New Roman" w:cs="Times New Roman"/>
          <w:b/>
          <w:sz w:val="24"/>
          <w:szCs w:val="24"/>
          <w:lang w:val="uk-UA"/>
        </w:rPr>
        <w:t xml:space="preserve">№ </w:t>
      </w:r>
      <w:r w:rsidR="002C24F6" w:rsidRPr="009E758E">
        <w:rPr>
          <w:rFonts w:ascii="Times New Roman" w:hAnsi="Times New Roman" w:cs="Times New Roman"/>
          <w:b/>
          <w:sz w:val="24"/>
          <w:szCs w:val="24"/>
          <w:lang w:val="uk-UA"/>
        </w:rPr>
        <w:t>444</w:t>
      </w:r>
      <w:r w:rsidRPr="009E758E">
        <w:rPr>
          <w:rFonts w:ascii="Times New Roman" w:hAnsi="Times New Roman" w:cs="Times New Roman"/>
          <w:b/>
          <w:sz w:val="24"/>
          <w:szCs w:val="24"/>
          <w:lang w:val="uk-UA"/>
        </w:rPr>
        <w:t>-VI</w:t>
      </w:r>
      <w:r w:rsidR="0010344B" w:rsidRPr="009E758E">
        <w:rPr>
          <w:rFonts w:ascii="Times New Roman" w:hAnsi="Times New Roman" w:cs="Times New Roman"/>
          <w:b/>
          <w:sz w:val="24"/>
          <w:szCs w:val="24"/>
          <w:lang w:val="uk-UA"/>
        </w:rPr>
        <w:t>I</w:t>
      </w:r>
      <w:r w:rsidRPr="009E758E">
        <w:rPr>
          <w:rFonts w:ascii="Times New Roman" w:hAnsi="Times New Roman" w:cs="Times New Roman"/>
          <w:b/>
          <w:sz w:val="24"/>
          <w:szCs w:val="24"/>
          <w:lang w:val="uk-UA"/>
        </w:rPr>
        <w:t xml:space="preserve"> </w:t>
      </w:r>
      <w:r w:rsidR="00A1249B" w:rsidRPr="009E758E">
        <w:rPr>
          <w:rFonts w:ascii="Times New Roman" w:hAnsi="Times New Roman" w:cs="Times New Roman"/>
          <w:b/>
          <w:sz w:val="24"/>
          <w:szCs w:val="24"/>
          <w:lang w:val="uk-UA"/>
        </w:rPr>
        <w:t>«</w:t>
      </w:r>
      <w:r w:rsidR="0010344B" w:rsidRPr="009E758E">
        <w:rPr>
          <w:rFonts w:ascii="Times New Roman" w:hAnsi="Times New Roman" w:cs="Times New Roman"/>
          <w:b/>
          <w:sz w:val="24"/>
          <w:szCs w:val="24"/>
          <w:lang w:val="uk-UA"/>
        </w:rPr>
        <w:t>Про встановлення ставок та пільг із сплати земельного податку на території Чорноморської місь</w:t>
      </w:r>
      <w:r w:rsidR="002C24F6" w:rsidRPr="009E758E">
        <w:rPr>
          <w:rFonts w:ascii="Times New Roman" w:hAnsi="Times New Roman" w:cs="Times New Roman"/>
          <w:b/>
          <w:sz w:val="24"/>
          <w:szCs w:val="24"/>
          <w:lang w:val="uk-UA"/>
        </w:rPr>
        <w:t>к</w:t>
      </w:r>
      <w:r w:rsidR="00457A3D" w:rsidRPr="009E758E">
        <w:rPr>
          <w:rFonts w:ascii="Times New Roman" w:hAnsi="Times New Roman" w:cs="Times New Roman"/>
          <w:b/>
          <w:sz w:val="24"/>
          <w:szCs w:val="24"/>
          <w:lang w:val="uk-UA"/>
        </w:rPr>
        <w:t>ої ради Одеської області</w:t>
      </w:r>
      <w:r w:rsidR="00A1249B" w:rsidRPr="009E758E">
        <w:rPr>
          <w:rFonts w:ascii="Times New Roman" w:hAnsi="Times New Roman" w:cs="Times New Roman"/>
          <w:b/>
          <w:sz w:val="24"/>
          <w:szCs w:val="24"/>
          <w:lang w:val="uk-UA"/>
        </w:rPr>
        <w:t>»</w:t>
      </w:r>
      <w:r w:rsidR="00F72EB0" w:rsidRPr="009E758E">
        <w:rPr>
          <w:rFonts w:ascii="Times New Roman" w:hAnsi="Times New Roman" w:cs="Times New Roman"/>
          <w:b/>
          <w:sz w:val="24"/>
          <w:szCs w:val="24"/>
          <w:lang w:val="uk-UA"/>
        </w:rPr>
        <w:t xml:space="preserve">. </w:t>
      </w:r>
      <w:r w:rsidR="00F72EB0" w:rsidRPr="009E758E">
        <w:rPr>
          <w:rFonts w:ascii="Times New Roman" w:hAnsi="Times New Roman" w:cs="Times New Roman"/>
          <w:sz w:val="24"/>
          <w:szCs w:val="24"/>
          <w:lang w:val="uk-UA"/>
        </w:rPr>
        <w:t xml:space="preserve">Рішенням Чорноморської міської ради Одеської області від 26.06.2019р. № 444-VII </w:t>
      </w:r>
      <w:r w:rsidR="00A1249B" w:rsidRPr="009E758E">
        <w:rPr>
          <w:rFonts w:ascii="Times New Roman" w:hAnsi="Times New Roman" w:cs="Times New Roman"/>
          <w:sz w:val="24"/>
          <w:szCs w:val="24"/>
          <w:lang w:val="uk-UA"/>
        </w:rPr>
        <w:t>«</w:t>
      </w:r>
      <w:r w:rsidR="00F72EB0" w:rsidRPr="009E758E">
        <w:rPr>
          <w:rFonts w:ascii="Times New Roman" w:hAnsi="Times New Roman" w:cs="Times New Roman"/>
          <w:sz w:val="24"/>
          <w:szCs w:val="24"/>
          <w:lang w:val="uk-UA"/>
        </w:rPr>
        <w:t>Про встановлення ставок та пільг із сплати земельного податку на території Чорноморської міської ради Одеської області на 2020 рік</w:t>
      </w:r>
      <w:r w:rsidR="00A1249B" w:rsidRPr="009E758E">
        <w:rPr>
          <w:rFonts w:ascii="Times New Roman" w:hAnsi="Times New Roman" w:cs="Times New Roman"/>
          <w:sz w:val="24"/>
          <w:szCs w:val="24"/>
          <w:lang w:val="uk-UA"/>
        </w:rPr>
        <w:t>»</w:t>
      </w:r>
      <w:r w:rsidR="00F72EB0" w:rsidRPr="009E758E">
        <w:rPr>
          <w:rFonts w:ascii="Times New Roman" w:hAnsi="Times New Roman" w:cs="Times New Roman"/>
          <w:sz w:val="24"/>
          <w:szCs w:val="24"/>
          <w:lang w:val="uk-UA"/>
        </w:rPr>
        <w:t xml:space="preserve"> виключено термін, на який встановлюються ставки та пільги.</w:t>
      </w:r>
    </w:p>
    <w:p w:rsidR="00284CB1" w:rsidRPr="009E758E" w:rsidRDefault="0010344B" w:rsidP="00F72EB0">
      <w:pPr>
        <w:tabs>
          <w:tab w:val="left" w:pos="0"/>
        </w:tabs>
        <w:spacing w:after="0" w:line="240" w:lineRule="auto"/>
        <w:ind w:firstLine="567"/>
        <w:jc w:val="both"/>
        <w:rPr>
          <w:rFonts w:ascii="Times New Roman" w:hAnsi="Times New Roman" w:cs="Times New Roman"/>
          <w:sz w:val="24"/>
          <w:szCs w:val="24"/>
          <w:lang w:val="uk-UA"/>
        </w:rPr>
      </w:pPr>
      <w:r w:rsidRPr="009E758E">
        <w:rPr>
          <w:rFonts w:ascii="Times New Roman" w:hAnsi="Times New Roman" w:cs="Times New Roman"/>
          <w:sz w:val="24"/>
          <w:szCs w:val="24"/>
          <w:lang w:val="uk-UA"/>
        </w:rPr>
        <w:t xml:space="preserve">Додатком 2 до даного рішення визначений перелік пільг для фізичних та юридичних </w:t>
      </w:r>
      <w:r w:rsidR="00284CB1" w:rsidRPr="009E758E">
        <w:rPr>
          <w:rFonts w:ascii="Times New Roman" w:hAnsi="Times New Roman" w:cs="Times New Roman"/>
          <w:sz w:val="24"/>
          <w:szCs w:val="24"/>
          <w:lang w:val="uk-UA"/>
        </w:rPr>
        <w:t>осіб, наданих відповідно до пункту 284.1 статті 284 Податкового кодексу України, із сплати земельного податку на території Чорноморської міської ради Одеської області</w:t>
      </w:r>
      <w:r w:rsidR="00C10E1F" w:rsidRPr="009E758E">
        <w:rPr>
          <w:rFonts w:ascii="Times New Roman" w:hAnsi="Times New Roman" w:cs="Times New Roman"/>
          <w:sz w:val="24"/>
          <w:szCs w:val="24"/>
          <w:lang w:val="uk-UA"/>
        </w:rPr>
        <w:t xml:space="preserve">, якими можливо скористатися  в </w:t>
      </w:r>
      <w:r w:rsidR="002C24F6" w:rsidRPr="009E758E">
        <w:rPr>
          <w:rFonts w:ascii="Times New Roman" w:hAnsi="Times New Roman" w:cs="Times New Roman"/>
          <w:sz w:val="24"/>
          <w:szCs w:val="24"/>
          <w:lang w:val="uk-UA"/>
        </w:rPr>
        <w:t>202</w:t>
      </w:r>
      <w:r w:rsidR="001B5468">
        <w:rPr>
          <w:rFonts w:ascii="Times New Roman" w:hAnsi="Times New Roman" w:cs="Times New Roman"/>
          <w:sz w:val="24"/>
          <w:szCs w:val="24"/>
          <w:lang w:val="uk-UA"/>
        </w:rPr>
        <w:t>4</w:t>
      </w:r>
      <w:r w:rsidR="00C10E1F" w:rsidRPr="009E758E">
        <w:rPr>
          <w:rFonts w:ascii="Times New Roman" w:hAnsi="Times New Roman" w:cs="Times New Roman"/>
          <w:sz w:val="24"/>
          <w:szCs w:val="24"/>
          <w:lang w:val="uk-UA"/>
        </w:rPr>
        <w:t xml:space="preserve"> році.</w:t>
      </w:r>
      <w:r w:rsidR="00267C35" w:rsidRPr="009E758E">
        <w:rPr>
          <w:rFonts w:ascii="Times New Roman" w:hAnsi="Times New Roman" w:cs="Times New Roman"/>
          <w:sz w:val="24"/>
          <w:szCs w:val="24"/>
          <w:lang w:val="uk-UA"/>
        </w:rPr>
        <w:t xml:space="preserve"> </w:t>
      </w:r>
      <w:r w:rsidR="00284CB1" w:rsidRPr="009E758E">
        <w:rPr>
          <w:rFonts w:ascii="Times New Roman" w:hAnsi="Times New Roman" w:cs="Times New Roman"/>
          <w:sz w:val="24"/>
          <w:szCs w:val="24"/>
          <w:lang w:val="uk-UA"/>
        </w:rPr>
        <w:t>Пільгові категорії:</w:t>
      </w:r>
    </w:p>
    <w:p w:rsidR="00B71541" w:rsidRPr="009E758E" w:rsidRDefault="00284CB1" w:rsidP="00F72EB0">
      <w:pPr>
        <w:tabs>
          <w:tab w:val="left" w:pos="0"/>
        </w:tabs>
        <w:spacing w:after="0" w:line="240" w:lineRule="auto"/>
        <w:ind w:firstLine="567"/>
        <w:jc w:val="both"/>
        <w:rPr>
          <w:rFonts w:ascii="Times New Roman" w:hAnsi="Times New Roman" w:cs="Times New Roman"/>
          <w:sz w:val="24"/>
          <w:szCs w:val="24"/>
          <w:lang w:val="uk-UA"/>
        </w:rPr>
      </w:pPr>
      <w:r w:rsidRPr="009E758E">
        <w:rPr>
          <w:rFonts w:ascii="Times New Roman" w:hAnsi="Times New Roman" w:cs="Times New Roman"/>
          <w:sz w:val="24"/>
          <w:szCs w:val="24"/>
          <w:lang w:val="uk-UA"/>
        </w:rPr>
        <w:t xml:space="preserve">- органи </w:t>
      </w:r>
      <w:r w:rsidR="000B4DBF" w:rsidRPr="009E758E">
        <w:rPr>
          <w:rFonts w:ascii="Times New Roman" w:hAnsi="Times New Roman" w:cs="Times New Roman"/>
          <w:sz w:val="24"/>
          <w:szCs w:val="24"/>
          <w:lang w:val="uk-UA"/>
        </w:rPr>
        <w:t xml:space="preserve">державної </w:t>
      </w:r>
      <w:r w:rsidRPr="009E758E">
        <w:rPr>
          <w:rFonts w:ascii="Times New Roman" w:hAnsi="Times New Roman" w:cs="Times New Roman"/>
          <w:sz w:val="24"/>
          <w:szCs w:val="24"/>
          <w:lang w:val="uk-UA"/>
        </w:rPr>
        <w:t>влади, органи місцевого самоврядування; заклади, установи та організації, які фінансуються з державного та місцевого бюджетів;</w:t>
      </w:r>
      <w:r w:rsidR="000B4DBF" w:rsidRPr="009E758E">
        <w:rPr>
          <w:rFonts w:ascii="Times New Roman" w:hAnsi="Times New Roman" w:cs="Times New Roman"/>
          <w:sz w:val="24"/>
          <w:szCs w:val="24"/>
          <w:lang w:val="uk-UA"/>
        </w:rPr>
        <w:t xml:space="preserve"> військові формування, утворені відповідно до законів України, Збройні Сили України та Державна прикордонна служба України, </w:t>
      </w:r>
      <w:r w:rsidRPr="009E758E">
        <w:rPr>
          <w:rFonts w:ascii="Times New Roman" w:hAnsi="Times New Roman" w:cs="Times New Roman"/>
          <w:sz w:val="24"/>
          <w:szCs w:val="24"/>
          <w:lang w:val="uk-UA"/>
        </w:rPr>
        <w:t>Служба безпеки України, структурні підрозділи</w:t>
      </w:r>
      <w:r w:rsidR="00294629" w:rsidRPr="009E758E">
        <w:rPr>
          <w:rFonts w:ascii="Times New Roman" w:hAnsi="Times New Roman" w:cs="Times New Roman"/>
          <w:sz w:val="24"/>
          <w:szCs w:val="24"/>
          <w:lang w:val="uk-UA"/>
        </w:rPr>
        <w:t xml:space="preserve"> апарату МВС, територіальні органи, заклади, установи, організації та підприємства, що належать до сфери управління МВС та Національної поліції; особи, яким надані земельні ділянки для будівництва та обслуговування житла і об'єктів соціальної інфраструктури, будівництво, яких здійснюється за рахунок державного, або місцевих бюджетів; комунальні підприємства засновані Чорноморською міською радою Одеської області; спеціалізовані санаторії України для реабілітації, лікування та оздоровлення хворих; </w:t>
      </w:r>
      <w:r w:rsidR="000B4DBF" w:rsidRPr="009E758E">
        <w:rPr>
          <w:rFonts w:ascii="Times New Roman" w:hAnsi="Times New Roman" w:cs="Times New Roman"/>
          <w:sz w:val="24"/>
          <w:szCs w:val="24"/>
          <w:lang w:val="uk-UA"/>
        </w:rPr>
        <w:t>дитячі санаторно-курортні та оздоровчі заклади України незалежно від їх підпорядкованості, у тому числі дитячі санаторно-курортні та оздоровчі заклади України, які знаходяться на балансі підприємств, установ та організацій</w:t>
      </w:r>
      <w:r w:rsidR="00294629" w:rsidRPr="009E758E">
        <w:rPr>
          <w:rFonts w:ascii="Times New Roman" w:hAnsi="Times New Roman" w:cs="Times New Roman"/>
          <w:sz w:val="24"/>
          <w:szCs w:val="24"/>
          <w:lang w:val="uk-UA"/>
        </w:rPr>
        <w:t>;</w:t>
      </w:r>
      <w:r w:rsidR="000B4DBF" w:rsidRPr="009E758E">
        <w:rPr>
          <w:rFonts w:ascii="Times New Roman" w:hAnsi="Times New Roman" w:cs="Times New Roman"/>
          <w:sz w:val="24"/>
          <w:szCs w:val="24"/>
          <w:lang w:val="uk-UA"/>
        </w:rPr>
        <w:t xml:space="preserve"> благодійні організації, створені відповідно до закону, діяльність яких не передбачає одержання прибутків, дошкільні та загальноосвітні навчальні заклади незалежно від форм власності і джерел фінансування, </w:t>
      </w:r>
      <w:r w:rsidR="00294629" w:rsidRPr="009E758E">
        <w:rPr>
          <w:rFonts w:ascii="Times New Roman" w:hAnsi="Times New Roman" w:cs="Times New Roman"/>
          <w:sz w:val="24"/>
          <w:szCs w:val="24"/>
          <w:lang w:val="uk-UA"/>
        </w:rPr>
        <w:t>підприємства, установи, організації, громадські організації фізкультурно-спортивної спрямованості, у тому числі аероклуби та авіаційно-спортивні клуби;</w:t>
      </w:r>
      <w:r w:rsidR="00D26ACE" w:rsidRPr="009E758E">
        <w:rPr>
          <w:rFonts w:ascii="Times New Roman" w:hAnsi="Times New Roman" w:cs="Times New Roman"/>
          <w:sz w:val="24"/>
          <w:szCs w:val="24"/>
          <w:lang w:val="uk-UA"/>
        </w:rPr>
        <w:t xml:space="preserve"> </w:t>
      </w:r>
      <w:r w:rsidR="00294629" w:rsidRPr="009E758E">
        <w:rPr>
          <w:rFonts w:ascii="Times New Roman" w:hAnsi="Times New Roman" w:cs="Times New Roman"/>
          <w:sz w:val="24"/>
          <w:szCs w:val="24"/>
          <w:lang w:val="uk-UA"/>
        </w:rPr>
        <w:t>т</w:t>
      </w:r>
      <w:r w:rsidR="000B4DBF" w:rsidRPr="009E758E">
        <w:rPr>
          <w:rFonts w:ascii="Times New Roman" w:hAnsi="Times New Roman" w:cs="Times New Roman"/>
          <w:sz w:val="24"/>
          <w:szCs w:val="24"/>
          <w:lang w:val="uk-UA"/>
        </w:rPr>
        <w:t xml:space="preserve">овариства сприяння обороні України - за земельні ділянки, на яких розміщені спортивні споруди, що використовуються для проведення всеукраїнських, міжнародних змагань та навчально-тренувального процесу збірних команд України з видів спорту та </w:t>
      </w:r>
      <w:r w:rsidR="003D0781" w:rsidRPr="009E758E">
        <w:rPr>
          <w:rFonts w:ascii="Times New Roman" w:hAnsi="Times New Roman" w:cs="Times New Roman"/>
          <w:sz w:val="24"/>
          <w:szCs w:val="24"/>
          <w:lang w:val="uk-UA"/>
        </w:rPr>
        <w:t>підготовки спортивного резерву.</w:t>
      </w:r>
    </w:p>
    <w:p w:rsidR="003C5863" w:rsidRPr="005831DD" w:rsidRDefault="004F454E" w:rsidP="00222DBD">
      <w:pPr>
        <w:tabs>
          <w:tab w:val="left" w:pos="0"/>
        </w:tabs>
        <w:spacing w:after="0" w:line="240" w:lineRule="auto"/>
        <w:ind w:firstLine="567"/>
        <w:jc w:val="both"/>
        <w:rPr>
          <w:rFonts w:ascii="Times New Roman" w:hAnsi="Times New Roman" w:cs="Times New Roman"/>
          <w:sz w:val="24"/>
          <w:szCs w:val="24"/>
          <w:lang w:val="uk-UA"/>
        </w:rPr>
      </w:pPr>
      <w:r w:rsidRPr="005831DD">
        <w:rPr>
          <w:rFonts w:ascii="Times New Roman" w:hAnsi="Times New Roman" w:cs="Times New Roman"/>
          <w:sz w:val="24"/>
          <w:szCs w:val="24"/>
          <w:lang w:val="uk-UA"/>
        </w:rPr>
        <w:t>За інформацією</w:t>
      </w:r>
      <w:r w:rsidR="003C5863" w:rsidRPr="005831DD">
        <w:rPr>
          <w:rFonts w:ascii="Times New Roman" w:hAnsi="Times New Roman" w:cs="Times New Roman"/>
          <w:sz w:val="24"/>
          <w:szCs w:val="24"/>
          <w:lang w:val="uk-UA"/>
        </w:rPr>
        <w:t xml:space="preserve"> головного управл</w:t>
      </w:r>
      <w:r w:rsidR="004B3AE3" w:rsidRPr="005831DD">
        <w:rPr>
          <w:rFonts w:ascii="Times New Roman" w:hAnsi="Times New Roman" w:cs="Times New Roman"/>
          <w:sz w:val="24"/>
          <w:szCs w:val="24"/>
          <w:lang w:val="uk-UA"/>
        </w:rPr>
        <w:t>іння ДПС в Одеській області</w:t>
      </w:r>
      <w:r w:rsidR="0087336B" w:rsidRPr="005831DD">
        <w:rPr>
          <w:rFonts w:ascii="Times New Roman" w:hAnsi="Times New Roman" w:cs="Times New Roman"/>
          <w:sz w:val="24"/>
          <w:szCs w:val="24"/>
          <w:lang w:val="uk-UA"/>
        </w:rPr>
        <w:t xml:space="preserve"> сформованою </w:t>
      </w:r>
      <w:r w:rsidR="004772BD" w:rsidRPr="005831DD">
        <w:rPr>
          <w:rFonts w:ascii="Times New Roman" w:hAnsi="Times New Roman" w:cs="Times New Roman"/>
          <w:sz w:val="24"/>
          <w:szCs w:val="24"/>
          <w:lang w:val="uk-UA"/>
        </w:rPr>
        <w:t>через електронну систему АІС «Місцеві бюджети рівня міста, району» 2006</w:t>
      </w:r>
      <w:r w:rsidR="0023625F" w:rsidRPr="005831DD">
        <w:rPr>
          <w:rFonts w:ascii="Times New Roman" w:hAnsi="Times New Roman" w:cs="Times New Roman"/>
          <w:sz w:val="24"/>
          <w:szCs w:val="24"/>
          <w:lang w:val="uk-UA"/>
        </w:rPr>
        <w:t xml:space="preserve"> станом на 01.</w:t>
      </w:r>
      <w:r w:rsidR="0087336B" w:rsidRPr="005831DD">
        <w:rPr>
          <w:rFonts w:ascii="Times New Roman" w:hAnsi="Times New Roman" w:cs="Times New Roman"/>
          <w:sz w:val="24"/>
          <w:szCs w:val="24"/>
          <w:lang w:val="uk-UA"/>
        </w:rPr>
        <w:t>07</w:t>
      </w:r>
      <w:r w:rsidR="0023625F" w:rsidRPr="005831DD">
        <w:rPr>
          <w:rFonts w:ascii="Times New Roman" w:hAnsi="Times New Roman" w:cs="Times New Roman"/>
          <w:sz w:val="24"/>
          <w:szCs w:val="24"/>
          <w:lang w:val="uk-UA"/>
        </w:rPr>
        <w:t>.</w:t>
      </w:r>
      <w:r w:rsidR="00457A3D" w:rsidRPr="005831DD">
        <w:rPr>
          <w:rFonts w:ascii="Times New Roman" w:hAnsi="Times New Roman" w:cs="Times New Roman"/>
          <w:sz w:val="24"/>
          <w:szCs w:val="24"/>
          <w:lang w:val="uk-UA"/>
        </w:rPr>
        <w:t>202</w:t>
      </w:r>
      <w:r w:rsidR="000B5220" w:rsidRPr="005831DD">
        <w:rPr>
          <w:rFonts w:ascii="Times New Roman" w:hAnsi="Times New Roman" w:cs="Times New Roman"/>
          <w:sz w:val="24"/>
          <w:szCs w:val="24"/>
          <w:lang w:val="uk-UA"/>
        </w:rPr>
        <w:t>3</w:t>
      </w:r>
      <w:r w:rsidR="004F618B" w:rsidRPr="005831DD">
        <w:rPr>
          <w:rFonts w:ascii="Times New Roman" w:hAnsi="Times New Roman" w:cs="Times New Roman"/>
          <w:sz w:val="24"/>
          <w:szCs w:val="24"/>
          <w:lang w:val="uk-UA"/>
        </w:rPr>
        <w:t xml:space="preserve"> року</w:t>
      </w:r>
      <w:r w:rsidR="0023625F" w:rsidRPr="005831DD">
        <w:rPr>
          <w:rFonts w:ascii="Times New Roman" w:hAnsi="Times New Roman" w:cs="Times New Roman"/>
          <w:sz w:val="24"/>
          <w:szCs w:val="24"/>
          <w:lang w:val="uk-UA"/>
        </w:rPr>
        <w:t xml:space="preserve"> 3</w:t>
      </w:r>
      <w:r w:rsidR="000B5220" w:rsidRPr="005831DD">
        <w:rPr>
          <w:rFonts w:ascii="Times New Roman" w:hAnsi="Times New Roman" w:cs="Times New Roman"/>
          <w:sz w:val="24"/>
          <w:szCs w:val="24"/>
          <w:lang w:val="uk-UA"/>
        </w:rPr>
        <w:t>2</w:t>
      </w:r>
      <w:r w:rsidR="0023625F" w:rsidRPr="005831DD">
        <w:rPr>
          <w:rFonts w:ascii="Times New Roman" w:hAnsi="Times New Roman" w:cs="Times New Roman"/>
          <w:sz w:val="24"/>
          <w:szCs w:val="24"/>
          <w:lang w:val="uk-UA"/>
        </w:rPr>
        <w:t xml:space="preserve"> підприємств</w:t>
      </w:r>
      <w:r w:rsidR="002502E6" w:rsidRPr="005831DD">
        <w:rPr>
          <w:rFonts w:ascii="Times New Roman" w:hAnsi="Times New Roman" w:cs="Times New Roman"/>
          <w:sz w:val="24"/>
          <w:szCs w:val="24"/>
          <w:lang w:val="uk-UA"/>
        </w:rPr>
        <w:t>а</w:t>
      </w:r>
      <w:r w:rsidR="0023625F" w:rsidRPr="005831DD">
        <w:rPr>
          <w:rFonts w:ascii="Times New Roman" w:hAnsi="Times New Roman" w:cs="Times New Roman"/>
          <w:sz w:val="24"/>
          <w:szCs w:val="24"/>
          <w:lang w:val="uk-UA"/>
        </w:rPr>
        <w:t xml:space="preserve"> задекларували </w:t>
      </w:r>
      <w:r w:rsidR="003C5863" w:rsidRPr="005831DD">
        <w:rPr>
          <w:rFonts w:ascii="Times New Roman" w:hAnsi="Times New Roman" w:cs="Times New Roman"/>
          <w:sz w:val="24"/>
          <w:szCs w:val="24"/>
          <w:lang w:val="uk-UA"/>
        </w:rPr>
        <w:t>пільг</w:t>
      </w:r>
      <w:r w:rsidR="0023625F" w:rsidRPr="005831DD">
        <w:rPr>
          <w:rFonts w:ascii="Times New Roman" w:hAnsi="Times New Roman" w:cs="Times New Roman"/>
          <w:sz w:val="24"/>
          <w:szCs w:val="24"/>
          <w:lang w:val="uk-UA"/>
        </w:rPr>
        <w:t>у</w:t>
      </w:r>
      <w:r w:rsidR="003C5863" w:rsidRPr="005831DD">
        <w:rPr>
          <w:rFonts w:ascii="Times New Roman" w:hAnsi="Times New Roman" w:cs="Times New Roman"/>
          <w:sz w:val="24"/>
          <w:szCs w:val="24"/>
          <w:lang w:val="uk-UA"/>
        </w:rPr>
        <w:t xml:space="preserve"> зі сплати земельного податку на загальну суму 1</w:t>
      </w:r>
      <w:r w:rsidR="00F010FD" w:rsidRPr="005831DD">
        <w:rPr>
          <w:rFonts w:ascii="Times New Roman" w:hAnsi="Times New Roman" w:cs="Times New Roman"/>
          <w:sz w:val="24"/>
          <w:szCs w:val="24"/>
          <w:lang w:val="uk-UA"/>
        </w:rPr>
        <w:t>2 334,9 тис.</w:t>
      </w:r>
      <w:r w:rsidR="00010ED3" w:rsidRPr="005831DD">
        <w:rPr>
          <w:rFonts w:ascii="Times New Roman" w:hAnsi="Times New Roman" w:cs="Times New Roman"/>
          <w:sz w:val="24"/>
          <w:szCs w:val="24"/>
          <w:lang w:val="uk-UA"/>
        </w:rPr>
        <w:t xml:space="preserve"> </w:t>
      </w:r>
      <w:r w:rsidR="008A42AE" w:rsidRPr="005831DD">
        <w:rPr>
          <w:rFonts w:ascii="Times New Roman" w:hAnsi="Times New Roman" w:cs="Times New Roman"/>
          <w:sz w:val="24"/>
          <w:szCs w:val="24"/>
          <w:lang w:val="uk-UA"/>
        </w:rPr>
        <w:t xml:space="preserve">грн, </w:t>
      </w:r>
      <w:r w:rsidR="001B5468">
        <w:rPr>
          <w:rFonts w:ascii="Times New Roman" w:hAnsi="Times New Roman" w:cs="Times New Roman"/>
          <w:sz w:val="24"/>
          <w:szCs w:val="24"/>
          <w:lang w:val="uk-UA"/>
        </w:rPr>
        <w:t xml:space="preserve">яка ймовірно </w:t>
      </w:r>
      <w:r w:rsidR="000B5220" w:rsidRPr="005831DD">
        <w:rPr>
          <w:rFonts w:ascii="Times New Roman" w:hAnsi="Times New Roman" w:cs="Times New Roman"/>
          <w:sz w:val="24"/>
          <w:szCs w:val="24"/>
          <w:lang w:val="uk-UA"/>
        </w:rPr>
        <w:t xml:space="preserve">очікується і </w:t>
      </w:r>
      <w:r w:rsidR="008A42AE" w:rsidRPr="005831DD">
        <w:rPr>
          <w:rFonts w:ascii="Times New Roman" w:hAnsi="Times New Roman" w:cs="Times New Roman"/>
          <w:sz w:val="24"/>
          <w:szCs w:val="24"/>
          <w:lang w:val="uk-UA"/>
        </w:rPr>
        <w:t>у 202</w:t>
      </w:r>
      <w:r w:rsidR="009D02C0" w:rsidRPr="005831DD">
        <w:rPr>
          <w:rFonts w:ascii="Times New Roman" w:hAnsi="Times New Roman" w:cs="Times New Roman"/>
          <w:sz w:val="24"/>
          <w:szCs w:val="24"/>
          <w:lang w:val="uk-UA"/>
        </w:rPr>
        <w:t>4</w:t>
      </w:r>
      <w:r w:rsidR="008A42AE" w:rsidRPr="005831DD">
        <w:rPr>
          <w:rFonts w:ascii="Times New Roman" w:hAnsi="Times New Roman" w:cs="Times New Roman"/>
          <w:sz w:val="24"/>
          <w:szCs w:val="24"/>
          <w:lang w:val="uk-UA"/>
        </w:rPr>
        <w:t xml:space="preserve"> році</w:t>
      </w:r>
      <w:r w:rsidR="001B5468">
        <w:rPr>
          <w:rFonts w:ascii="Times New Roman" w:hAnsi="Times New Roman" w:cs="Times New Roman"/>
          <w:sz w:val="24"/>
          <w:szCs w:val="24"/>
          <w:lang w:val="uk-UA"/>
        </w:rPr>
        <w:t xml:space="preserve"> з урахуванням коефіцієнту індексації</w:t>
      </w:r>
      <w:r w:rsidR="008A42AE" w:rsidRPr="005831DD">
        <w:rPr>
          <w:rFonts w:ascii="Times New Roman" w:hAnsi="Times New Roman" w:cs="Times New Roman"/>
          <w:sz w:val="24"/>
          <w:szCs w:val="24"/>
          <w:lang w:val="uk-UA"/>
        </w:rPr>
        <w:t>.</w:t>
      </w:r>
    </w:p>
    <w:p w:rsidR="00A02AFA" w:rsidRDefault="00A02AFA" w:rsidP="003F3743">
      <w:pPr>
        <w:pStyle w:val="1"/>
        <w:spacing w:line="276" w:lineRule="auto"/>
        <w:ind w:firstLine="567"/>
        <w:jc w:val="both"/>
        <w:rPr>
          <w:b/>
          <w:sz w:val="24"/>
          <w:szCs w:val="24"/>
          <w:highlight w:val="yellow"/>
        </w:rPr>
      </w:pPr>
    </w:p>
    <w:p w:rsidR="00B62D7D" w:rsidRDefault="00B62D7D" w:rsidP="00B62D7D">
      <w:pPr>
        <w:rPr>
          <w:highlight w:val="yellow"/>
          <w:lang w:val="uk-UA" w:eastAsia="uk-UA"/>
        </w:rPr>
      </w:pPr>
    </w:p>
    <w:p w:rsidR="00B62D7D" w:rsidRPr="00B62D7D" w:rsidRDefault="00B62D7D" w:rsidP="00B62D7D">
      <w:pPr>
        <w:rPr>
          <w:highlight w:val="yellow"/>
          <w:lang w:val="uk-UA" w:eastAsia="uk-UA"/>
        </w:rPr>
      </w:pPr>
    </w:p>
    <w:p w:rsidR="00494F02" w:rsidRPr="005831DD" w:rsidRDefault="00494F02" w:rsidP="003F3743">
      <w:pPr>
        <w:pStyle w:val="1"/>
        <w:ind w:firstLine="567"/>
        <w:jc w:val="both"/>
        <w:rPr>
          <w:b/>
          <w:sz w:val="24"/>
          <w:szCs w:val="24"/>
        </w:rPr>
      </w:pPr>
      <w:r w:rsidRPr="005831DD">
        <w:rPr>
          <w:b/>
          <w:sz w:val="24"/>
          <w:szCs w:val="24"/>
        </w:rPr>
        <w:t xml:space="preserve">- № </w:t>
      </w:r>
      <w:r w:rsidR="00DB22EF" w:rsidRPr="005831DD">
        <w:rPr>
          <w:b/>
          <w:sz w:val="24"/>
          <w:szCs w:val="24"/>
        </w:rPr>
        <w:t>5</w:t>
      </w:r>
      <w:r w:rsidR="00457A3D" w:rsidRPr="005831DD">
        <w:rPr>
          <w:b/>
          <w:sz w:val="24"/>
          <w:szCs w:val="24"/>
        </w:rPr>
        <w:t>67</w:t>
      </w:r>
      <w:r w:rsidRPr="005831DD">
        <w:rPr>
          <w:b/>
          <w:sz w:val="24"/>
          <w:szCs w:val="24"/>
        </w:rPr>
        <w:t xml:space="preserve"> -VII від </w:t>
      </w:r>
      <w:r w:rsidR="00457A3D" w:rsidRPr="005831DD">
        <w:rPr>
          <w:b/>
          <w:sz w:val="24"/>
          <w:szCs w:val="24"/>
        </w:rPr>
        <w:t>19</w:t>
      </w:r>
      <w:r w:rsidRPr="005831DD">
        <w:rPr>
          <w:b/>
          <w:sz w:val="24"/>
          <w:szCs w:val="24"/>
        </w:rPr>
        <w:t>.06.20</w:t>
      </w:r>
      <w:r w:rsidR="00457A3D" w:rsidRPr="005831DD">
        <w:rPr>
          <w:b/>
          <w:sz w:val="24"/>
          <w:szCs w:val="24"/>
        </w:rPr>
        <w:t>20</w:t>
      </w:r>
      <w:r w:rsidRPr="005831DD">
        <w:rPr>
          <w:b/>
          <w:sz w:val="24"/>
          <w:szCs w:val="24"/>
        </w:rPr>
        <w:t xml:space="preserve">р. </w:t>
      </w:r>
      <w:r w:rsidR="00A1249B" w:rsidRPr="005831DD">
        <w:rPr>
          <w:b/>
          <w:sz w:val="24"/>
          <w:szCs w:val="24"/>
        </w:rPr>
        <w:t>«</w:t>
      </w:r>
      <w:r w:rsidRPr="005831DD">
        <w:rPr>
          <w:b/>
          <w:sz w:val="24"/>
          <w:szCs w:val="24"/>
        </w:rPr>
        <w:t>Про встановлення ставок та пільг із сплати податку на нерухоме майно, відмінне від земельної ділянки, на території Чорноморської міської ради Одеської області</w:t>
      </w:r>
      <w:r w:rsidR="00A1249B" w:rsidRPr="005831DD">
        <w:rPr>
          <w:b/>
          <w:sz w:val="24"/>
          <w:szCs w:val="24"/>
        </w:rPr>
        <w:t>»</w:t>
      </w:r>
      <w:r w:rsidRPr="005831DD">
        <w:rPr>
          <w:b/>
          <w:sz w:val="24"/>
          <w:szCs w:val="24"/>
        </w:rPr>
        <w:t xml:space="preserve">. </w:t>
      </w:r>
    </w:p>
    <w:p w:rsidR="00A02AFA" w:rsidRPr="005831DD" w:rsidRDefault="00494F02" w:rsidP="003F3743">
      <w:pPr>
        <w:spacing w:after="0" w:line="240" w:lineRule="auto"/>
        <w:ind w:firstLine="567"/>
        <w:jc w:val="both"/>
        <w:rPr>
          <w:rFonts w:ascii="Times New Roman" w:hAnsi="Times New Roman" w:cs="Times New Roman"/>
          <w:sz w:val="24"/>
          <w:szCs w:val="24"/>
          <w:lang w:val="uk-UA" w:eastAsia="uk-UA"/>
        </w:rPr>
      </w:pPr>
      <w:r w:rsidRPr="005831DD">
        <w:rPr>
          <w:rFonts w:ascii="Times New Roman" w:hAnsi="Times New Roman" w:cs="Times New Roman"/>
          <w:sz w:val="24"/>
          <w:szCs w:val="24"/>
          <w:lang w:val="uk-UA" w:eastAsia="uk-UA"/>
        </w:rPr>
        <w:t>Перелік пільги на нерухоме майно, відмінне від земельної ділянки  для фізичних та юридичних осіб, наданих відповідно до підпункту 266.4.2 пункту 266,4 статті 266 Податкового кодексу України визначений додатком 2 до вищевказаного  рішення</w:t>
      </w:r>
      <w:r w:rsidR="00A02AFA" w:rsidRPr="005831DD">
        <w:rPr>
          <w:rFonts w:ascii="Times New Roman" w:hAnsi="Times New Roman" w:cs="Times New Roman"/>
          <w:sz w:val="24"/>
          <w:szCs w:val="24"/>
          <w:lang w:val="uk-UA" w:eastAsia="uk-UA"/>
        </w:rPr>
        <w:t>.</w:t>
      </w:r>
    </w:p>
    <w:p w:rsidR="00494F02" w:rsidRPr="005831DD" w:rsidRDefault="00494F02" w:rsidP="003F3743">
      <w:pPr>
        <w:spacing w:after="0" w:line="240" w:lineRule="auto"/>
        <w:ind w:firstLine="567"/>
        <w:jc w:val="both"/>
        <w:rPr>
          <w:rFonts w:ascii="Times New Roman" w:hAnsi="Times New Roman" w:cs="Times New Roman"/>
          <w:sz w:val="24"/>
          <w:szCs w:val="24"/>
          <w:lang w:val="uk-UA" w:eastAsia="uk-UA"/>
        </w:rPr>
      </w:pPr>
      <w:r w:rsidRPr="005831DD">
        <w:rPr>
          <w:rFonts w:ascii="Times New Roman" w:hAnsi="Times New Roman" w:cs="Times New Roman"/>
          <w:sz w:val="24"/>
          <w:szCs w:val="24"/>
          <w:lang w:val="uk-UA" w:eastAsia="uk-UA"/>
        </w:rPr>
        <w:t>Пільгові категорії:</w:t>
      </w:r>
    </w:p>
    <w:p w:rsidR="00494F02" w:rsidRPr="005831DD" w:rsidRDefault="00494F02" w:rsidP="003F3743">
      <w:pPr>
        <w:spacing w:after="0" w:line="240" w:lineRule="auto"/>
        <w:ind w:firstLine="567"/>
        <w:rPr>
          <w:rFonts w:ascii="Times New Roman" w:hAnsi="Times New Roman" w:cs="Times New Roman"/>
          <w:b/>
          <w:sz w:val="24"/>
          <w:szCs w:val="24"/>
          <w:lang w:val="uk-UA" w:eastAsia="uk-UA"/>
        </w:rPr>
      </w:pPr>
      <w:r w:rsidRPr="005831DD">
        <w:rPr>
          <w:rFonts w:ascii="Times New Roman" w:hAnsi="Times New Roman" w:cs="Times New Roman"/>
          <w:b/>
          <w:sz w:val="24"/>
          <w:szCs w:val="24"/>
          <w:lang w:val="uk-UA" w:eastAsia="uk-UA"/>
        </w:rPr>
        <w:t>з об'єктів житлової нерухомості</w:t>
      </w:r>
      <w:r w:rsidR="00F40AB1" w:rsidRPr="005831DD">
        <w:rPr>
          <w:rFonts w:ascii="Times New Roman" w:hAnsi="Times New Roman" w:cs="Times New Roman"/>
          <w:b/>
          <w:sz w:val="24"/>
          <w:szCs w:val="24"/>
          <w:lang w:val="uk-UA" w:eastAsia="uk-UA"/>
        </w:rPr>
        <w:t>, які перебувають у власності фізичних осіб платників податку:</w:t>
      </w:r>
    </w:p>
    <w:p w:rsidR="00494F02" w:rsidRPr="005831DD" w:rsidRDefault="00494F02" w:rsidP="003F3743">
      <w:pPr>
        <w:spacing w:after="0" w:line="240" w:lineRule="auto"/>
        <w:ind w:firstLine="567"/>
        <w:jc w:val="both"/>
        <w:rPr>
          <w:rFonts w:ascii="Times New Roman" w:hAnsi="Times New Roman" w:cs="Times New Roman"/>
          <w:sz w:val="24"/>
          <w:szCs w:val="24"/>
          <w:lang w:val="uk-UA"/>
        </w:rPr>
      </w:pPr>
      <w:r w:rsidRPr="005831DD">
        <w:rPr>
          <w:rFonts w:ascii="Times New Roman" w:hAnsi="Times New Roman" w:cs="Times New Roman"/>
          <w:sz w:val="24"/>
          <w:szCs w:val="24"/>
          <w:lang w:val="uk-UA"/>
        </w:rPr>
        <w:t xml:space="preserve">а)  </w:t>
      </w:r>
      <w:r w:rsidR="00F40AB1" w:rsidRPr="005831DD">
        <w:rPr>
          <w:rFonts w:ascii="Times New Roman" w:hAnsi="Times New Roman" w:cs="Times New Roman"/>
          <w:sz w:val="24"/>
          <w:szCs w:val="24"/>
          <w:lang w:val="uk-UA"/>
        </w:rPr>
        <w:t xml:space="preserve">особи з </w:t>
      </w:r>
      <w:r w:rsidRPr="005831DD">
        <w:rPr>
          <w:rFonts w:ascii="Times New Roman" w:hAnsi="Times New Roman" w:cs="Times New Roman"/>
          <w:sz w:val="24"/>
          <w:szCs w:val="24"/>
          <w:lang w:val="uk-UA"/>
        </w:rPr>
        <w:t>інвалід</w:t>
      </w:r>
      <w:r w:rsidR="001F373C" w:rsidRPr="005831DD">
        <w:rPr>
          <w:rFonts w:ascii="Times New Roman" w:hAnsi="Times New Roman" w:cs="Times New Roman"/>
          <w:sz w:val="24"/>
          <w:szCs w:val="24"/>
          <w:lang w:val="uk-UA"/>
        </w:rPr>
        <w:t>н</w:t>
      </w:r>
      <w:r w:rsidR="00F40AB1" w:rsidRPr="005831DD">
        <w:rPr>
          <w:rFonts w:ascii="Times New Roman" w:hAnsi="Times New Roman" w:cs="Times New Roman"/>
          <w:sz w:val="24"/>
          <w:szCs w:val="24"/>
          <w:lang w:val="uk-UA"/>
        </w:rPr>
        <w:t>істю</w:t>
      </w:r>
      <w:r w:rsidRPr="005831DD">
        <w:rPr>
          <w:rFonts w:ascii="Times New Roman" w:hAnsi="Times New Roman" w:cs="Times New Roman"/>
          <w:sz w:val="24"/>
          <w:szCs w:val="24"/>
          <w:lang w:val="uk-UA"/>
        </w:rPr>
        <w:t xml:space="preserve"> першої групи</w:t>
      </w:r>
      <w:r w:rsidR="00F40AB1" w:rsidRPr="005831DD">
        <w:rPr>
          <w:rFonts w:ascii="Times New Roman" w:hAnsi="Times New Roman" w:cs="Times New Roman"/>
          <w:sz w:val="24"/>
          <w:szCs w:val="24"/>
          <w:lang w:val="uk-UA"/>
        </w:rPr>
        <w:t>;</w:t>
      </w:r>
    </w:p>
    <w:p w:rsidR="00F40AB1" w:rsidRPr="005831DD" w:rsidRDefault="00494F02" w:rsidP="003F3743">
      <w:pPr>
        <w:spacing w:after="0" w:line="240" w:lineRule="auto"/>
        <w:ind w:firstLine="567"/>
        <w:jc w:val="both"/>
        <w:rPr>
          <w:rFonts w:ascii="Times New Roman" w:hAnsi="Times New Roman" w:cs="Times New Roman"/>
          <w:sz w:val="24"/>
          <w:szCs w:val="24"/>
          <w:lang w:val="uk-UA"/>
        </w:rPr>
      </w:pPr>
      <w:r w:rsidRPr="005831DD">
        <w:rPr>
          <w:rFonts w:ascii="Times New Roman" w:hAnsi="Times New Roman" w:cs="Times New Roman"/>
          <w:sz w:val="24"/>
          <w:szCs w:val="24"/>
          <w:lang w:val="uk-UA"/>
        </w:rPr>
        <w:t>б) фізичні особи, які виховують трьох і більше дітей віком до 18 років</w:t>
      </w:r>
      <w:r w:rsidR="00F40AB1" w:rsidRPr="005831DD">
        <w:rPr>
          <w:rFonts w:ascii="Times New Roman" w:hAnsi="Times New Roman" w:cs="Times New Roman"/>
          <w:sz w:val="24"/>
          <w:szCs w:val="24"/>
          <w:lang w:val="uk-UA"/>
        </w:rPr>
        <w:t>;</w:t>
      </w:r>
    </w:p>
    <w:p w:rsidR="00494F02" w:rsidRPr="005831DD" w:rsidRDefault="00494F02" w:rsidP="003F3743">
      <w:pPr>
        <w:spacing w:after="0" w:line="240" w:lineRule="auto"/>
        <w:ind w:firstLine="567"/>
        <w:jc w:val="both"/>
        <w:rPr>
          <w:rFonts w:ascii="Times New Roman" w:hAnsi="Times New Roman" w:cs="Times New Roman"/>
          <w:sz w:val="24"/>
          <w:szCs w:val="24"/>
          <w:lang w:val="uk-UA"/>
        </w:rPr>
      </w:pPr>
      <w:r w:rsidRPr="005831DD">
        <w:rPr>
          <w:rFonts w:ascii="Times New Roman" w:hAnsi="Times New Roman" w:cs="Times New Roman"/>
          <w:sz w:val="24"/>
          <w:szCs w:val="24"/>
          <w:lang w:val="uk-UA"/>
        </w:rPr>
        <w:t xml:space="preserve">в) ветерани війни та особи, на яких поширюється дія Закону України </w:t>
      </w:r>
      <w:r w:rsidR="00A1249B" w:rsidRPr="005831DD">
        <w:rPr>
          <w:rFonts w:ascii="Times New Roman" w:hAnsi="Times New Roman" w:cs="Times New Roman"/>
          <w:sz w:val="24"/>
          <w:szCs w:val="24"/>
          <w:lang w:val="uk-UA"/>
        </w:rPr>
        <w:t>«</w:t>
      </w:r>
      <w:r w:rsidRPr="005831DD">
        <w:rPr>
          <w:rFonts w:ascii="Times New Roman" w:hAnsi="Times New Roman" w:cs="Times New Roman"/>
          <w:sz w:val="24"/>
          <w:szCs w:val="24"/>
          <w:lang w:val="uk-UA"/>
        </w:rPr>
        <w:t>Про статус ветеранів війни, гарантії їх соціального захисту</w:t>
      </w:r>
      <w:r w:rsidR="00A1249B" w:rsidRPr="005831DD">
        <w:rPr>
          <w:rFonts w:ascii="Times New Roman" w:hAnsi="Times New Roman" w:cs="Times New Roman"/>
          <w:sz w:val="24"/>
          <w:szCs w:val="24"/>
          <w:lang w:val="uk-UA"/>
        </w:rPr>
        <w:t>»</w:t>
      </w:r>
      <w:r w:rsidR="00F40AB1" w:rsidRPr="005831DD">
        <w:rPr>
          <w:rFonts w:ascii="Times New Roman" w:hAnsi="Times New Roman" w:cs="Times New Roman"/>
          <w:sz w:val="24"/>
          <w:szCs w:val="24"/>
          <w:lang w:val="uk-UA"/>
        </w:rPr>
        <w:t>;</w:t>
      </w:r>
    </w:p>
    <w:p w:rsidR="00F40AB1" w:rsidRPr="005831DD" w:rsidRDefault="00494F02" w:rsidP="003F3743">
      <w:pPr>
        <w:spacing w:after="0" w:line="240" w:lineRule="auto"/>
        <w:ind w:firstLine="567"/>
        <w:jc w:val="both"/>
        <w:rPr>
          <w:rFonts w:ascii="Times New Roman" w:hAnsi="Times New Roman" w:cs="Times New Roman"/>
          <w:sz w:val="24"/>
          <w:szCs w:val="24"/>
          <w:lang w:val="uk-UA"/>
        </w:rPr>
      </w:pPr>
      <w:r w:rsidRPr="005831DD">
        <w:rPr>
          <w:rFonts w:ascii="Times New Roman" w:hAnsi="Times New Roman" w:cs="Times New Roman"/>
          <w:sz w:val="24"/>
          <w:szCs w:val="24"/>
          <w:lang w:val="uk-UA"/>
        </w:rPr>
        <w:t>г) фізичні особи, визнані законом особами, які постраждали внаслідок Чорнобильської катастрофи І та ІІ категорії</w:t>
      </w:r>
      <w:r w:rsidR="00F40AB1" w:rsidRPr="005831DD">
        <w:rPr>
          <w:rFonts w:ascii="Times New Roman" w:hAnsi="Times New Roman" w:cs="Times New Roman"/>
          <w:sz w:val="24"/>
          <w:szCs w:val="24"/>
          <w:lang w:val="uk-UA"/>
        </w:rPr>
        <w:t>;</w:t>
      </w:r>
    </w:p>
    <w:p w:rsidR="00494F02" w:rsidRPr="005831DD" w:rsidRDefault="00494F02" w:rsidP="003F3743">
      <w:pPr>
        <w:spacing w:after="0" w:line="240" w:lineRule="auto"/>
        <w:ind w:firstLine="567"/>
        <w:jc w:val="both"/>
        <w:rPr>
          <w:rFonts w:ascii="Times New Roman" w:hAnsi="Times New Roman" w:cs="Times New Roman"/>
          <w:b/>
          <w:sz w:val="24"/>
          <w:szCs w:val="24"/>
          <w:lang w:val="uk-UA"/>
        </w:rPr>
      </w:pPr>
      <w:r w:rsidRPr="005831DD">
        <w:rPr>
          <w:rFonts w:ascii="Times New Roman" w:hAnsi="Times New Roman" w:cs="Times New Roman"/>
          <w:b/>
          <w:sz w:val="24"/>
          <w:szCs w:val="24"/>
          <w:lang w:val="uk-UA"/>
        </w:rPr>
        <w:t>з об'єктів нежитлової нерухомості</w:t>
      </w:r>
      <w:r w:rsidR="00D46488" w:rsidRPr="005831DD">
        <w:rPr>
          <w:rFonts w:ascii="Times New Roman" w:hAnsi="Times New Roman" w:cs="Times New Roman"/>
          <w:b/>
          <w:sz w:val="24"/>
          <w:szCs w:val="24"/>
          <w:lang w:val="uk-UA"/>
        </w:rPr>
        <w:t>, які перебувають у власності юридичних осіб платників податку:</w:t>
      </w:r>
    </w:p>
    <w:p w:rsidR="00A02AFA" w:rsidRPr="005831DD" w:rsidRDefault="00494F02" w:rsidP="003F3743">
      <w:pPr>
        <w:pStyle w:val="rvps2"/>
        <w:shd w:val="clear" w:color="auto" w:fill="FFFFFF"/>
        <w:spacing w:before="0" w:beforeAutospacing="0" w:after="0" w:afterAutospacing="0"/>
        <w:ind w:firstLine="567"/>
        <w:jc w:val="both"/>
        <w:textAlignment w:val="baseline"/>
        <w:rPr>
          <w:b/>
          <w:lang w:val="uk-UA"/>
        </w:rPr>
      </w:pPr>
      <w:r w:rsidRPr="005831DD">
        <w:rPr>
          <w:color w:val="000000" w:themeColor="text1"/>
          <w:lang w:val="uk-UA"/>
        </w:rPr>
        <w:t xml:space="preserve">ж) </w:t>
      </w:r>
      <w:proofErr w:type="spellStart"/>
      <w:r w:rsidRPr="005831DD">
        <w:rPr>
          <w:color w:val="000000" w:themeColor="text1"/>
          <w:lang w:val="uk-UA"/>
        </w:rPr>
        <w:t>гаражно</w:t>
      </w:r>
      <w:proofErr w:type="spellEnd"/>
      <w:r w:rsidRPr="005831DD">
        <w:rPr>
          <w:color w:val="000000" w:themeColor="text1"/>
          <w:lang w:val="uk-UA"/>
        </w:rPr>
        <w:t>-будівельні та гаражні об'єднання, кооперативи, колективи, товариства для об'єктів нежитлової нерухомості ( щодо будівлі для конторських та адміністративних цілей;</w:t>
      </w:r>
    </w:p>
    <w:p w:rsidR="00D46488" w:rsidRPr="005831DD" w:rsidRDefault="00D46488" w:rsidP="003F3743">
      <w:pPr>
        <w:spacing w:after="0" w:line="240" w:lineRule="auto"/>
        <w:ind w:firstLine="567"/>
        <w:jc w:val="both"/>
        <w:rPr>
          <w:rFonts w:ascii="Times New Roman" w:hAnsi="Times New Roman" w:cs="Times New Roman"/>
          <w:b/>
          <w:sz w:val="24"/>
          <w:szCs w:val="24"/>
          <w:lang w:val="uk-UA"/>
        </w:rPr>
      </w:pPr>
      <w:r w:rsidRPr="005831DD">
        <w:rPr>
          <w:rFonts w:ascii="Times New Roman" w:hAnsi="Times New Roman" w:cs="Times New Roman"/>
          <w:b/>
          <w:sz w:val="24"/>
          <w:szCs w:val="24"/>
          <w:lang w:val="uk-UA"/>
        </w:rPr>
        <w:t>з об'єктів житлової нерухомості, які перебувають у власності юридичних осіб платників податку:</w:t>
      </w:r>
    </w:p>
    <w:p w:rsidR="0030055D" w:rsidRDefault="00494F02" w:rsidP="0030055D">
      <w:pPr>
        <w:pStyle w:val="rvps2"/>
        <w:shd w:val="clear" w:color="auto" w:fill="FFFFFF"/>
        <w:spacing w:before="0" w:beforeAutospacing="0" w:after="0" w:afterAutospacing="0"/>
        <w:ind w:firstLine="567"/>
        <w:jc w:val="both"/>
        <w:textAlignment w:val="baseline"/>
        <w:rPr>
          <w:color w:val="000000" w:themeColor="text1"/>
          <w:lang w:val="uk-UA"/>
        </w:rPr>
      </w:pPr>
      <w:r w:rsidRPr="005831DD">
        <w:rPr>
          <w:color w:val="000000" w:themeColor="text1"/>
          <w:lang w:val="uk-UA"/>
        </w:rPr>
        <w:t>з) Об'єднання співвласників багатоквартирних будинків та житлово-будівельні кооперативи,  (щодо допоміжних приміщень загального користування багатоквартирних будинків, а саме: поза</w:t>
      </w:r>
      <w:r w:rsidR="00267C35" w:rsidRPr="005831DD">
        <w:rPr>
          <w:color w:val="000000" w:themeColor="text1"/>
          <w:lang w:val="uk-UA"/>
        </w:rPr>
        <w:t xml:space="preserve"> </w:t>
      </w:r>
      <w:r w:rsidRPr="005831DD">
        <w:rPr>
          <w:color w:val="000000" w:themeColor="text1"/>
          <w:lang w:val="uk-UA"/>
        </w:rPr>
        <w:t xml:space="preserve">квартирних  коридорів, сходових клітин, тамбурів, </w:t>
      </w:r>
      <w:proofErr w:type="spellStart"/>
      <w:r w:rsidRPr="005831DD">
        <w:rPr>
          <w:color w:val="000000" w:themeColor="text1"/>
          <w:lang w:val="uk-UA"/>
        </w:rPr>
        <w:t>к</w:t>
      </w:r>
      <w:r w:rsidR="00D26ACE" w:rsidRPr="005831DD">
        <w:rPr>
          <w:color w:val="000000" w:themeColor="text1"/>
          <w:lang w:val="uk-UA"/>
        </w:rPr>
        <w:t>о</w:t>
      </w:r>
      <w:r w:rsidRPr="005831DD">
        <w:rPr>
          <w:color w:val="000000" w:themeColor="text1"/>
          <w:lang w:val="uk-UA"/>
        </w:rPr>
        <w:t>лясочних</w:t>
      </w:r>
      <w:proofErr w:type="spellEnd"/>
      <w:r w:rsidRPr="005831DD">
        <w:rPr>
          <w:color w:val="000000" w:themeColor="text1"/>
          <w:lang w:val="uk-UA"/>
        </w:rPr>
        <w:t>, ліфтів).</w:t>
      </w:r>
    </w:p>
    <w:p w:rsidR="0030055D" w:rsidRDefault="0030055D" w:rsidP="003F3743">
      <w:pPr>
        <w:pStyle w:val="rvps2"/>
        <w:shd w:val="clear" w:color="auto" w:fill="FFFFFF"/>
        <w:spacing w:before="0" w:beforeAutospacing="0" w:after="0" w:afterAutospacing="0"/>
        <w:ind w:firstLine="567"/>
        <w:jc w:val="both"/>
        <w:textAlignment w:val="baseline"/>
        <w:rPr>
          <w:lang w:val="uk-UA"/>
        </w:rPr>
      </w:pPr>
      <w:r w:rsidRPr="0030055D">
        <w:rPr>
          <w:color w:val="000000" w:themeColor="text1"/>
          <w:lang w:val="uk-UA"/>
        </w:rPr>
        <w:t>За інформацією головного управління ДПС в Одеській області</w:t>
      </w:r>
      <w:r w:rsidR="00D448AB">
        <w:rPr>
          <w:color w:val="000000" w:themeColor="text1"/>
          <w:lang w:val="uk-UA"/>
        </w:rPr>
        <w:t>,</w:t>
      </w:r>
      <w:r w:rsidRPr="0030055D">
        <w:rPr>
          <w:color w:val="000000" w:themeColor="text1"/>
          <w:lang w:val="uk-UA"/>
        </w:rPr>
        <w:t xml:space="preserve"> сформованою через електронну систему АІС «Місцеві бюджети рівня міста, району» 2006 станом на 01.07.2023 року</w:t>
      </w:r>
      <w:r w:rsidR="0085391A">
        <w:rPr>
          <w:color w:val="000000" w:themeColor="text1"/>
          <w:lang w:val="uk-UA"/>
        </w:rPr>
        <w:t>,</w:t>
      </w:r>
      <w:r>
        <w:rPr>
          <w:color w:val="000000" w:themeColor="text1"/>
          <w:lang w:val="uk-UA"/>
        </w:rPr>
        <w:t xml:space="preserve"> </w:t>
      </w:r>
      <w:r w:rsidRPr="0030055D">
        <w:rPr>
          <w:color w:val="000000" w:themeColor="text1"/>
          <w:lang w:val="uk-UA"/>
        </w:rPr>
        <w:t xml:space="preserve">2 </w:t>
      </w:r>
      <w:proofErr w:type="spellStart"/>
      <w:r w:rsidR="00407254" w:rsidRPr="00407254">
        <w:rPr>
          <w:color w:val="000000" w:themeColor="text1"/>
          <w:lang w:val="uk-UA"/>
        </w:rPr>
        <w:t>гаражно</w:t>
      </w:r>
      <w:proofErr w:type="spellEnd"/>
      <w:r w:rsidR="00407254" w:rsidRPr="00407254">
        <w:rPr>
          <w:color w:val="000000" w:themeColor="text1"/>
          <w:lang w:val="uk-UA"/>
        </w:rPr>
        <w:t>-будівельні об'єднання</w:t>
      </w:r>
      <w:r w:rsidRPr="0030055D">
        <w:rPr>
          <w:color w:val="000000" w:themeColor="text1"/>
          <w:lang w:val="uk-UA"/>
        </w:rPr>
        <w:t xml:space="preserve"> задекларували пільгу </w:t>
      </w:r>
      <w:r w:rsidR="00330752" w:rsidRPr="00330752">
        <w:rPr>
          <w:color w:val="000000" w:themeColor="text1"/>
          <w:lang w:val="uk-UA"/>
        </w:rPr>
        <w:t>на нерухоме майно, відмінне від земельної ділянки</w:t>
      </w:r>
      <w:r w:rsidR="0085391A">
        <w:rPr>
          <w:color w:val="000000" w:themeColor="text1"/>
          <w:lang w:val="uk-UA"/>
        </w:rPr>
        <w:t>,</w:t>
      </w:r>
      <w:r w:rsidR="00330752" w:rsidRPr="00330752">
        <w:rPr>
          <w:color w:val="000000" w:themeColor="text1"/>
          <w:lang w:val="uk-UA"/>
        </w:rPr>
        <w:t xml:space="preserve"> для фізичних та юридичних осіб</w:t>
      </w:r>
      <w:r w:rsidRPr="0030055D">
        <w:rPr>
          <w:color w:val="000000" w:themeColor="text1"/>
          <w:lang w:val="uk-UA"/>
        </w:rPr>
        <w:t xml:space="preserve"> на загальну суму 4,</w:t>
      </w:r>
      <w:r w:rsidR="00407254">
        <w:rPr>
          <w:color w:val="000000" w:themeColor="text1"/>
          <w:lang w:val="uk-UA"/>
        </w:rPr>
        <w:t>8</w:t>
      </w:r>
      <w:r w:rsidRPr="0030055D">
        <w:rPr>
          <w:color w:val="000000" w:themeColor="text1"/>
          <w:lang w:val="uk-UA"/>
        </w:rPr>
        <w:t xml:space="preserve"> тис. грн, </w:t>
      </w:r>
      <w:r w:rsidR="001B5468">
        <w:rPr>
          <w:lang w:val="uk-UA"/>
        </w:rPr>
        <w:t xml:space="preserve">яка ймовірно </w:t>
      </w:r>
      <w:r w:rsidR="001B5468" w:rsidRPr="005831DD">
        <w:rPr>
          <w:lang w:val="uk-UA"/>
        </w:rPr>
        <w:t>очікується і у 2024 році</w:t>
      </w:r>
      <w:r w:rsidR="001B5468">
        <w:rPr>
          <w:lang w:val="uk-UA"/>
        </w:rPr>
        <w:t xml:space="preserve"> з урахуванням коефіцієнту підвищення мінімальної заробітної плати для відповідної категорії платника податку.</w:t>
      </w:r>
    </w:p>
    <w:p w:rsidR="001B5468" w:rsidRPr="005831DD" w:rsidRDefault="001B5468" w:rsidP="003F3743">
      <w:pPr>
        <w:pStyle w:val="rvps2"/>
        <w:shd w:val="clear" w:color="auto" w:fill="FFFFFF"/>
        <w:spacing w:before="0" w:beforeAutospacing="0" w:after="0" w:afterAutospacing="0"/>
        <w:ind w:firstLine="567"/>
        <w:jc w:val="both"/>
        <w:textAlignment w:val="baseline"/>
        <w:rPr>
          <w:color w:val="000000"/>
          <w:lang w:val="uk-UA"/>
        </w:rPr>
      </w:pPr>
    </w:p>
    <w:p w:rsidR="005B2A9A" w:rsidRPr="00556E49" w:rsidRDefault="00FD42EE" w:rsidP="00005EB0">
      <w:pPr>
        <w:spacing w:after="0" w:line="240" w:lineRule="auto"/>
        <w:ind w:left="710"/>
        <w:jc w:val="center"/>
        <w:rPr>
          <w:rFonts w:ascii="Times New Roman" w:hAnsi="Times New Roman" w:cs="Times New Roman"/>
          <w:b/>
          <w:sz w:val="28"/>
          <w:szCs w:val="28"/>
          <w:lang w:val="uk-UA"/>
        </w:rPr>
      </w:pPr>
      <w:r w:rsidRPr="00556E49">
        <w:rPr>
          <w:rFonts w:ascii="Times New Roman" w:hAnsi="Times New Roman" w:cs="Times New Roman"/>
          <w:b/>
          <w:sz w:val="28"/>
          <w:szCs w:val="28"/>
          <w:lang w:val="uk-UA"/>
        </w:rPr>
        <w:t>6</w:t>
      </w:r>
      <w:r w:rsidR="00005EB0" w:rsidRPr="00556E49">
        <w:rPr>
          <w:rFonts w:ascii="Times New Roman" w:hAnsi="Times New Roman" w:cs="Times New Roman"/>
          <w:b/>
          <w:sz w:val="28"/>
          <w:szCs w:val="28"/>
          <w:lang w:val="uk-UA"/>
        </w:rPr>
        <w:t>.</w:t>
      </w:r>
      <w:r w:rsidR="005B2A9A" w:rsidRPr="00556E49">
        <w:rPr>
          <w:rFonts w:ascii="Times New Roman" w:hAnsi="Times New Roman" w:cs="Times New Roman"/>
          <w:b/>
          <w:sz w:val="28"/>
          <w:szCs w:val="28"/>
          <w:lang w:val="uk-UA"/>
        </w:rPr>
        <w:t>Освітня субвенція</w:t>
      </w:r>
    </w:p>
    <w:p w:rsidR="00C573C5" w:rsidRPr="00F264E4" w:rsidRDefault="00D2253D" w:rsidP="00C573C5">
      <w:pPr>
        <w:spacing w:after="0" w:line="240" w:lineRule="auto"/>
        <w:ind w:firstLine="567"/>
        <w:jc w:val="both"/>
        <w:rPr>
          <w:rFonts w:ascii="Times New Roman" w:hAnsi="Times New Roman" w:cs="Times New Roman"/>
          <w:sz w:val="24"/>
          <w:szCs w:val="24"/>
          <w:lang w:val="uk-UA"/>
        </w:rPr>
      </w:pPr>
      <w:r w:rsidRPr="0072613D">
        <w:rPr>
          <w:rFonts w:ascii="Times New Roman" w:hAnsi="Times New Roman" w:cs="Times New Roman"/>
          <w:sz w:val="24"/>
          <w:szCs w:val="24"/>
          <w:lang w:val="uk-UA"/>
        </w:rPr>
        <w:t>В бюджеті Чорноморської місько</w:t>
      </w:r>
      <w:r w:rsidR="006D4F9A" w:rsidRPr="0072613D">
        <w:rPr>
          <w:rFonts w:ascii="Times New Roman" w:hAnsi="Times New Roman" w:cs="Times New Roman"/>
          <w:sz w:val="24"/>
          <w:szCs w:val="24"/>
          <w:lang w:val="uk-UA"/>
        </w:rPr>
        <w:t>ї територіальної громади на 2024</w:t>
      </w:r>
      <w:r w:rsidRPr="0072613D">
        <w:rPr>
          <w:rFonts w:ascii="Times New Roman" w:hAnsi="Times New Roman" w:cs="Times New Roman"/>
          <w:sz w:val="24"/>
          <w:szCs w:val="24"/>
          <w:lang w:val="uk-UA"/>
        </w:rPr>
        <w:t xml:space="preserve"> рік врахована освітня субвенція у сумі </w:t>
      </w:r>
      <w:r w:rsidR="004A451E">
        <w:rPr>
          <w:rFonts w:ascii="Times New Roman" w:hAnsi="Times New Roman" w:cs="Times New Roman"/>
          <w:sz w:val="24"/>
          <w:szCs w:val="24"/>
          <w:lang w:val="uk-UA"/>
        </w:rPr>
        <w:t>159 192,9</w:t>
      </w:r>
      <w:r w:rsidR="0072613D" w:rsidRPr="0072613D">
        <w:rPr>
          <w:rFonts w:ascii="Times New Roman" w:hAnsi="Times New Roman" w:cs="Times New Roman"/>
          <w:sz w:val="24"/>
          <w:szCs w:val="24"/>
          <w:lang w:val="uk-UA"/>
        </w:rPr>
        <w:t xml:space="preserve"> тис.</w:t>
      </w:r>
      <w:r w:rsidR="00FA055B">
        <w:rPr>
          <w:rFonts w:ascii="Times New Roman" w:hAnsi="Times New Roman" w:cs="Times New Roman"/>
          <w:sz w:val="24"/>
          <w:szCs w:val="24"/>
          <w:lang w:val="uk-UA"/>
        </w:rPr>
        <w:t xml:space="preserve"> </w:t>
      </w:r>
      <w:r w:rsidRPr="0072613D">
        <w:rPr>
          <w:rFonts w:ascii="Times New Roman" w:hAnsi="Times New Roman" w:cs="Times New Roman"/>
          <w:sz w:val="24"/>
          <w:szCs w:val="24"/>
          <w:lang w:val="uk-UA"/>
        </w:rPr>
        <w:t xml:space="preserve">грн, </w:t>
      </w:r>
      <w:r w:rsidR="00C573C5" w:rsidRPr="00F264E4">
        <w:rPr>
          <w:rFonts w:ascii="Times New Roman" w:hAnsi="Times New Roman" w:cs="Times New Roman"/>
          <w:sz w:val="24"/>
          <w:szCs w:val="24"/>
          <w:lang w:val="uk-UA"/>
        </w:rPr>
        <w:t>яка обрахована Міністерством фінансів України та включена до додатку № 5 до Закону України "Про Державний бюджет України</w:t>
      </w:r>
      <w:r w:rsidR="00C573C5">
        <w:rPr>
          <w:rFonts w:ascii="Times New Roman" w:hAnsi="Times New Roman" w:cs="Times New Roman"/>
          <w:sz w:val="24"/>
          <w:szCs w:val="24"/>
          <w:lang w:val="uk-UA"/>
        </w:rPr>
        <w:t xml:space="preserve"> </w:t>
      </w:r>
      <w:r w:rsidR="00C573C5" w:rsidRPr="00F264E4">
        <w:rPr>
          <w:rFonts w:ascii="Times New Roman" w:hAnsi="Times New Roman" w:cs="Times New Roman"/>
          <w:sz w:val="24"/>
          <w:szCs w:val="24"/>
          <w:lang w:val="uk-UA"/>
        </w:rPr>
        <w:t xml:space="preserve"> </w:t>
      </w:r>
      <w:r w:rsidR="00FA055B">
        <w:rPr>
          <w:rFonts w:ascii="Times New Roman" w:hAnsi="Times New Roman" w:cs="Times New Roman"/>
          <w:sz w:val="24"/>
          <w:szCs w:val="24"/>
          <w:lang w:val="uk-UA"/>
        </w:rPr>
        <w:t xml:space="preserve">                                  </w:t>
      </w:r>
      <w:r w:rsidR="00C573C5" w:rsidRPr="00F264E4">
        <w:rPr>
          <w:rFonts w:ascii="Times New Roman" w:hAnsi="Times New Roman" w:cs="Times New Roman"/>
          <w:sz w:val="24"/>
          <w:szCs w:val="24"/>
          <w:lang w:val="uk-UA"/>
        </w:rPr>
        <w:t>на 202</w:t>
      </w:r>
      <w:r w:rsidR="00C573C5">
        <w:rPr>
          <w:rFonts w:ascii="Times New Roman" w:hAnsi="Times New Roman" w:cs="Times New Roman"/>
          <w:sz w:val="24"/>
          <w:szCs w:val="24"/>
          <w:lang w:val="uk-UA"/>
        </w:rPr>
        <w:t>4 рік".</w:t>
      </w:r>
    </w:p>
    <w:p w:rsidR="00F869B5" w:rsidRDefault="00F869B5" w:rsidP="00F869B5">
      <w:pPr>
        <w:spacing w:after="0" w:line="240" w:lineRule="auto"/>
        <w:ind w:firstLine="567"/>
        <w:jc w:val="both"/>
        <w:rPr>
          <w:rFonts w:ascii="Times New Roman" w:hAnsi="Times New Roman" w:cs="Times New Roman"/>
          <w:sz w:val="24"/>
          <w:szCs w:val="24"/>
          <w:lang w:val="uk-UA"/>
        </w:rPr>
      </w:pPr>
      <w:r w:rsidRPr="00F264E4">
        <w:rPr>
          <w:rFonts w:ascii="Times New Roman" w:hAnsi="Times New Roman" w:cs="Times New Roman"/>
          <w:sz w:val="24"/>
          <w:szCs w:val="24"/>
          <w:lang w:val="uk-UA"/>
        </w:rPr>
        <w:t>В порівнянні з показником 202</w:t>
      </w:r>
      <w:r>
        <w:rPr>
          <w:rFonts w:ascii="Times New Roman" w:hAnsi="Times New Roman" w:cs="Times New Roman"/>
          <w:sz w:val="24"/>
          <w:szCs w:val="24"/>
          <w:lang w:val="uk-UA"/>
        </w:rPr>
        <w:t>3</w:t>
      </w:r>
      <w:r w:rsidRPr="00F264E4">
        <w:rPr>
          <w:rFonts w:ascii="Times New Roman" w:hAnsi="Times New Roman" w:cs="Times New Roman"/>
          <w:sz w:val="24"/>
          <w:szCs w:val="24"/>
          <w:lang w:val="uk-UA"/>
        </w:rPr>
        <w:t xml:space="preserve"> року обсяг освітньої субвенції на 202</w:t>
      </w:r>
      <w:r>
        <w:rPr>
          <w:rFonts w:ascii="Times New Roman" w:hAnsi="Times New Roman" w:cs="Times New Roman"/>
          <w:sz w:val="24"/>
          <w:szCs w:val="24"/>
          <w:lang w:val="uk-UA"/>
        </w:rPr>
        <w:t>4</w:t>
      </w:r>
      <w:r w:rsidRPr="00F264E4">
        <w:rPr>
          <w:rFonts w:ascii="Times New Roman" w:hAnsi="Times New Roman" w:cs="Times New Roman"/>
          <w:sz w:val="24"/>
          <w:szCs w:val="24"/>
          <w:lang w:val="uk-UA"/>
        </w:rPr>
        <w:t xml:space="preserve"> рік збільшується на </w:t>
      </w:r>
      <w:r w:rsidR="004A451E">
        <w:rPr>
          <w:rFonts w:ascii="Times New Roman" w:hAnsi="Times New Roman" w:cs="Times New Roman"/>
          <w:sz w:val="24"/>
          <w:szCs w:val="24"/>
          <w:lang w:val="uk-UA"/>
        </w:rPr>
        <w:t>25,4</w:t>
      </w:r>
      <w:r w:rsidRPr="00F264E4">
        <w:rPr>
          <w:rFonts w:ascii="Times New Roman" w:hAnsi="Times New Roman" w:cs="Times New Roman"/>
          <w:sz w:val="24"/>
          <w:szCs w:val="24"/>
          <w:lang w:val="uk-UA"/>
        </w:rPr>
        <w:t xml:space="preserve"> % або на </w:t>
      </w:r>
      <w:r>
        <w:rPr>
          <w:rFonts w:ascii="Times New Roman" w:hAnsi="Times New Roman" w:cs="Times New Roman"/>
          <w:sz w:val="24"/>
          <w:szCs w:val="24"/>
          <w:lang w:val="uk-UA"/>
        </w:rPr>
        <w:t>32</w:t>
      </w:r>
      <w:r w:rsidR="004A451E">
        <w:rPr>
          <w:rFonts w:ascii="Times New Roman" w:hAnsi="Times New Roman" w:cs="Times New Roman"/>
          <w:sz w:val="24"/>
          <w:szCs w:val="24"/>
          <w:lang w:val="uk-UA"/>
        </w:rPr>
        <w:t> 278,4</w:t>
      </w:r>
      <w:r>
        <w:rPr>
          <w:rFonts w:ascii="Times New Roman" w:hAnsi="Times New Roman" w:cs="Times New Roman"/>
          <w:sz w:val="24"/>
          <w:szCs w:val="24"/>
          <w:lang w:val="uk-UA"/>
        </w:rPr>
        <w:t xml:space="preserve"> тис.</w:t>
      </w:r>
      <w:r w:rsidR="00FA055B">
        <w:rPr>
          <w:rFonts w:ascii="Times New Roman" w:hAnsi="Times New Roman" w:cs="Times New Roman"/>
          <w:sz w:val="24"/>
          <w:szCs w:val="24"/>
          <w:lang w:val="uk-UA"/>
        </w:rPr>
        <w:t xml:space="preserve"> </w:t>
      </w:r>
      <w:r>
        <w:rPr>
          <w:rFonts w:ascii="Times New Roman" w:hAnsi="Times New Roman" w:cs="Times New Roman"/>
          <w:sz w:val="24"/>
          <w:szCs w:val="24"/>
          <w:lang w:val="uk-UA"/>
        </w:rPr>
        <w:t>грн.</w:t>
      </w:r>
    </w:p>
    <w:p w:rsidR="00FA055B" w:rsidRPr="00F264E4" w:rsidRDefault="00FA055B" w:rsidP="00F869B5">
      <w:pPr>
        <w:spacing w:after="0" w:line="240" w:lineRule="auto"/>
        <w:ind w:firstLine="567"/>
        <w:jc w:val="both"/>
        <w:rPr>
          <w:rFonts w:ascii="Times New Roman" w:hAnsi="Times New Roman" w:cs="Times New Roman"/>
          <w:sz w:val="24"/>
          <w:szCs w:val="24"/>
          <w:lang w:val="uk-UA"/>
        </w:rPr>
      </w:pPr>
    </w:p>
    <w:p w:rsidR="005B2A9A" w:rsidRPr="008A22EE" w:rsidRDefault="005B2A9A" w:rsidP="00254DA2">
      <w:pPr>
        <w:spacing w:after="0" w:line="240" w:lineRule="auto"/>
        <w:ind w:firstLine="142"/>
        <w:jc w:val="both"/>
        <w:rPr>
          <w:rFonts w:ascii="Times New Roman" w:hAnsi="Times New Roman" w:cs="Times New Roman"/>
          <w:sz w:val="24"/>
          <w:szCs w:val="24"/>
          <w:lang w:val="uk-UA"/>
        </w:rPr>
      </w:pPr>
      <w:r w:rsidRPr="008A22EE">
        <w:rPr>
          <w:rFonts w:ascii="Times New Roman" w:hAnsi="Times New Roman" w:cs="Times New Roman"/>
          <w:noProof/>
          <w:sz w:val="24"/>
          <w:szCs w:val="24"/>
          <w:lang w:val="uk-UA" w:eastAsia="uk-UA"/>
        </w:rPr>
        <w:drawing>
          <wp:inline distT="0" distB="0" distL="0" distR="0">
            <wp:extent cx="5859145" cy="2486025"/>
            <wp:effectExtent l="0" t="0" r="8255" b="9525"/>
            <wp:docPr id="7"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5B2A9A" w:rsidRPr="00F56F69" w:rsidRDefault="005B2A9A" w:rsidP="00E67FF2">
      <w:pPr>
        <w:pStyle w:val="a4"/>
        <w:numPr>
          <w:ilvl w:val="0"/>
          <w:numId w:val="10"/>
        </w:numPr>
        <w:spacing w:after="0"/>
        <w:jc w:val="center"/>
        <w:rPr>
          <w:rFonts w:ascii="Times New Roman" w:hAnsi="Times New Roman" w:cs="Times New Roman"/>
          <w:b/>
          <w:sz w:val="28"/>
          <w:szCs w:val="28"/>
          <w:lang w:val="uk-UA"/>
        </w:rPr>
      </w:pPr>
      <w:r w:rsidRPr="00F56F69">
        <w:rPr>
          <w:rFonts w:ascii="Times New Roman" w:hAnsi="Times New Roman" w:cs="Times New Roman"/>
          <w:b/>
          <w:sz w:val="28"/>
          <w:szCs w:val="28"/>
          <w:lang w:val="uk-UA"/>
        </w:rPr>
        <w:lastRenderedPageBreak/>
        <w:t>Реверсна дотація</w:t>
      </w:r>
    </w:p>
    <w:p w:rsidR="00CF388C" w:rsidRDefault="00CF388C" w:rsidP="003C2903">
      <w:pPr>
        <w:spacing w:line="240" w:lineRule="auto"/>
        <w:ind w:firstLine="567"/>
        <w:contextualSpacing/>
        <w:jc w:val="both"/>
        <w:rPr>
          <w:rFonts w:ascii="Times New Roman" w:hAnsi="Times New Roman" w:cs="Times New Roman"/>
          <w:sz w:val="24"/>
          <w:szCs w:val="24"/>
          <w:highlight w:val="yellow"/>
          <w:lang w:val="uk-UA"/>
        </w:rPr>
      </w:pPr>
    </w:p>
    <w:p w:rsidR="003C2903" w:rsidRDefault="001B5468" w:rsidP="003C2903">
      <w:pPr>
        <w:spacing w:line="240" w:lineRule="auto"/>
        <w:ind w:firstLine="567"/>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 2024 році як виняток з положень абзацу п’ятого частини третьої статті 98 та </w:t>
      </w:r>
      <w:r w:rsidRPr="00F56F69">
        <w:rPr>
          <w:rFonts w:ascii="Times New Roman" w:hAnsi="Times New Roman" w:cs="Times New Roman"/>
          <w:sz w:val="24"/>
          <w:szCs w:val="24"/>
          <w:lang w:val="uk-UA"/>
        </w:rPr>
        <w:t>абзацу п’ятого частини третьої статті</w:t>
      </w:r>
      <w:r>
        <w:rPr>
          <w:rFonts w:ascii="Times New Roman" w:hAnsi="Times New Roman" w:cs="Times New Roman"/>
          <w:sz w:val="24"/>
          <w:szCs w:val="24"/>
          <w:lang w:val="uk-UA"/>
        </w:rPr>
        <w:t xml:space="preserve"> 99 Бюджетного кодексу України, реверсна дотація до державного бюджету не перераховуватиметься. </w:t>
      </w:r>
    </w:p>
    <w:p w:rsidR="001B5468" w:rsidRPr="00545127" w:rsidRDefault="001B5468" w:rsidP="003C2903">
      <w:pPr>
        <w:spacing w:line="240" w:lineRule="auto"/>
        <w:ind w:firstLine="567"/>
        <w:contextualSpacing/>
        <w:jc w:val="both"/>
        <w:rPr>
          <w:rFonts w:ascii="Times New Roman" w:hAnsi="Times New Roman" w:cs="Times New Roman"/>
          <w:color w:val="000000"/>
          <w:sz w:val="24"/>
          <w:szCs w:val="24"/>
          <w:highlight w:val="yellow"/>
          <w:shd w:val="clear" w:color="auto" w:fill="FFFFFF"/>
          <w:lang w:val="uk-UA"/>
        </w:rPr>
      </w:pPr>
    </w:p>
    <w:p w:rsidR="005B2A9A" w:rsidRPr="008A22EE" w:rsidRDefault="005B2A9A" w:rsidP="00DD7308">
      <w:pPr>
        <w:spacing w:line="240" w:lineRule="auto"/>
        <w:contextualSpacing/>
        <w:jc w:val="both"/>
        <w:rPr>
          <w:rFonts w:ascii="Times New Roman" w:hAnsi="Times New Roman" w:cs="Times New Roman"/>
          <w:sz w:val="24"/>
          <w:szCs w:val="24"/>
          <w:lang w:val="uk-UA"/>
        </w:rPr>
      </w:pPr>
      <w:r w:rsidRPr="008A22EE">
        <w:rPr>
          <w:rFonts w:ascii="Times New Roman" w:hAnsi="Times New Roman" w:cs="Times New Roman"/>
          <w:noProof/>
          <w:sz w:val="24"/>
          <w:szCs w:val="24"/>
          <w:lang w:val="uk-UA" w:eastAsia="uk-UA"/>
        </w:rPr>
        <w:drawing>
          <wp:inline distT="0" distB="0" distL="0" distR="0">
            <wp:extent cx="6000750" cy="1885950"/>
            <wp:effectExtent l="0" t="0" r="0" b="0"/>
            <wp:docPr id="23"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8A22EE" w:rsidRPr="008A22EE" w:rsidRDefault="008A22EE" w:rsidP="008A22EE">
      <w:pPr>
        <w:tabs>
          <w:tab w:val="left" w:pos="-5245"/>
          <w:tab w:val="left" w:pos="142"/>
          <w:tab w:val="left" w:pos="426"/>
          <w:tab w:val="left" w:pos="567"/>
          <w:tab w:val="left" w:pos="709"/>
          <w:tab w:val="left" w:pos="851"/>
        </w:tabs>
        <w:spacing w:after="0" w:line="240" w:lineRule="auto"/>
        <w:ind w:right="-2" w:firstLine="567"/>
        <w:jc w:val="center"/>
        <w:rPr>
          <w:rFonts w:ascii="Times New Roman" w:hAnsi="Times New Roman" w:cs="Times New Roman"/>
          <w:b/>
          <w:sz w:val="20"/>
          <w:szCs w:val="20"/>
          <w:lang w:val="uk-UA" w:eastAsia="uk-UA"/>
        </w:rPr>
      </w:pPr>
    </w:p>
    <w:p w:rsidR="008A22EE" w:rsidRPr="0001129D" w:rsidRDefault="008A22EE" w:rsidP="008A22EE">
      <w:pPr>
        <w:tabs>
          <w:tab w:val="left" w:pos="-5245"/>
          <w:tab w:val="left" w:pos="142"/>
          <w:tab w:val="left" w:pos="426"/>
          <w:tab w:val="left" w:pos="567"/>
          <w:tab w:val="left" w:pos="709"/>
          <w:tab w:val="left" w:pos="851"/>
        </w:tabs>
        <w:spacing w:after="0" w:line="240" w:lineRule="auto"/>
        <w:ind w:right="-2" w:firstLine="567"/>
        <w:jc w:val="center"/>
        <w:rPr>
          <w:rFonts w:ascii="Times New Roman" w:hAnsi="Times New Roman" w:cs="Times New Roman"/>
          <w:b/>
          <w:sz w:val="28"/>
          <w:szCs w:val="28"/>
          <w:lang w:val="uk-UA" w:eastAsia="uk-UA"/>
        </w:rPr>
      </w:pPr>
      <w:r w:rsidRPr="0001129D">
        <w:rPr>
          <w:rFonts w:ascii="Times New Roman" w:hAnsi="Times New Roman" w:cs="Times New Roman"/>
          <w:b/>
          <w:sz w:val="28"/>
          <w:szCs w:val="28"/>
          <w:lang w:val="uk-UA" w:eastAsia="uk-UA"/>
        </w:rPr>
        <w:t xml:space="preserve">8. Пояснення до основних положень проєкту рішення Чорноморської міської ради Одеського району Одеської області «Про бюджет Чорноморської міської територіальної громади на 2024 рік» за видатками </w:t>
      </w:r>
    </w:p>
    <w:p w:rsidR="008A22EE" w:rsidRPr="002F041D" w:rsidRDefault="008A22EE" w:rsidP="008A22EE">
      <w:pPr>
        <w:tabs>
          <w:tab w:val="left" w:pos="-5245"/>
          <w:tab w:val="left" w:pos="142"/>
          <w:tab w:val="left" w:pos="426"/>
          <w:tab w:val="left" w:pos="567"/>
          <w:tab w:val="left" w:pos="709"/>
          <w:tab w:val="left" w:pos="851"/>
        </w:tabs>
        <w:spacing w:after="0" w:line="240" w:lineRule="auto"/>
        <w:ind w:right="-2" w:firstLine="567"/>
        <w:jc w:val="center"/>
        <w:rPr>
          <w:rFonts w:ascii="Times New Roman" w:hAnsi="Times New Roman" w:cs="Times New Roman"/>
          <w:b/>
          <w:i/>
          <w:sz w:val="24"/>
          <w:szCs w:val="24"/>
          <w:lang w:val="uk-UA" w:eastAsia="uk-UA"/>
        </w:rPr>
      </w:pPr>
      <w:r w:rsidRPr="002F041D">
        <w:rPr>
          <w:rFonts w:ascii="Times New Roman" w:hAnsi="Times New Roman" w:cs="Times New Roman"/>
          <w:i/>
          <w:sz w:val="24"/>
          <w:szCs w:val="24"/>
          <w:lang w:val="uk-UA"/>
        </w:rPr>
        <w:t>(підпункт  в пункту частини першої статті 76 Бюджетного кодексу України)</w:t>
      </w:r>
    </w:p>
    <w:p w:rsidR="008A22EE" w:rsidRPr="002F041D" w:rsidRDefault="008A22EE" w:rsidP="008A22EE">
      <w:pPr>
        <w:tabs>
          <w:tab w:val="num" w:pos="0"/>
          <w:tab w:val="num" w:pos="1287"/>
          <w:tab w:val="num" w:pos="1579"/>
        </w:tabs>
        <w:spacing w:after="0" w:line="240" w:lineRule="auto"/>
        <w:ind w:right="-6" w:firstLine="567"/>
        <w:jc w:val="both"/>
        <w:rPr>
          <w:rFonts w:ascii="Times New Roman" w:hAnsi="Times New Roman" w:cs="Times New Roman"/>
          <w:sz w:val="24"/>
          <w:szCs w:val="24"/>
          <w:lang w:val="uk-UA" w:eastAsia="uk-UA"/>
        </w:rPr>
      </w:pPr>
      <w:r w:rsidRPr="002F041D">
        <w:rPr>
          <w:rFonts w:ascii="Times New Roman" w:hAnsi="Times New Roman" w:cs="Times New Roman"/>
          <w:sz w:val="24"/>
          <w:szCs w:val="24"/>
          <w:lang w:val="uk-UA" w:eastAsia="uk-UA"/>
        </w:rPr>
        <w:t>Формування видатків проєкту бюджету Чорноморської міської територіальної громади на 2024 рік враховує показники Закону України «Про Державний бюджет України на 2024 рік», воєнний стан, введений відповідно до Указу Президента України від 24.02.2022 року № 64/2022 та продовжений відповідно до Указів Президента України від 14.03.2022 № 133/2022, від 18.04.2022 №</w:t>
      </w:r>
      <w:r w:rsidRPr="00A60F33">
        <w:rPr>
          <w:rFonts w:ascii="Times New Roman" w:hAnsi="Times New Roman" w:cs="Times New Roman"/>
          <w:sz w:val="24"/>
          <w:szCs w:val="24"/>
          <w:lang w:val="uk-UA" w:eastAsia="uk-UA"/>
        </w:rPr>
        <w:t xml:space="preserve"> </w:t>
      </w:r>
      <w:r w:rsidRPr="002F041D">
        <w:rPr>
          <w:rFonts w:ascii="Times New Roman" w:hAnsi="Times New Roman" w:cs="Times New Roman"/>
          <w:sz w:val="24"/>
          <w:szCs w:val="24"/>
          <w:lang w:val="uk-UA" w:eastAsia="uk-UA"/>
        </w:rPr>
        <w:t>259/2022, від 17.05.2022 № 341/2022, від 12.08.2022 № 573/2022, від 07.11.2022 № 757/2022, від 06.02.2023 №</w:t>
      </w:r>
      <w:r w:rsidRPr="00A60F33">
        <w:rPr>
          <w:rFonts w:ascii="Times New Roman" w:hAnsi="Times New Roman" w:cs="Times New Roman"/>
          <w:sz w:val="24"/>
          <w:szCs w:val="24"/>
          <w:lang w:val="uk-UA" w:eastAsia="uk-UA"/>
        </w:rPr>
        <w:t xml:space="preserve"> </w:t>
      </w:r>
      <w:r w:rsidRPr="002F041D">
        <w:rPr>
          <w:rFonts w:ascii="Times New Roman" w:hAnsi="Times New Roman" w:cs="Times New Roman"/>
          <w:sz w:val="24"/>
          <w:szCs w:val="24"/>
          <w:lang w:val="uk-UA" w:eastAsia="uk-UA"/>
        </w:rPr>
        <w:t>58/2023, від 01.05.2023 № 254/2023, від 26.07.2023 № 451/2023, від 06.11.2023 № 734/2023, норми Бюджетного кодексу України, постанови Кабінету Міністрів України від 11.03.2022 № 252 (із змінами) «Деякі питання формування та виконання місцевих бюджетів у період воєнного стану»</w:t>
      </w:r>
      <w:r w:rsidRPr="002F041D">
        <w:rPr>
          <w:rFonts w:ascii="Times New Roman" w:hAnsi="Times New Roman" w:cs="Times New Roman"/>
          <w:sz w:val="24"/>
          <w:szCs w:val="24"/>
          <w:shd w:val="clear" w:color="auto" w:fill="FFFFFF"/>
          <w:lang w:val="uk-UA"/>
        </w:rPr>
        <w:t>.</w:t>
      </w:r>
    </w:p>
    <w:p w:rsidR="008A22EE" w:rsidRPr="002077D8" w:rsidRDefault="008A22EE" w:rsidP="008A22EE">
      <w:pPr>
        <w:pStyle w:val="af"/>
        <w:tabs>
          <w:tab w:val="left" w:pos="993"/>
        </w:tabs>
        <w:spacing w:before="0" w:beforeAutospacing="0" w:after="0" w:afterAutospacing="0"/>
        <w:ind w:firstLine="567"/>
        <w:jc w:val="both"/>
        <w:rPr>
          <w:b/>
          <w:lang w:val="uk-UA"/>
        </w:rPr>
      </w:pPr>
      <w:r w:rsidRPr="002077D8">
        <w:rPr>
          <w:b/>
          <w:lang w:val="uk-UA"/>
        </w:rPr>
        <w:t>Загальний обсяг видатків бюджету Чорноморської міської територіальної громади на 2024 рік розраховано у сумі 1</w:t>
      </w:r>
      <w:r>
        <w:rPr>
          <w:b/>
          <w:lang w:val="uk-UA"/>
        </w:rPr>
        <w:t> </w:t>
      </w:r>
      <w:r w:rsidRPr="002077D8">
        <w:rPr>
          <w:b/>
          <w:lang w:val="uk-UA"/>
        </w:rPr>
        <w:t>00</w:t>
      </w:r>
      <w:r>
        <w:rPr>
          <w:b/>
          <w:lang w:val="uk-UA"/>
        </w:rPr>
        <w:t>8 086,0 тис. грн</w:t>
      </w:r>
      <w:r w:rsidRPr="002077D8">
        <w:rPr>
          <w:b/>
          <w:lang w:val="uk-UA"/>
        </w:rPr>
        <w:t xml:space="preserve">, у тому числі обсяг видатків загального фонду бюджету – </w:t>
      </w:r>
      <w:r>
        <w:rPr>
          <w:b/>
          <w:lang w:val="uk-UA"/>
        </w:rPr>
        <w:t xml:space="preserve">986 937,0 тис. грн </w:t>
      </w:r>
      <w:r w:rsidRPr="002077D8">
        <w:rPr>
          <w:b/>
          <w:lang w:val="uk-UA"/>
        </w:rPr>
        <w:t xml:space="preserve">та видатків спеціального фонду – </w:t>
      </w:r>
      <w:r>
        <w:rPr>
          <w:b/>
          <w:lang w:val="uk-UA"/>
        </w:rPr>
        <w:t xml:space="preserve">                     21 149,0 тис. </w:t>
      </w:r>
      <w:r w:rsidRPr="002077D8">
        <w:rPr>
          <w:b/>
          <w:lang w:val="uk-UA"/>
        </w:rPr>
        <w:t>гривень.</w:t>
      </w:r>
    </w:p>
    <w:p w:rsidR="008A22EE" w:rsidRPr="00FC72BE" w:rsidRDefault="008A22EE" w:rsidP="008A22EE">
      <w:pPr>
        <w:tabs>
          <w:tab w:val="num" w:pos="0"/>
          <w:tab w:val="num" w:pos="1287"/>
          <w:tab w:val="num" w:pos="1579"/>
        </w:tabs>
        <w:spacing w:after="0" w:line="240" w:lineRule="auto"/>
        <w:ind w:right="-5"/>
        <w:jc w:val="both"/>
        <w:rPr>
          <w:rFonts w:ascii="Times New Roman" w:hAnsi="Times New Roman" w:cs="Times New Roman"/>
          <w:sz w:val="24"/>
          <w:szCs w:val="24"/>
          <w:lang w:val="uk-UA"/>
          <w14:textFill>
            <w14:gradFill>
              <w14:gsLst>
                <w14:gs w14:pos="0">
                  <w14:schemeClr w14:val="accent2">
                    <w14:lumMod w14:val="67000"/>
                  </w14:schemeClr>
                </w14:gs>
                <w14:gs w14:pos="48000">
                  <w14:schemeClr w14:val="accent2">
                    <w14:lumMod w14:val="97000"/>
                    <w14:lumOff w14:val="3000"/>
                  </w14:schemeClr>
                </w14:gs>
                <w14:gs w14:pos="100000">
                  <w14:schemeClr w14:val="accent2">
                    <w14:lumMod w14:val="60000"/>
                    <w14:lumOff w14:val="40000"/>
                  </w14:schemeClr>
                </w14:gs>
              </w14:gsLst>
              <w14:lin w14:ang="16200000" w14:scaled="0"/>
            </w14:gradFill>
          </w14:textFill>
        </w:rPr>
      </w:pPr>
      <w:r w:rsidRPr="00FC72BE">
        <w:rPr>
          <w:rFonts w:ascii="Times New Roman" w:hAnsi="Times New Roman" w:cs="Times New Roman"/>
          <w:noProof/>
          <w:sz w:val="24"/>
          <w:szCs w:val="24"/>
          <w:lang w:val="uk-UA" w:eastAsia="uk-UA"/>
        </w:rPr>
        <w:drawing>
          <wp:inline distT="0" distB="0" distL="0" distR="0" wp14:anchorId="40A63033" wp14:editId="4293E407">
            <wp:extent cx="5939790" cy="3314700"/>
            <wp:effectExtent l="0" t="0" r="3810" b="0"/>
            <wp:docPr id="22"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8A22EE" w:rsidRPr="00776D59" w:rsidRDefault="008A22EE" w:rsidP="008A22EE">
      <w:pPr>
        <w:tabs>
          <w:tab w:val="num" w:pos="0"/>
          <w:tab w:val="num" w:pos="1287"/>
          <w:tab w:val="num" w:pos="1579"/>
        </w:tabs>
        <w:spacing w:after="0" w:line="240" w:lineRule="auto"/>
        <w:ind w:right="-5" w:firstLine="567"/>
        <w:jc w:val="both"/>
        <w:rPr>
          <w:rFonts w:ascii="Times New Roman" w:hAnsi="Times New Roman" w:cs="Times New Roman"/>
          <w:sz w:val="24"/>
          <w:szCs w:val="24"/>
          <w:highlight w:val="yellow"/>
          <w:lang w:val="uk-UA"/>
        </w:rPr>
      </w:pPr>
    </w:p>
    <w:p w:rsidR="008A22EE" w:rsidRDefault="008A22EE" w:rsidP="008A22EE">
      <w:pPr>
        <w:spacing w:after="0" w:line="240" w:lineRule="auto"/>
        <w:ind w:right="-6" w:firstLine="567"/>
        <w:contextualSpacing/>
        <w:jc w:val="both"/>
        <w:rPr>
          <w:rFonts w:ascii="Times New Roman" w:hAnsi="Times New Roman" w:cs="Times New Roman"/>
          <w:sz w:val="24"/>
          <w:szCs w:val="24"/>
          <w:lang w:val="uk-UA"/>
        </w:rPr>
      </w:pPr>
    </w:p>
    <w:p w:rsidR="008A22EE" w:rsidRPr="00DD6197" w:rsidRDefault="008A22EE" w:rsidP="008A22EE">
      <w:pPr>
        <w:spacing w:after="0" w:line="240" w:lineRule="auto"/>
        <w:ind w:right="-6" w:firstLine="567"/>
        <w:contextualSpacing/>
        <w:jc w:val="both"/>
        <w:rPr>
          <w:rFonts w:ascii="Times New Roman" w:hAnsi="Times New Roman" w:cs="Times New Roman"/>
          <w:sz w:val="24"/>
          <w:szCs w:val="24"/>
          <w:lang w:val="uk-UA"/>
        </w:rPr>
      </w:pPr>
      <w:r w:rsidRPr="00DD6197">
        <w:rPr>
          <w:rFonts w:ascii="Times New Roman" w:hAnsi="Times New Roman" w:cs="Times New Roman"/>
          <w:sz w:val="24"/>
          <w:szCs w:val="24"/>
          <w:lang w:val="uk-UA"/>
        </w:rPr>
        <w:lastRenderedPageBreak/>
        <w:t>Джерела, за рахунок яких сформовані видатки спеціального фонду бюджету громади:</w:t>
      </w:r>
    </w:p>
    <w:p w:rsidR="008A22EE" w:rsidRPr="00DD6197" w:rsidRDefault="008A22EE" w:rsidP="008A22EE">
      <w:pPr>
        <w:spacing w:after="0" w:line="240" w:lineRule="auto"/>
        <w:ind w:right="-6" w:firstLine="567"/>
        <w:contextualSpacing/>
        <w:jc w:val="both"/>
        <w:rPr>
          <w:rFonts w:ascii="Times New Roman" w:hAnsi="Times New Roman" w:cs="Times New Roman"/>
          <w:i/>
          <w:sz w:val="24"/>
          <w:szCs w:val="24"/>
          <w:lang w:val="uk-UA"/>
        </w:rPr>
      </w:pPr>
      <w:r w:rsidRPr="00DD6197">
        <w:rPr>
          <w:rFonts w:ascii="Times New Roman" w:hAnsi="Times New Roman" w:cs="Times New Roman"/>
          <w:sz w:val="24"/>
          <w:szCs w:val="24"/>
          <w:lang w:val="uk-UA"/>
        </w:rPr>
        <w:t xml:space="preserve">- </w:t>
      </w:r>
      <w:r w:rsidRPr="00DD6197">
        <w:rPr>
          <w:rFonts w:ascii="Times New Roman" w:hAnsi="Times New Roman" w:cs="Times New Roman"/>
          <w:i/>
          <w:sz w:val="24"/>
          <w:szCs w:val="24"/>
          <w:lang w:val="uk-UA"/>
        </w:rPr>
        <w:t>власні надходження бюджетних установ – 18</w:t>
      </w:r>
      <w:r>
        <w:rPr>
          <w:rFonts w:ascii="Times New Roman" w:hAnsi="Times New Roman" w:cs="Times New Roman"/>
          <w:i/>
          <w:sz w:val="24"/>
          <w:szCs w:val="24"/>
          <w:lang w:val="uk-UA"/>
        </w:rPr>
        <w:t> </w:t>
      </w:r>
      <w:r w:rsidRPr="00DD6197">
        <w:rPr>
          <w:rFonts w:ascii="Times New Roman" w:hAnsi="Times New Roman" w:cs="Times New Roman"/>
          <w:i/>
          <w:sz w:val="24"/>
          <w:szCs w:val="24"/>
          <w:lang w:val="uk-UA"/>
        </w:rPr>
        <w:t>000</w:t>
      </w:r>
      <w:r>
        <w:rPr>
          <w:rFonts w:ascii="Times New Roman" w:hAnsi="Times New Roman" w:cs="Times New Roman"/>
          <w:i/>
          <w:sz w:val="24"/>
          <w:szCs w:val="24"/>
          <w:lang w:val="uk-UA"/>
        </w:rPr>
        <w:t xml:space="preserve">,0 тис. </w:t>
      </w:r>
      <w:r w:rsidRPr="00DD6197">
        <w:rPr>
          <w:rFonts w:ascii="Times New Roman" w:hAnsi="Times New Roman" w:cs="Times New Roman"/>
          <w:i/>
          <w:sz w:val="24"/>
          <w:szCs w:val="24"/>
          <w:lang w:val="uk-UA"/>
        </w:rPr>
        <w:t>грн;</w:t>
      </w:r>
    </w:p>
    <w:p w:rsidR="008A22EE" w:rsidRPr="00DD6197" w:rsidRDefault="008A22EE" w:rsidP="008A22EE">
      <w:pPr>
        <w:spacing w:after="0" w:line="240" w:lineRule="auto"/>
        <w:ind w:right="-6" w:firstLine="567"/>
        <w:contextualSpacing/>
        <w:jc w:val="both"/>
        <w:rPr>
          <w:rFonts w:ascii="Times New Roman" w:hAnsi="Times New Roman" w:cs="Times New Roman"/>
          <w:i/>
          <w:sz w:val="24"/>
          <w:szCs w:val="24"/>
          <w:lang w:val="uk-UA"/>
        </w:rPr>
      </w:pPr>
      <w:r w:rsidRPr="00DD6197">
        <w:rPr>
          <w:rFonts w:ascii="Times New Roman" w:hAnsi="Times New Roman" w:cs="Times New Roman"/>
          <w:i/>
          <w:sz w:val="24"/>
          <w:szCs w:val="24"/>
          <w:lang w:val="uk-UA"/>
        </w:rPr>
        <w:t>- надходження до бюджету розвитку – 2</w:t>
      </w:r>
      <w:r>
        <w:rPr>
          <w:rFonts w:ascii="Times New Roman" w:hAnsi="Times New Roman" w:cs="Times New Roman"/>
          <w:i/>
          <w:sz w:val="24"/>
          <w:szCs w:val="24"/>
          <w:lang w:val="uk-UA"/>
        </w:rPr>
        <w:t> </w:t>
      </w:r>
      <w:r w:rsidRPr="00DD6197">
        <w:rPr>
          <w:rFonts w:ascii="Times New Roman" w:hAnsi="Times New Roman" w:cs="Times New Roman"/>
          <w:i/>
          <w:sz w:val="24"/>
          <w:szCs w:val="24"/>
          <w:lang w:val="uk-UA"/>
        </w:rPr>
        <w:t>799</w:t>
      </w:r>
      <w:r>
        <w:rPr>
          <w:rFonts w:ascii="Times New Roman" w:hAnsi="Times New Roman" w:cs="Times New Roman"/>
          <w:i/>
          <w:sz w:val="24"/>
          <w:szCs w:val="24"/>
          <w:lang w:val="uk-UA"/>
        </w:rPr>
        <w:t>,0 тис.</w:t>
      </w:r>
      <w:r w:rsidRPr="00DD6197">
        <w:rPr>
          <w:rFonts w:ascii="Times New Roman" w:hAnsi="Times New Roman" w:cs="Times New Roman"/>
          <w:i/>
          <w:sz w:val="24"/>
          <w:szCs w:val="24"/>
          <w:lang w:val="uk-UA"/>
        </w:rPr>
        <w:t xml:space="preserve"> грн;</w:t>
      </w:r>
    </w:p>
    <w:p w:rsidR="008A22EE" w:rsidRPr="005A596C" w:rsidRDefault="008A22EE" w:rsidP="008A22EE">
      <w:pPr>
        <w:tabs>
          <w:tab w:val="num" w:pos="0"/>
          <w:tab w:val="num" w:pos="1287"/>
          <w:tab w:val="num" w:pos="1579"/>
        </w:tabs>
        <w:spacing w:after="0" w:line="240" w:lineRule="auto"/>
        <w:ind w:right="-6" w:firstLine="567"/>
        <w:contextualSpacing/>
        <w:jc w:val="both"/>
        <w:rPr>
          <w:rFonts w:ascii="Times New Roman" w:hAnsi="Times New Roman" w:cs="Times New Roman"/>
          <w:i/>
          <w:sz w:val="24"/>
          <w:szCs w:val="24"/>
          <w:lang w:val="uk-UA"/>
        </w:rPr>
      </w:pPr>
      <w:r w:rsidRPr="00DD6197">
        <w:rPr>
          <w:rFonts w:ascii="Times New Roman" w:hAnsi="Times New Roman" w:cs="Times New Roman"/>
          <w:i/>
          <w:sz w:val="24"/>
          <w:szCs w:val="24"/>
          <w:lang w:val="uk-UA"/>
        </w:rPr>
        <w:t>- надходження до фонду охорони навколишнього природного середовища – 350</w:t>
      </w:r>
      <w:r>
        <w:rPr>
          <w:rFonts w:ascii="Times New Roman" w:hAnsi="Times New Roman" w:cs="Times New Roman"/>
          <w:i/>
          <w:sz w:val="24"/>
          <w:szCs w:val="24"/>
          <w:lang w:val="uk-UA"/>
        </w:rPr>
        <w:t xml:space="preserve">,0 тис. </w:t>
      </w:r>
      <w:r w:rsidRPr="00DD6197">
        <w:rPr>
          <w:rFonts w:ascii="Times New Roman" w:hAnsi="Times New Roman" w:cs="Times New Roman"/>
          <w:i/>
          <w:sz w:val="24"/>
          <w:szCs w:val="24"/>
          <w:lang w:val="uk-UA"/>
        </w:rPr>
        <w:t>грн.</w:t>
      </w:r>
      <w:r w:rsidRPr="005A596C">
        <w:rPr>
          <w:rFonts w:ascii="Times New Roman" w:hAnsi="Times New Roman" w:cs="Times New Roman"/>
          <w:i/>
          <w:sz w:val="24"/>
          <w:szCs w:val="24"/>
          <w:lang w:val="uk-UA"/>
        </w:rPr>
        <w:t xml:space="preserve"> </w:t>
      </w:r>
    </w:p>
    <w:p w:rsidR="008A22EE" w:rsidRPr="008623FB" w:rsidRDefault="008A22EE" w:rsidP="008A22EE">
      <w:pPr>
        <w:tabs>
          <w:tab w:val="num" w:pos="0"/>
          <w:tab w:val="num" w:pos="1287"/>
          <w:tab w:val="num" w:pos="1579"/>
        </w:tabs>
        <w:spacing w:after="0" w:line="240" w:lineRule="auto"/>
        <w:ind w:right="-5" w:firstLine="567"/>
        <w:jc w:val="both"/>
        <w:rPr>
          <w:rFonts w:ascii="Times New Roman" w:hAnsi="Times New Roman" w:cs="Times New Roman"/>
          <w:sz w:val="24"/>
          <w:szCs w:val="24"/>
          <w:lang w:val="uk-UA" w:eastAsia="uk-UA"/>
        </w:rPr>
      </w:pPr>
      <w:r w:rsidRPr="008623FB">
        <w:rPr>
          <w:rFonts w:ascii="Times New Roman" w:hAnsi="Times New Roman" w:cs="Times New Roman"/>
          <w:sz w:val="24"/>
          <w:szCs w:val="24"/>
          <w:lang w:val="uk-UA" w:eastAsia="uk-UA"/>
        </w:rPr>
        <w:t xml:space="preserve">У порівнянні з плановими показниками бюджету Чорноморської міської територіальної громади на 2023 рік (з урахуванням змін – </w:t>
      </w:r>
      <w:r w:rsidRPr="00A60F33">
        <w:rPr>
          <w:rFonts w:ascii="Times New Roman" w:hAnsi="Times New Roman"/>
          <w:sz w:val="24"/>
          <w:szCs w:val="24"/>
          <w:lang w:val="uk-UA"/>
        </w:rPr>
        <w:t>1</w:t>
      </w:r>
      <w:r w:rsidRPr="008623FB">
        <w:rPr>
          <w:rFonts w:ascii="Times New Roman" w:hAnsi="Times New Roman"/>
          <w:sz w:val="24"/>
          <w:szCs w:val="24"/>
        </w:rPr>
        <w:t> </w:t>
      </w:r>
      <w:r w:rsidRPr="00A60F33">
        <w:rPr>
          <w:rFonts w:ascii="Times New Roman" w:hAnsi="Times New Roman"/>
          <w:sz w:val="24"/>
          <w:szCs w:val="24"/>
          <w:lang w:val="uk-UA"/>
        </w:rPr>
        <w:t>33</w:t>
      </w:r>
      <w:r>
        <w:rPr>
          <w:rFonts w:ascii="Times New Roman" w:hAnsi="Times New Roman"/>
          <w:sz w:val="24"/>
          <w:szCs w:val="24"/>
          <w:lang w:val="uk-UA"/>
        </w:rPr>
        <w:t>9</w:t>
      </w:r>
      <w:r>
        <w:rPr>
          <w:rFonts w:ascii="Times New Roman" w:hAnsi="Times New Roman"/>
          <w:sz w:val="24"/>
          <w:szCs w:val="24"/>
        </w:rPr>
        <w:t> </w:t>
      </w:r>
      <w:r>
        <w:rPr>
          <w:rFonts w:ascii="Times New Roman" w:hAnsi="Times New Roman"/>
          <w:sz w:val="24"/>
          <w:szCs w:val="24"/>
          <w:lang w:val="uk-UA"/>
        </w:rPr>
        <w:t>2</w:t>
      </w:r>
      <w:r w:rsidRPr="00A60F33">
        <w:rPr>
          <w:rFonts w:ascii="Times New Roman" w:hAnsi="Times New Roman"/>
          <w:sz w:val="24"/>
          <w:szCs w:val="24"/>
          <w:lang w:val="uk-UA"/>
        </w:rPr>
        <w:t>61</w:t>
      </w:r>
      <w:r>
        <w:rPr>
          <w:rFonts w:ascii="Times New Roman" w:hAnsi="Times New Roman"/>
          <w:sz w:val="24"/>
          <w:szCs w:val="24"/>
          <w:lang w:val="uk-UA"/>
        </w:rPr>
        <w:t xml:space="preserve">,5 тис. </w:t>
      </w:r>
      <w:r w:rsidRPr="008623FB">
        <w:rPr>
          <w:rFonts w:ascii="Times New Roman" w:hAnsi="Times New Roman" w:cs="Times New Roman"/>
          <w:sz w:val="24"/>
          <w:szCs w:val="24"/>
          <w:lang w:val="uk-UA" w:eastAsia="uk-UA"/>
        </w:rPr>
        <w:t>грн) видатки проєкту бюджету Чорноморської міської територіальної громади на 202</w:t>
      </w:r>
      <w:r>
        <w:rPr>
          <w:rFonts w:ascii="Times New Roman" w:hAnsi="Times New Roman" w:cs="Times New Roman"/>
          <w:sz w:val="24"/>
          <w:szCs w:val="24"/>
          <w:lang w:val="uk-UA" w:eastAsia="uk-UA"/>
        </w:rPr>
        <w:t>4</w:t>
      </w:r>
      <w:r w:rsidRPr="008623FB">
        <w:rPr>
          <w:rFonts w:ascii="Times New Roman" w:hAnsi="Times New Roman" w:cs="Times New Roman"/>
          <w:sz w:val="24"/>
          <w:szCs w:val="24"/>
          <w:lang w:val="uk-UA" w:eastAsia="uk-UA"/>
        </w:rPr>
        <w:t xml:space="preserve"> рік зменшуються на</w:t>
      </w:r>
      <w:r>
        <w:rPr>
          <w:rFonts w:ascii="Times New Roman" w:hAnsi="Times New Roman" w:cs="Times New Roman"/>
          <w:sz w:val="24"/>
          <w:szCs w:val="24"/>
          <w:lang w:val="uk-UA" w:eastAsia="uk-UA"/>
        </w:rPr>
        <w:t xml:space="preserve"> 331 175,2 тис. грн</w:t>
      </w:r>
      <w:r w:rsidRPr="008623FB">
        <w:rPr>
          <w:rFonts w:ascii="Times New Roman" w:hAnsi="Times New Roman" w:cs="Times New Roman"/>
          <w:sz w:val="24"/>
          <w:szCs w:val="24"/>
          <w:lang w:val="uk-UA" w:eastAsia="uk-UA"/>
        </w:rPr>
        <w:t xml:space="preserve"> та складуть </w:t>
      </w:r>
      <w:r>
        <w:rPr>
          <w:rFonts w:ascii="Times New Roman" w:hAnsi="Times New Roman" w:cs="Times New Roman"/>
          <w:sz w:val="24"/>
          <w:szCs w:val="24"/>
          <w:lang w:val="uk-UA" w:eastAsia="uk-UA"/>
        </w:rPr>
        <w:t>75,3</w:t>
      </w:r>
      <w:r w:rsidRPr="008623FB">
        <w:rPr>
          <w:rFonts w:ascii="Times New Roman" w:hAnsi="Times New Roman" w:cs="Times New Roman"/>
          <w:sz w:val="24"/>
          <w:szCs w:val="24"/>
          <w:lang w:val="uk-UA" w:eastAsia="uk-UA"/>
        </w:rPr>
        <w:t xml:space="preserve"> % планових видатків поточного року з урахуванням змін. </w:t>
      </w:r>
    </w:p>
    <w:p w:rsidR="008A22EE" w:rsidRDefault="008A22EE" w:rsidP="008A22EE">
      <w:pPr>
        <w:spacing w:after="0" w:line="240" w:lineRule="auto"/>
        <w:ind w:right="-6" w:firstLine="567"/>
        <w:contextualSpacing/>
        <w:jc w:val="both"/>
        <w:rPr>
          <w:rFonts w:ascii="Times New Roman" w:hAnsi="Times New Roman" w:cs="Times New Roman"/>
          <w:sz w:val="24"/>
          <w:szCs w:val="24"/>
          <w:lang w:val="uk-UA" w:eastAsia="uk-UA"/>
        </w:rPr>
      </w:pPr>
      <w:r w:rsidRPr="008623FB">
        <w:rPr>
          <w:rFonts w:ascii="Times New Roman" w:hAnsi="Times New Roman" w:cs="Times New Roman"/>
          <w:sz w:val="24"/>
          <w:szCs w:val="24"/>
          <w:lang w:val="uk-UA" w:eastAsia="uk-UA"/>
        </w:rPr>
        <w:t>Основними причинами зменшення видатків на 202</w:t>
      </w:r>
      <w:r>
        <w:rPr>
          <w:rFonts w:ascii="Times New Roman" w:hAnsi="Times New Roman" w:cs="Times New Roman"/>
          <w:sz w:val="24"/>
          <w:szCs w:val="24"/>
          <w:lang w:val="uk-UA" w:eastAsia="uk-UA"/>
        </w:rPr>
        <w:t>4</w:t>
      </w:r>
      <w:r w:rsidRPr="008623FB">
        <w:rPr>
          <w:rFonts w:ascii="Times New Roman" w:hAnsi="Times New Roman" w:cs="Times New Roman"/>
          <w:sz w:val="24"/>
          <w:szCs w:val="24"/>
          <w:lang w:val="uk-UA" w:eastAsia="uk-UA"/>
        </w:rPr>
        <w:t xml:space="preserve"> рік у порівнянні з видатками, визначеними у бюджеті Чорноморської міської територіальної громади на 202</w:t>
      </w:r>
      <w:r>
        <w:rPr>
          <w:rFonts w:ascii="Times New Roman" w:hAnsi="Times New Roman" w:cs="Times New Roman"/>
          <w:sz w:val="24"/>
          <w:szCs w:val="24"/>
          <w:lang w:val="uk-UA" w:eastAsia="uk-UA"/>
        </w:rPr>
        <w:t>3</w:t>
      </w:r>
      <w:r w:rsidRPr="008623FB">
        <w:rPr>
          <w:rFonts w:ascii="Times New Roman" w:hAnsi="Times New Roman" w:cs="Times New Roman"/>
          <w:sz w:val="24"/>
          <w:szCs w:val="24"/>
          <w:lang w:val="uk-UA" w:eastAsia="uk-UA"/>
        </w:rPr>
        <w:t xml:space="preserve"> рік, зокрема, є відсутність видатків, які визначені у бюджеті Чорноморської міської територіальної громади на 202</w:t>
      </w:r>
      <w:r>
        <w:rPr>
          <w:rFonts w:ascii="Times New Roman" w:hAnsi="Times New Roman" w:cs="Times New Roman"/>
          <w:sz w:val="24"/>
          <w:szCs w:val="24"/>
          <w:lang w:val="uk-UA" w:eastAsia="uk-UA"/>
        </w:rPr>
        <w:t>3</w:t>
      </w:r>
      <w:r w:rsidRPr="008623FB">
        <w:rPr>
          <w:rFonts w:ascii="Times New Roman" w:hAnsi="Times New Roman" w:cs="Times New Roman"/>
          <w:sz w:val="24"/>
          <w:szCs w:val="24"/>
          <w:lang w:val="uk-UA" w:eastAsia="uk-UA"/>
        </w:rPr>
        <w:t xml:space="preserve"> рік за рахунок залишків коштів, які утворились станом на 01.01.202</w:t>
      </w:r>
      <w:r>
        <w:rPr>
          <w:rFonts w:ascii="Times New Roman" w:hAnsi="Times New Roman" w:cs="Times New Roman"/>
          <w:sz w:val="24"/>
          <w:szCs w:val="24"/>
          <w:lang w:val="uk-UA" w:eastAsia="uk-UA"/>
        </w:rPr>
        <w:t>3</w:t>
      </w:r>
      <w:r w:rsidRPr="008623FB">
        <w:rPr>
          <w:rFonts w:ascii="Times New Roman" w:hAnsi="Times New Roman" w:cs="Times New Roman"/>
          <w:sz w:val="24"/>
          <w:szCs w:val="24"/>
          <w:lang w:val="uk-UA" w:eastAsia="uk-UA"/>
        </w:rPr>
        <w:t xml:space="preserve">р. в сумі </w:t>
      </w:r>
      <w:r>
        <w:rPr>
          <w:rFonts w:ascii="Times New Roman" w:hAnsi="Times New Roman" w:cs="Times New Roman"/>
          <w:sz w:val="24"/>
          <w:szCs w:val="24"/>
          <w:lang w:val="uk-UA" w:eastAsia="uk-UA"/>
        </w:rPr>
        <w:t>224,3 млн. грн та зарахування у 2024 році до Державного бюджету України п</w:t>
      </w:r>
      <w:r w:rsidRPr="001260CD">
        <w:rPr>
          <w:rFonts w:ascii="Times New Roman" w:hAnsi="Times New Roman" w:cs="Times New Roman"/>
          <w:sz w:val="24"/>
          <w:szCs w:val="24"/>
          <w:lang w:val="uk-UA" w:eastAsia="uk-UA"/>
        </w:rPr>
        <w:t>одат</w:t>
      </w:r>
      <w:r>
        <w:rPr>
          <w:rFonts w:ascii="Times New Roman" w:hAnsi="Times New Roman" w:cs="Times New Roman"/>
          <w:sz w:val="24"/>
          <w:szCs w:val="24"/>
          <w:lang w:val="uk-UA" w:eastAsia="uk-UA"/>
        </w:rPr>
        <w:t>ку</w:t>
      </w:r>
      <w:r w:rsidRPr="001260CD">
        <w:rPr>
          <w:rFonts w:ascii="Times New Roman" w:hAnsi="Times New Roman" w:cs="Times New Roman"/>
          <w:sz w:val="24"/>
          <w:szCs w:val="24"/>
          <w:lang w:val="uk-UA" w:eastAsia="uk-UA"/>
        </w:rPr>
        <w:t xml:space="preserve"> на доходи фізичних осіб з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податковими агентами</w:t>
      </w:r>
      <w:r>
        <w:rPr>
          <w:rFonts w:ascii="Times New Roman" w:hAnsi="Times New Roman" w:cs="Times New Roman"/>
          <w:sz w:val="24"/>
          <w:szCs w:val="24"/>
          <w:lang w:val="uk-UA" w:eastAsia="uk-UA"/>
        </w:rPr>
        <w:t xml:space="preserve"> (в 2023 році надійшло такого податку у сумі 200,7 млн. грн).</w:t>
      </w:r>
    </w:p>
    <w:p w:rsidR="008A22EE" w:rsidRPr="00AB18C0" w:rsidRDefault="008A22EE" w:rsidP="008A22EE">
      <w:pPr>
        <w:tabs>
          <w:tab w:val="num" w:pos="0"/>
          <w:tab w:val="num" w:pos="1287"/>
          <w:tab w:val="num" w:pos="1579"/>
        </w:tabs>
        <w:spacing w:after="0" w:line="240" w:lineRule="auto"/>
        <w:ind w:right="-5" w:firstLine="567"/>
        <w:contextualSpacing/>
        <w:jc w:val="both"/>
        <w:rPr>
          <w:rFonts w:ascii="Times New Roman" w:hAnsi="Times New Roman" w:cs="Times New Roman"/>
          <w:b/>
          <w:sz w:val="24"/>
          <w:szCs w:val="24"/>
          <w:lang w:val="uk-UA"/>
        </w:rPr>
      </w:pPr>
      <w:r w:rsidRPr="00AB18C0">
        <w:rPr>
          <w:rFonts w:ascii="Times New Roman" w:hAnsi="Times New Roman" w:cs="Times New Roman"/>
          <w:sz w:val="24"/>
          <w:szCs w:val="24"/>
          <w:lang w:val="uk-UA"/>
        </w:rPr>
        <w:t>Найбільшу питому вагу 66,</w:t>
      </w:r>
      <w:r>
        <w:rPr>
          <w:rFonts w:ascii="Times New Roman" w:hAnsi="Times New Roman" w:cs="Times New Roman"/>
          <w:sz w:val="24"/>
          <w:szCs w:val="24"/>
          <w:lang w:val="uk-UA"/>
        </w:rPr>
        <w:t>3</w:t>
      </w:r>
      <w:r w:rsidRPr="00AB18C0">
        <w:rPr>
          <w:rFonts w:ascii="Times New Roman" w:hAnsi="Times New Roman" w:cs="Times New Roman"/>
          <w:sz w:val="24"/>
          <w:szCs w:val="24"/>
          <w:lang w:val="uk-UA"/>
        </w:rPr>
        <w:t xml:space="preserve"> %, або 65</w:t>
      </w:r>
      <w:r>
        <w:rPr>
          <w:rFonts w:ascii="Times New Roman" w:hAnsi="Times New Roman" w:cs="Times New Roman"/>
          <w:sz w:val="24"/>
          <w:szCs w:val="24"/>
          <w:lang w:val="uk-UA"/>
        </w:rPr>
        <w:t>4 446,3 тис. грн</w:t>
      </w:r>
      <w:r w:rsidRPr="00AB18C0">
        <w:rPr>
          <w:rFonts w:ascii="Times New Roman" w:hAnsi="Times New Roman" w:cs="Times New Roman"/>
          <w:sz w:val="24"/>
          <w:szCs w:val="24"/>
          <w:lang w:val="uk-UA"/>
        </w:rPr>
        <w:t xml:space="preserve"> у розрахованих видатках загального фонду бюджету громади  складають </w:t>
      </w:r>
      <w:r w:rsidRPr="00AB18C0">
        <w:rPr>
          <w:rFonts w:ascii="Times New Roman" w:hAnsi="Times New Roman" w:cs="Times New Roman"/>
          <w:b/>
          <w:sz w:val="24"/>
          <w:szCs w:val="24"/>
          <w:lang w:val="uk-UA"/>
        </w:rPr>
        <w:t>захищені видатки на:</w:t>
      </w:r>
    </w:p>
    <w:p w:rsidR="008A22EE" w:rsidRPr="00AB18C0" w:rsidRDefault="008A22EE" w:rsidP="00E67FF2">
      <w:pPr>
        <w:pStyle w:val="a4"/>
        <w:numPr>
          <w:ilvl w:val="0"/>
          <w:numId w:val="13"/>
        </w:numPr>
        <w:tabs>
          <w:tab w:val="num" w:pos="0"/>
          <w:tab w:val="left" w:pos="709"/>
          <w:tab w:val="num" w:pos="1287"/>
          <w:tab w:val="num" w:pos="1579"/>
        </w:tabs>
        <w:spacing w:after="0" w:line="240" w:lineRule="auto"/>
        <w:ind w:left="0" w:right="-5" w:firstLine="567"/>
        <w:jc w:val="both"/>
        <w:rPr>
          <w:rFonts w:ascii="Times New Roman" w:hAnsi="Times New Roman" w:cs="Times New Roman"/>
          <w:noProof/>
          <w:sz w:val="24"/>
          <w:szCs w:val="24"/>
          <w:lang w:val="uk-UA" w:eastAsia="uk-UA"/>
        </w:rPr>
      </w:pPr>
      <w:r w:rsidRPr="00AB18C0">
        <w:rPr>
          <w:rFonts w:ascii="Times New Roman" w:hAnsi="Times New Roman" w:cs="Times New Roman"/>
          <w:noProof/>
          <w:sz w:val="24"/>
          <w:szCs w:val="24"/>
          <w:lang w:val="uk-UA" w:eastAsia="uk-UA"/>
        </w:rPr>
        <w:t>оплату праці з нарахуваннями на заробітну плату працівників бюджетних установ – 54</w:t>
      </w:r>
      <w:r>
        <w:rPr>
          <w:rFonts w:ascii="Times New Roman" w:hAnsi="Times New Roman" w:cs="Times New Roman"/>
          <w:noProof/>
          <w:sz w:val="24"/>
          <w:szCs w:val="24"/>
          <w:lang w:val="uk-UA" w:eastAsia="uk-UA"/>
        </w:rPr>
        <w:t xml:space="preserve">6 697,2 тис. </w:t>
      </w:r>
      <w:r w:rsidRPr="00AB18C0">
        <w:rPr>
          <w:rFonts w:ascii="Times New Roman" w:hAnsi="Times New Roman" w:cs="Times New Roman"/>
          <w:noProof/>
          <w:sz w:val="24"/>
          <w:szCs w:val="24"/>
          <w:lang w:val="uk-UA" w:eastAsia="uk-UA"/>
        </w:rPr>
        <w:t>грн;</w:t>
      </w:r>
    </w:p>
    <w:p w:rsidR="008A22EE" w:rsidRPr="00653E23" w:rsidRDefault="008A22EE" w:rsidP="00E67FF2">
      <w:pPr>
        <w:pStyle w:val="a4"/>
        <w:numPr>
          <w:ilvl w:val="0"/>
          <w:numId w:val="13"/>
        </w:numPr>
        <w:tabs>
          <w:tab w:val="num" w:pos="0"/>
          <w:tab w:val="num" w:pos="1287"/>
          <w:tab w:val="num" w:pos="1579"/>
        </w:tabs>
        <w:spacing w:after="0" w:line="240" w:lineRule="auto"/>
        <w:ind w:right="-5"/>
        <w:jc w:val="both"/>
        <w:rPr>
          <w:rFonts w:ascii="Times New Roman" w:hAnsi="Times New Roman" w:cs="Times New Roman"/>
          <w:noProof/>
          <w:sz w:val="24"/>
          <w:szCs w:val="24"/>
          <w:lang w:val="uk-UA" w:eastAsia="uk-UA"/>
        </w:rPr>
      </w:pPr>
      <w:r w:rsidRPr="00653E23">
        <w:rPr>
          <w:rFonts w:ascii="Times New Roman" w:hAnsi="Times New Roman" w:cs="Times New Roman"/>
          <w:noProof/>
          <w:sz w:val="24"/>
          <w:szCs w:val="24"/>
          <w:lang w:val="uk-UA" w:eastAsia="uk-UA"/>
        </w:rPr>
        <w:t>забезпечення продуктами харчування – 24</w:t>
      </w:r>
      <w:r>
        <w:rPr>
          <w:rFonts w:ascii="Times New Roman" w:hAnsi="Times New Roman" w:cs="Times New Roman"/>
          <w:noProof/>
          <w:sz w:val="24"/>
          <w:szCs w:val="24"/>
          <w:lang w:val="uk-UA" w:eastAsia="uk-UA"/>
        </w:rPr>
        <w:t> </w:t>
      </w:r>
      <w:r w:rsidRPr="00653E23">
        <w:rPr>
          <w:rFonts w:ascii="Times New Roman" w:hAnsi="Times New Roman" w:cs="Times New Roman"/>
          <w:noProof/>
          <w:sz w:val="24"/>
          <w:szCs w:val="24"/>
          <w:lang w:val="uk-UA" w:eastAsia="uk-UA"/>
        </w:rPr>
        <w:t>580</w:t>
      </w:r>
      <w:r>
        <w:rPr>
          <w:rFonts w:ascii="Times New Roman" w:hAnsi="Times New Roman" w:cs="Times New Roman"/>
          <w:noProof/>
          <w:sz w:val="24"/>
          <w:szCs w:val="24"/>
          <w:lang w:val="uk-UA" w:eastAsia="uk-UA"/>
        </w:rPr>
        <w:t xml:space="preserve">,0 тис. </w:t>
      </w:r>
      <w:r w:rsidRPr="00653E23">
        <w:rPr>
          <w:rFonts w:ascii="Times New Roman" w:hAnsi="Times New Roman" w:cs="Times New Roman"/>
          <w:noProof/>
          <w:sz w:val="24"/>
          <w:szCs w:val="24"/>
          <w:lang w:val="uk-UA" w:eastAsia="uk-UA"/>
        </w:rPr>
        <w:t xml:space="preserve"> грн;</w:t>
      </w:r>
    </w:p>
    <w:p w:rsidR="008A22EE" w:rsidRPr="00653E23" w:rsidRDefault="008A22EE" w:rsidP="00E67FF2">
      <w:pPr>
        <w:pStyle w:val="a4"/>
        <w:numPr>
          <w:ilvl w:val="0"/>
          <w:numId w:val="13"/>
        </w:numPr>
        <w:tabs>
          <w:tab w:val="num" w:pos="0"/>
          <w:tab w:val="num" w:pos="1287"/>
          <w:tab w:val="num" w:pos="1579"/>
        </w:tabs>
        <w:spacing w:after="0" w:line="240" w:lineRule="auto"/>
        <w:ind w:right="-5"/>
        <w:jc w:val="both"/>
        <w:rPr>
          <w:rFonts w:ascii="Times New Roman" w:hAnsi="Times New Roman" w:cs="Times New Roman"/>
          <w:noProof/>
          <w:sz w:val="24"/>
          <w:szCs w:val="24"/>
          <w:lang w:val="uk-UA" w:eastAsia="uk-UA"/>
        </w:rPr>
      </w:pPr>
      <w:r w:rsidRPr="00653E23">
        <w:rPr>
          <w:rFonts w:ascii="Times New Roman" w:hAnsi="Times New Roman" w:cs="Times New Roman"/>
          <w:noProof/>
          <w:sz w:val="24"/>
          <w:szCs w:val="24"/>
          <w:lang w:val="uk-UA" w:eastAsia="uk-UA"/>
        </w:rPr>
        <w:t>оплату комунальних послуг та енергоносіїв – 57</w:t>
      </w:r>
      <w:r>
        <w:rPr>
          <w:rFonts w:ascii="Times New Roman" w:hAnsi="Times New Roman" w:cs="Times New Roman"/>
          <w:noProof/>
          <w:sz w:val="24"/>
          <w:szCs w:val="24"/>
          <w:lang w:val="uk-UA" w:eastAsia="uk-UA"/>
        </w:rPr>
        <w:t> </w:t>
      </w:r>
      <w:r w:rsidRPr="00653E23">
        <w:rPr>
          <w:rFonts w:ascii="Times New Roman" w:hAnsi="Times New Roman" w:cs="Times New Roman"/>
          <w:noProof/>
          <w:sz w:val="24"/>
          <w:szCs w:val="24"/>
          <w:lang w:val="uk-UA" w:eastAsia="uk-UA"/>
        </w:rPr>
        <w:t>554</w:t>
      </w:r>
      <w:r>
        <w:rPr>
          <w:rFonts w:ascii="Times New Roman" w:hAnsi="Times New Roman" w:cs="Times New Roman"/>
          <w:noProof/>
          <w:sz w:val="24"/>
          <w:szCs w:val="24"/>
          <w:lang w:val="uk-UA" w:eastAsia="uk-UA"/>
        </w:rPr>
        <w:t>,9 тис.</w:t>
      </w:r>
      <w:r w:rsidRPr="00653E23">
        <w:rPr>
          <w:rFonts w:ascii="Times New Roman" w:hAnsi="Times New Roman" w:cs="Times New Roman"/>
          <w:noProof/>
          <w:sz w:val="24"/>
          <w:szCs w:val="24"/>
          <w:lang w:val="uk-UA" w:eastAsia="uk-UA"/>
        </w:rPr>
        <w:t xml:space="preserve"> грн;</w:t>
      </w:r>
    </w:p>
    <w:p w:rsidR="008A22EE" w:rsidRPr="00653E23" w:rsidRDefault="008A22EE" w:rsidP="00E67FF2">
      <w:pPr>
        <w:pStyle w:val="a4"/>
        <w:numPr>
          <w:ilvl w:val="0"/>
          <w:numId w:val="13"/>
        </w:numPr>
        <w:tabs>
          <w:tab w:val="num" w:pos="0"/>
          <w:tab w:val="num" w:pos="1287"/>
          <w:tab w:val="num" w:pos="1579"/>
        </w:tabs>
        <w:spacing w:after="0" w:line="240" w:lineRule="auto"/>
        <w:ind w:right="-5"/>
        <w:jc w:val="both"/>
        <w:rPr>
          <w:rFonts w:ascii="Times New Roman" w:hAnsi="Times New Roman" w:cs="Times New Roman"/>
          <w:noProof/>
          <w:sz w:val="24"/>
          <w:szCs w:val="24"/>
          <w:lang w:val="uk-UA" w:eastAsia="uk-UA"/>
        </w:rPr>
      </w:pPr>
      <w:r w:rsidRPr="00653E23">
        <w:rPr>
          <w:rFonts w:ascii="Times New Roman" w:hAnsi="Times New Roman" w:cs="Times New Roman"/>
          <w:noProof/>
          <w:sz w:val="24"/>
          <w:szCs w:val="24"/>
          <w:lang w:val="uk-UA" w:eastAsia="uk-UA"/>
        </w:rPr>
        <w:t>поточні трансферти населенню – 25</w:t>
      </w:r>
      <w:r>
        <w:rPr>
          <w:rFonts w:ascii="Times New Roman" w:hAnsi="Times New Roman" w:cs="Times New Roman"/>
          <w:noProof/>
          <w:sz w:val="24"/>
          <w:szCs w:val="24"/>
          <w:lang w:val="uk-UA" w:eastAsia="uk-UA"/>
        </w:rPr>
        <w:t> </w:t>
      </w:r>
      <w:r w:rsidRPr="00653E23">
        <w:rPr>
          <w:rFonts w:ascii="Times New Roman" w:hAnsi="Times New Roman" w:cs="Times New Roman"/>
          <w:noProof/>
          <w:sz w:val="24"/>
          <w:szCs w:val="24"/>
          <w:lang w:val="uk-UA" w:eastAsia="uk-UA"/>
        </w:rPr>
        <w:t>614</w:t>
      </w:r>
      <w:r>
        <w:rPr>
          <w:rFonts w:ascii="Times New Roman" w:hAnsi="Times New Roman" w:cs="Times New Roman"/>
          <w:noProof/>
          <w:sz w:val="24"/>
          <w:szCs w:val="24"/>
          <w:lang w:val="uk-UA" w:eastAsia="uk-UA"/>
        </w:rPr>
        <w:t xml:space="preserve">,2 тис. </w:t>
      </w:r>
      <w:r w:rsidRPr="00653E23">
        <w:rPr>
          <w:rFonts w:ascii="Times New Roman" w:hAnsi="Times New Roman" w:cs="Times New Roman"/>
          <w:noProof/>
          <w:sz w:val="24"/>
          <w:szCs w:val="24"/>
          <w:lang w:val="uk-UA" w:eastAsia="uk-UA"/>
        </w:rPr>
        <w:t>грн.</w:t>
      </w:r>
    </w:p>
    <w:p w:rsidR="008A22EE" w:rsidRPr="00776D59" w:rsidRDefault="008A22EE" w:rsidP="008A22EE">
      <w:pPr>
        <w:pStyle w:val="a4"/>
        <w:tabs>
          <w:tab w:val="num" w:pos="1579"/>
        </w:tabs>
        <w:spacing w:after="0" w:line="240" w:lineRule="auto"/>
        <w:ind w:left="379" w:right="-5"/>
        <w:jc w:val="both"/>
        <w:rPr>
          <w:rFonts w:ascii="Times New Roman" w:hAnsi="Times New Roman" w:cs="Times New Roman"/>
          <w:noProof/>
          <w:sz w:val="24"/>
          <w:szCs w:val="24"/>
          <w:highlight w:val="yellow"/>
          <w:lang w:val="uk-UA" w:eastAsia="uk-UA"/>
        </w:rPr>
      </w:pPr>
    </w:p>
    <w:p w:rsidR="008A22EE" w:rsidRPr="00334306" w:rsidRDefault="008A22EE" w:rsidP="008A22EE">
      <w:pPr>
        <w:tabs>
          <w:tab w:val="num" w:pos="0"/>
          <w:tab w:val="left" w:pos="709"/>
          <w:tab w:val="num" w:pos="1287"/>
          <w:tab w:val="num" w:pos="1579"/>
        </w:tabs>
        <w:spacing w:after="0" w:line="240" w:lineRule="auto"/>
        <w:ind w:right="-5" w:firstLine="567"/>
        <w:contextualSpacing/>
        <w:jc w:val="both"/>
        <w:rPr>
          <w:rFonts w:ascii="Times New Roman" w:hAnsi="Times New Roman" w:cs="Times New Roman"/>
          <w:sz w:val="24"/>
          <w:szCs w:val="24"/>
          <w:lang w:val="uk-UA"/>
        </w:rPr>
      </w:pPr>
      <w:r w:rsidRPr="00334306">
        <w:rPr>
          <w:rFonts w:ascii="Times New Roman" w:hAnsi="Times New Roman" w:cs="Times New Roman"/>
          <w:sz w:val="24"/>
          <w:szCs w:val="24"/>
          <w:lang w:val="uk-UA"/>
        </w:rPr>
        <w:t>При розрахунку фонду оплати праці враховано:</w:t>
      </w:r>
    </w:p>
    <w:p w:rsidR="008A22EE" w:rsidRPr="00334306" w:rsidRDefault="008A22EE" w:rsidP="008A22EE">
      <w:pPr>
        <w:spacing w:after="0" w:line="240" w:lineRule="auto"/>
        <w:ind w:right="-5"/>
        <w:jc w:val="both"/>
        <w:rPr>
          <w:rFonts w:ascii="Times New Roman" w:hAnsi="Times New Roman" w:cs="Times New Roman"/>
          <w:sz w:val="24"/>
          <w:szCs w:val="24"/>
          <w:lang w:val="uk-UA"/>
        </w:rPr>
      </w:pPr>
      <w:r w:rsidRPr="00334306">
        <w:rPr>
          <w:rFonts w:ascii="Times New Roman" w:hAnsi="Times New Roman" w:cs="Times New Roman"/>
          <w:sz w:val="24"/>
          <w:szCs w:val="24"/>
          <w:lang w:val="uk-UA"/>
        </w:rPr>
        <w:t>- розмір  мінімальної заробітної плати:</w:t>
      </w:r>
    </w:p>
    <w:p w:rsidR="008A22EE" w:rsidRPr="00334306" w:rsidRDefault="008A22EE" w:rsidP="00E67FF2">
      <w:pPr>
        <w:pStyle w:val="a4"/>
        <w:numPr>
          <w:ilvl w:val="0"/>
          <w:numId w:val="21"/>
        </w:numPr>
        <w:spacing w:after="0" w:line="240" w:lineRule="auto"/>
        <w:ind w:left="0" w:right="-5" w:firstLine="284"/>
        <w:jc w:val="both"/>
        <w:rPr>
          <w:rFonts w:ascii="Times New Roman" w:hAnsi="Times New Roman" w:cs="Times New Roman"/>
          <w:sz w:val="24"/>
          <w:szCs w:val="24"/>
          <w:lang w:val="uk-UA"/>
        </w:rPr>
      </w:pPr>
      <w:r w:rsidRPr="00334306">
        <w:rPr>
          <w:rFonts w:ascii="Times New Roman" w:hAnsi="Times New Roman" w:cs="Times New Roman"/>
          <w:sz w:val="24"/>
          <w:szCs w:val="24"/>
          <w:lang w:val="uk-UA"/>
        </w:rPr>
        <w:t>з 1 січня 2024 року – 7 100 гривень;</w:t>
      </w:r>
    </w:p>
    <w:p w:rsidR="008A22EE" w:rsidRPr="00334306" w:rsidRDefault="008A22EE" w:rsidP="00E67FF2">
      <w:pPr>
        <w:pStyle w:val="a4"/>
        <w:numPr>
          <w:ilvl w:val="0"/>
          <w:numId w:val="21"/>
        </w:numPr>
        <w:spacing w:after="0" w:line="240" w:lineRule="auto"/>
        <w:ind w:left="0" w:right="-5" w:firstLine="284"/>
        <w:jc w:val="both"/>
        <w:rPr>
          <w:rFonts w:ascii="Times New Roman" w:hAnsi="Times New Roman" w:cs="Times New Roman"/>
          <w:sz w:val="24"/>
          <w:szCs w:val="24"/>
          <w:lang w:val="uk-UA"/>
        </w:rPr>
      </w:pPr>
      <w:r w:rsidRPr="00334306">
        <w:rPr>
          <w:rFonts w:ascii="Times New Roman" w:hAnsi="Times New Roman" w:cs="Times New Roman"/>
          <w:sz w:val="24"/>
          <w:szCs w:val="24"/>
          <w:lang w:val="uk-UA"/>
        </w:rPr>
        <w:t>з 1 квітня 2024 року – 8 000 гривень.</w:t>
      </w:r>
    </w:p>
    <w:p w:rsidR="008A22EE" w:rsidRPr="00334306" w:rsidRDefault="008A22EE" w:rsidP="008A22EE">
      <w:pPr>
        <w:spacing w:after="0" w:line="240" w:lineRule="auto"/>
        <w:ind w:right="-5"/>
        <w:contextualSpacing/>
        <w:jc w:val="both"/>
        <w:rPr>
          <w:rFonts w:ascii="Times New Roman" w:hAnsi="Times New Roman" w:cs="Times New Roman"/>
          <w:sz w:val="24"/>
          <w:szCs w:val="24"/>
          <w:lang w:val="uk-UA"/>
        </w:rPr>
      </w:pPr>
      <w:r w:rsidRPr="00334306">
        <w:rPr>
          <w:rFonts w:ascii="Times New Roman" w:hAnsi="Times New Roman" w:cs="Times New Roman"/>
          <w:sz w:val="24"/>
          <w:szCs w:val="24"/>
          <w:lang w:val="uk-UA"/>
        </w:rPr>
        <w:t>- посадового окладу працівника 1 тарифного розряду Єдиної тарифної сітки розрядів і коефіцієнтів з оплати праці працівників установ, закладів та організацій окремих  галузей бюджетної сфери, затвердженої постановою Кабінету Міністрів України  від 30 серпня 2002 року N 1298 (із змінами):</w:t>
      </w:r>
    </w:p>
    <w:p w:rsidR="008A22EE" w:rsidRPr="00334306" w:rsidRDefault="008A22EE" w:rsidP="00E67FF2">
      <w:pPr>
        <w:pStyle w:val="a4"/>
        <w:numPr>
          <w:ilvl w:val="1"/>
          <w:numId w:val="22"/>
        </w:numPr>
        <w:spacing w:after="0" w:line="240" w:lineRule="auto"/>
        <w:ind w:left="0" w:right="-5" w:firstLine="284"/>
        <w:jc w:val="both"/>
        <w:rPr>
          <w:rFonts w:ascii="Times New Roman" w:hAnsi="Times New Roman" w:cs="Times New Roman"/>
          <w:sz w:val="24"/>
          <w:szCs w:val="24"/>
          <w:lang w:val="uk-UA"/>
        </w:rPr>
      </w:pPr>
      <w:r w:rsidRPr="00334306">
        <w:rPr>
          <w:rFonts w:ascii="Times New Roman" w:hAnsi="Times New Roman" w:cs="Times New Roman"/>
          <w:sz w:val="24"/>
          <w:szCs w:val="24"/>
          <w:lang w:val="uk-UA"/>
        </w:rPr>
        <w:t>з 1 січня 2024 року – 3 195 гривні;</w:t>
      </w:r>
    </w:p>
    <w:p w:rsidR="008A22EE" w:rsidRPr="00334306" w:rsidRDefault="008A22EE" w:rsidP="00E67FF2">
      <w:pPr>
        <w:pStyle w:val="a4"/>
        <w:numPr>
          <w:ilvl w:val="1"/>
          <w:numId w:val="22"/>
        </w:numPr>
        <w:spacing w:after="0" w:line="240" w:lineRule="auto"/>
        <w:ind w:left="0" w:right="-5" w:firstLine="284"/>
        <w:jc w:val="both"/>
        <w:rPr>
          <w:rFonts w:ascii="Times New Roman" w:hAnsi="Times New Roman" w:cs="Times New Roman"/>
          <w:sz w:val="24"/>
          <w:szCs w:val="24"/>
          <w:lang w:val="uk-UA"/>
        </w:rPr>
      </w:pPr>
      <w:r w:rsidRPr="00334306">
        <w:rPr>
          <w:rFonts w:ascii="Times New Roman" w:hAnsi="Times New Roman" w:cs="Times New Roman"/>
          <w:sz w:val="24"/>
          <w:szCs w:val="24"/>
          <w:lang w:val="uk-UA"/>
        </w:rPr>
        <w:t>з 1 квітня 2024 року – 3 600 гривень.</w:t>
      </w:r>
    </w:p>
    <w:p w:rsidR="008A22EE" w:rsidRPr="00334306" w:rsidRDefault="008A22EE" w:rsidP="008A22EE">
      <w:pPr>
        <w:tabs>
          <w:tab w:val="num" w:pos="0"/>
          <w:tab w:val="num" w:pos="1287"/>
          <w:tab w:val="num" w:pos="1579"/>
        </w:tabs>
        <w:spacing w:after="0" w:line="240" w:lineRule="auto"/>
        <w:ind w:right="-5" w:firstLine="567"/>
        <w:jc w:val="both"/>
        <w:rPr>
          <w:sz w:val="28"/>
          <w:szCs w:val="28"/>
          <w:lang w:val="uk-UA"/>
        </w:rPr>
      </w:pPr>
    </w:p>
    <w:p w:rsidR="008A22EE" w:rsidRPr="00334306" w:rsidRDefault="008A22EE" w:rsidP="008A22EE">
      <w:pPr>
        <w:tabs>
          <w:tab w:val="num" w:pos="0"/>
          <w:tab w:val="num" w:pos="1287"/>
          <w:tab w:val="num" w:pos="1579"/>
        </w:tabs>
        <w:spacing w:after="0" w:line="240" w:lineRule="auto"/>
        <w:ind w:right="-5" w:firstLine="567"/>
        <w:jc w:val="both"/>
        <w:rPr>
          <w:rFonts w:ascii="Times New Roman" w:hAnsi="Times New Roman" w:cs="Times New Roman"/>
          <w:sz w:val="24"/>
          <w:szCs w:val="24"/>
          <w:lang w:val="uk-UA"/>
        </w:rPr>
      </w:pPr>
      <w:r w:rsidRPr="00334306">
        <w:rPr>
          <w:rFonts w:ascii="Times New Roman" w:hAnsi="Times New Roman" w:cs="Times New Roman"/>
          <w:sz w:val="24"/>
          <w:szCs w:val="24"/>
          <w:lang w:val="uk-UA"/>
        </w:rPr>
        <w:t>Резервний  фонд пропонується до затвердження у сумі 8 000 000 гривень, або 0,80 % видатків загального фонду бюджету громади.</w:t>
      </w:r>
    </w:p>
    <w:p w:rsidR="008A22EE" w:rsidRPr="00776D59" w:rsidRDefault="008A22EE" w:rsidP="008A22EE">
      <w:pPr>
        <w:tabs>
          <w:tab w:val="num" w:pos="0"/>
          <w:tab w:val="num" w:pos="1287"/>
          <w:tab w:val="num" w:pos="1579"/>
        </w:tabs>
        <w:spacing w:after="0" w:line="240" w:lineRule="auto"/>
        <w:ind w:right="-5" w:firstLine="567"/>
        <w:jc w:val="both"/>
        <w:rPr>
          <w:rFonts w:ascii="Times New Roman" w:hAnsi="Times New Roman" w:cs="Times New Roman"/>
          <w:sz w:val="24"/>
          <w:szCs w:val="24"/>
          <w:highlight w:val="yellow"/>
          <w:lang w:val="uk-UA"/>
        </w:rPr>
      </w:pPr>
    </w:p>
    <w:p w:rsidR="008A22EE" w:rsidRPr="00334306" w:rsidRDefault="008A22EE" w:rsidP="008A22EE">
      <w:pPr>
        <w:tabs>
          <w:tab w:val="num" w:pos="0"/>
          <w:tab w:val="num" w:pos="1287"/>
          <w:tab w:val="num" w:pos="1579"/>
        </w:tabs>
        <w:spacing w:after="0" w:line="240" w:lineRule="auto"/>
        <w:ind w:right="-5" w:firstLine="567"/>
        <w:jc w:val="both"/>
        <w:rPr>
          <w:rFonts w:ascii="Times New Roman" w:hAnsi="Times New Roman" w:cs="Times New Roman"/>
          <w:sz w:val="24"/>
          <w:szCs w:val="24"/>
          <w:shd w:val="clear" w:color="auto" w:fill="FFFFFF"/>
          <w:lang w:val="uk-UA"/>
        </w:rPr>
      </w:pPr>
      <w:r w:rsidRPr="00334306">
        <w:rPr>
          <w:rFonts w:ascii="Times New Roman" w:hAnsi="Times New Roman" w:cs="Times New Roman"/>
          <w:sz w:val="24"/>
          <w:szCs w:val="24"/>
          <w:lang w:val="uk-UA"/>
        </w:rPr>
        <w:t>Відповідно до пункту 3 частини другої статті 22 Бюджетного кодексу України, г</w:t>
      </w:r>
      <w:r w:rsidRPr="00334306">
        <w:rPr>
          <w:rFonts w:ascii="Times New Roman" w:hAnsi="Times New Roman" w:cs="Times New Roman"/>
          <w:sz w:val="24"/>
          <w:szCs w:val="24"/>
          <w:shd w:val="clear" w:color="auto" w:fill="FFFFFF"/>
          <w:lang w:val="uk-UA"/>
        </w:rPr>
        <w:t>оловними розпорядниками бюджетних коштів можуть бути виключно за бюджетними призначеннями, визначеними іншими рішеннями про місцеві бюджети, - місцеві державні адміністрації, виконавчі органи та апарати місцевих рад (секретаріат Київської міської ради), структурні підрозділи місцевих державних адміністрацій, виконавчих органів місцевих рад в особі їх керівників. </w:t>
      </w:r>
    </w:p>
    <w:p w:rsidR="008A22EE" w:rsidRPr="00FC0B6B" w:rsidRDefault="008A22EE" w:rsidP="008A22EE">
      <w:pPr>
        <w:tabs>
          <w:tab w:val="num" w:pos="0"/>
          <w:tab w:val="num" w:pos="1287"/>
          <w:tab w:val="num" w:pos="1579"/>
        </w:tabs>
        <w:spacing w:after="0" w:line="240" w:lineRule="auto"/>
        <w:ind w:right="-5" w:firstLine="567"/>
        <w:jc w:val="both"/>
        <w:rPr>
          <w:rFonts w:ascii="Times New Roman" w:hAnsi="Times New Roman" w:cs="Times New Roman"/>
          <w:sz w:val="24"/>
          <w:szCs w:val="24"/>
          <w:lang w:val="uk-UA"/>
        </w:rPr>
      </w:pPr>
      <w:r w:rsidRPr="00FC0B6B">
        <w:rPr>
          <w:rFonts w:ascii="Times New Roman" w:hAnsi="Times New Roman" w:cs="Times New Roman"/>
          <w:sz w:val="24"/>
          <w:szCs w:val="24"/>
          <w:lang w:val="uk-UA"/>
        </w:rPr>
        <w:t>Так, з урахуванням норми Бюджетного кодексу України, на 2024 рік бюджетні призначення затверджені 10 головним розпорядникам бюджетних коштів, які є виконавчими органами Чорноморської міської ради Одеського району Одеської області, а саме:</w:t>
      </w:r>
    </w:p>
    <w:p w:rsidR="008A22EE" w:rsidRPr="00D9205B" w:rsidRDefault="008A22EE" w:rsidP="008A22EE">
      <w:pPr>
        <w:tabs>
          <w:tab w:val="left" w:pos="709"/>
          <w:tab w:val="left" w:pos="851"/>
        </w:tabs>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1. Виконавчому комітету Чорноморської міської ради Одеського району Одеської області, в мережі якого є:</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1) розпорядники нижчого рівня:</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Олександрівська селищна адміністрація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Малодолинська сільська адміністрація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lastRenderedPageBreak/>
        <w:t>- Бурлачобалківська сільська адміністрація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xml:space="preserve">- </w:t>
      </w:r>
      <w:r>
        <w:rPr>
          <w:rFonts w:ascii="Times New Roman" w:hAnsi="Times New Roman" w:cs="Times New Roman"/>
          <w:sz w:val="24"/>
          <w:szCs w:val="24"/>
          <w:lang w:val="uk-UA"/>
        </w:rPr>
        <w:t>к</w:t>
      </w:r>
      <w:r w:rsidRPr="00D9205B">
        <w:rPr>
          <w:rFonts w:ascii="Times New Roman" w:hAnsi="Times New Roman" w:cs="Times New Roman"/>
          <w:sz w:val="24"/>
          <w:szCs w:val="24"/>
          <w:lang w:val="uk-UA"/>
        </w:rPr>
        <w:t>омунальна установа "Муніципальна варта"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2) одержувачі бюджетних коштів:</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xml:space="preserve">- </w:t>
      </w:r>
      <w:r>
        <w:rPr>
          <w:rFonts w:ascii="Times New Roman" w:hAnsi="Times New Roman" w:cs="Times New Roman"/>
          <w:sz w:val="24"/>
          <w:szCs w:val="24"/>
          <w:lang w:val="uk-UA"/>
        </w:rPr>
        <w:t>к</w:t>
      </w:r>
      <w:r w:rsidRPr="00D9205B">
        <w:rPr>
          <w:rFonts w:ascii="Times New Roman" w:hAnsi="Times New Roman" w:cs="Times New Roman"/>
          <w:sz w:val="24"/>
          <w:szCs w:val="24"/>
          <w:lang w:val="uk-UA"/>
        </w:rPr>
        <w:t>омунальне некомерційне підприємство "Чорноморська лікарня" Чорноморської міської ради Одеського району Одеської області;</w:t>
      </w:r>
    </w:p>
    <w:p w:rsidR="008A22EE" w:rsidRPr="00D9205B" w:rsidRDefault="008A22EE" w:rsidP="008A22EE">
      <w:pPr>
        <w:tabs>
          <w:tab w:val="left" w:pos="709"/>
          <w:tab w:val="left" w:pos="851"/>
          <w:tab w:val="left" w:pos="993"/>
        </w:tabs>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xml:space="preserve">- </w:t>
      </w:r>
      <w:r>
        <w:rPr>
          <w:rFonts w:ascii="Times New Roman" w:hAnsi="Times New Roman" w:cs="Times New Roman"/>
          <w:sz w:val="24"/>
          <w:szCs w:val="24"/>
          <w:lang w:val="uk-UA"/>
        </w:rPr>
        <w:t>к</w:t>
      </w:r>
      <w:r w:rsidRPr="00D9205B">
        <w:rPr>
          <w:rFonts w:ascii="Times New Roman" w:hAnsi="Times New Roman" w:cs="Times New Roman"/>
          <w:sz w:val="24"/>
          <w:szCs w:val="24"/>
          <w:lang w:val="uk-UA"/>
        </w:rPr>
        <w:t>омунальне некомерційне підприємство "Стоматологічна поліклініка міста Чорноморська"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xml:space="preserve">- </w:t>
      </w:r>
      <w:r>
        <w:rPr>
          <w:rFonts w:ascii="Times New Roman" w:hAnsi="Times New Roman" w:cs="Times New Roman"/>
          <w:sz w:val="24"/>
          <w:szCs w:val="24"/>
          <w:lang w:val="uk-UA"/>
        </w:rPr>
        <w:t>к</w:t>
      </w:r>
      <w:r w:rsidRPr="00D9205B">
        <w:rPr>
          <w:rFonts w:ascii="Times New Roman" w:hAnsi="Times New Roman" w:cs="Times New Roman"/>
          <w:sz w:val="24"/>
          <w:szCs w:val="24"/>
          <w:lang w:val="uk-UA"/>
        </w:rPr>
        <w:t>омунальне некомерційне підприємство "Чорноморський міський центр первинної медико-санітарної допомоги"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2. Управлінню освіти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3. Управлінню соціальної політики Чорноморської міської ради Одеського району Одеської області, в мережі якого є:</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1) розпорядники нижчого рівня:</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xml:space="preserve">- </w:t>
      </w:r>
      <w:r>
        <w:rPr>
          <w:rFonts w:ascii="Times New Roman" w:hAnsi="Times New Roman" w:cs="Times New Roman"/>
          <w:sz w:val="24"/>
          <w:szCs w:val="24"/>
          <w:lang w:val="uk-UA"/>
        </w:rPr>
        <w:t>к</w:t>
      </w:r>
      <w:r w:rsidRPr="00D9205B">
        <w:rPr>
          <w:rFonts w:ascii="Times New Roman" w:hAnsi="Times New Roman" w:cs="Times New Roman"/>
          <w:sz w:val="24"/>
          <w:szCs w:val="24"/>
          <w:lang w:val="uk-UA"/>
        </w:rPr>
        <w:t>омунальна установа "Територіальний центр соціального обслуговування (надання соціальних послуг)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Чорноморський міський центр соціальних служб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2) одержувач бюджетних коштів:</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Громадська організація "Сліпих Світло".</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4. Службі у справах дітей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5. Відділу культури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6. Відділу молоді та спорту Чорноморської міської ради Одеського району Одеської області, в мережі якого є:</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1) розпорядник нижчого рівня:</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xml:space="preserve">- </w:t>
      </w:r>
      <w:r>
        <w:rPr>
          <w:rFonts w:ascii="Times New Roman" w:hAnsi="Times New Roman" w:cs="Times New Roman"/>
          <w:sz w:val="24"/>
          <w:szCs w:val="24"/>
          <w:lang w:val="uk-UA"/>
        </w:rPr>
        <w:t>к</w:t>
      </w:r>
      <w:r w:rsidRPr="00D9205B">
        <w:rPr>
          <w:rFonts w:ascii="Times New Roman" w:hAnsi="Times New Roman" w:cs="Times New Roman"/>
          <w:sz w:val="24"/>
          <w:szCs w:val="24"/>
          <w:lang w:val="uk-UA"/>
        </w:rPr>
        <w:t>омунальна установа "Молодіжний центр міста Чорноморська"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7. Відділу комунального господарства та благоустрою Чорноморської міської ради Одеського району Одеської області, в мережі якого є:</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1) одержувачі бюджетних коштів:</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xml:space="preserve">- </w:t>
      </w:r>
      <w:r>
        <w:rPr>
          <w:rFonts w:ascii="Times New Roman" w:hAnsi="Times New Roman" w:cs="Times New Roman"/>
          <w:sz w:val="24"/>
          <w:szCs w:val="24"/>
          <w:lang w:val="uk-UA"/>
        </w:rPr>
        <w:t>к</w:t>
      </w:r>
      <w:r w:rsidRPr="00D9205B">
        <w:rPr>
          <w:rFonts w:ascii="Times New Roman" w:hAnsi="Times New Roman" w:cs="Times New Roman"/>
          <w:sz w:val="24"/>
          <w:szCs w:val="24"/>
          <w:lang w:val="uk-UA"/>
        </w:rPr>
        <w:t>омунальне підприємство "</w:t>
      </w:r>
      <w:proofErr w:type="spellStart"/>
      <w:r w:rsidRPr="00D9205B">
        <w:rPr>
          <w:rFonts w:ascii="Times New Roman" w:hAnsi="Times New Roman" w:cs="Times New Roman"/>
          <w:sz w:val="24"/>
          <w:szCs w:val="24"/>
          <w:lang w:val="uk-UA"/>
        </w:rPr>
        <w:t>Чорноморськводоканал</w:t>
      </w:r>
      <w:proofErr w:type="spellEnd"/>
      <w:r w:rsidRPr="00D9205B">
        <w:rPr>
          <w:rFonts w:ascii="Times New Roman" w:hAnsi="Times New Roman" w:cs="Times New Roman"/>
          <w:sz w:val="24"/>
          <w:szCs w:val="24"/>
          <w:lang w:val="uk-UA"/>
        </w:rPr>
        <w:t>"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xml:space="preserve">- </w:t>
      </w:r>
      <w:r>
        <w:rPr>
          <w:rFonts w:ascii="Times New Roman" w:hAnsi="Times New Roman" w:cs="Times New Roman"/>
          <w:sz w:val="24"/>
          <w:szCs w:val="24"/>
          <w:lang w:val="uk-UA"/>
        </w:rPr>
        <w:t>к</w:t>
      </w:r>
      <w:r w:rsidRPr="00D9205B">
        <w:rPr>
          <w:rFonts w:ascii="Times New Roman" w:hAnsi="Times New Roman" w:cs="Times New Roman"/>
          <w:sz w:val="24"/>
          <w:szCs w:val="24"/>
          <w:lang w:val="uk-UA"/>
        </w:rPr>
        <w:t>омунальне підприємство "Міське управління житлово-комунального господарства"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xml:space="preserve">- </w:t>
      </w:r>
      <w:r>
        <w:rPr>
          <w:rFonts w:ascii="Times New Roman" w:hAnsi="Times New Roman" w:cs="Times New Roman"/>
          <w:sz w:val="24"/>
          <w:szCs w:val="24"/>
          <w:lang w:val="uk-UA"/>
        </w:rPr>
        <w:t>к</w:t>
      </w:r>
      <w:r w:rsidRPr="00D9205B">
        <w:rPr>
          <w:rFonts w:ascii="Times New Roman" w:hAnsi="Times New Roman" w:cs="Times New Roman"/>
          <w:sz w:val="24"/>
          <w:szCs w:val="24"/>
          <w:lang w:val="uk-UA"/>
        </w:rPr>
        <w:t>омунальне підприємство "</w:t>
      </w:r>
      <w:proofErr w:type="spellStart"/>
      <w:r w:rsidRPr="00D9205B">
        <w:rPr>
          <w:rFonts w:ascii="Times New Roman" w:hAnsi="Times New Roman" w:cs="Times New Roman"/>
          <w:sz w:val="24"/>
          <w:szCs w:val="24"/>
          <w:lang w:val="uk-UA"/>
        </w:rPr>
        <w:t>Зеленгосп</w:t>
      </w:r>
      <w:proofErr w:type="spellEnd"/>
      <w:r w:rsidRPr="00D9205B">
        <w:rPr>
          <w:rFonts w:ascii="Times New Roman" w:hAnsi="Times New Roman" w:cs="Times New Roman"/>
          <w:sz w:val="24"/>
          <w:szCs w:val="24"/>
          <w:lang w:val="uk-UA"/>
        </w:rPr>
        <w:t>"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xml:space="preserve">- </w:t>
      </w:r>
      <w:r>
        <w:rPr>
          <w:rFonts w:ascii="Times New Roman" w:hAnsi="Times New Roman" w:cs="Times New Roman"/>
          <w:sz w:val="24"/>
          <w:szCs w:val="24"/>
          <w:lang w:val="uk-UA"/>
        </w:rPr>
        <w:t>к</w:t>
      </w:r>
      <w:r w:rsidRPr="00D9205B">
        <w:rPr>
          <w:rFonts w:ascii="Times New Roman" w:hAnsi="Times New Roman" w:cs="Times New Roman"/>
          <w:sz w:val="24"/>
          <w:szCs w:val="24"/>
          <w:lang w:val="uk-UA"/>
        </w:rPr>
        <w:t>омунальне підприємство "</w:t>
      </w:r>
      <w:proofErr w:type="spellStart"/>
      <w:r w:rsidRPr="00D9205B">
        <w:rPr>
          <w:rFonts w:ascii="Times New Roman" w:hAnsi="Times New Roman" w:cs="Times New Roman"/>
          <w:sz w:val="24"/>
          <w:szCs w:val="24"/>
          <w:lang w:val="uk-UA"/>
        </w:rPr>
        <w:t>Чорноморськтеплоенерго</w:t>
      </w:r>
      <w:proofErr w:type="spellEnd"/>
      <w:r w:rsidRPr="00D9205B">
        <w:rPr>
          <w:rFonts w:ascii="Times New Roman" w:hAnsi="Times New Roman" w:cs="Times New Roman"/>
          <w:sz w:val="24"/>
          <w:szCs w:val="24"/>
          <w:lang w:val="uk-UA"/>
        </w:rPr>
        <w:t>"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8. Управлінню капітального будівництва Чорноморської міської ради Одеського району Одеської області</w:t>
      </w:r>
      <w:r>
        <w:rPr>
          <w:rFonts w:ascii="Times New Roman" w:hAnsi="Times New Roman" w:cs="Times New Roman"/>
          <w:sz w:val="24"/>
          <w:szCs w:val="24"/>
          <w:lang w:val="uk-UA"/>
        </w:rPr>
        <w:t xml:space="preserve">. </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9. Управлінню комунальної власності та земельних відносин Чорноморської міської ради Одеського району Одеської області, в мережі якого є:</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1) одержувачі бюджетних коштів:</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xml:space="preserve">- </w:t>
      </w:r>
      <w:r>
        <w:rPr>
          <w:rFonts w:ascii="Times New Roman" w:hAnsi="Times New Roman" w:cs="Times New Roman"/>
          <w:sz w:val="24"/>
          <w:szCs w:val="24"/>
          <w:lang w:val="uk-UA"/>
        </w:rPr>
        <w:t>к</w:t>
      </w:r>
      <w:r w:rsidRPr="00D9205B">
        <w:rPr>
          <w:rFonts w:ascii="Times New Roman" w:hAnsi="Times New Roman" w:cs="Times New Roman"/>
          <w:sz w:val="24"/>
          <w:szCs w:val="24"/>
          <w:lang w:val="uk-UA"/>
        </w:rPr>
        <w:t>омунальне підприємство "Палац спорту "Юність"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xml:space="preserve">- </w:t>
      </w:r>
      <w:r>
        <w:rPr>
          <w:rFonts w:ascii="Times New Roman" w:hAnsi="Times New Roman" w:cs="Times New Roman"/>
          <w:sz w:val="24"/>
          <w:szCs w:val="24"/>
          <w:lang w:val="uk-UA"/>
        </w:rPr>
        <w:t>к</w:t>
      </w:r>
      <w:r w:rsidRPr="00D9205B">
        <w:rPr>
          <w:rFonts w:ascii="Times New Roman" w:hAnsi="Times New Roman" w:cs="Times New Roman"/>
          <w:sz w:val="24"/>
          <w:szCs w:val="24"/>
          <w:lang w:val="uk-UA"/>
        </w:rPr>
        <w:t>омунальне підприємство "Чорноморський аквапарк"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xml:space="preserve">- </w:t>
      </w:r>
      <w:r>
        <w:rPr>
          <w:rFonts w:ascii="Times New Roman" w:hAnsi="Times New Roman" w:cs="Times New Roman"/>
          <w:sz w:val="24"/>
          <w:szCs w:val="24"/>
          <w:lang w:val="uk-UA"/>
        </w:rPr>
        <w:t>к</w:t>
      </w:r>
      <w:r w:rsidRPr="00D9205B">
        <w:rPr>
          <w:rFonts w:ascii="Times New Roman" w:hAnsi="Times New Roman" w:cs="Times New Roman"/>
          <w:sz w:val="24"/>
          <w:szCs w:val="24"/>
          <w:lang w:val="uk-UA"/>
        </w:rPr>
        <w:t>омунальне підприємство-фірма "Райдуга"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lang w:val="uk-UA"/>
        </w:rPr>
      </w:pPr>
      <w:r w:rsidRPr="00D9205B">
        <w:rPr>
          <w:rFonts w:ascii="Times New Roman" w:hAnsi="Times New Roman" w:cs="Times New Roman"/>
          <w:sz w:val="24"/>
          <w:szCs w:val="24"/>
          <w:lang w:val="uk-UA"/>
        </w:rPr>
        <w:t xml:space="preserve">- </w:t>
      </w:r>
      <w:r>
        <w:rPr>
          <w:rFonts w:ascii="Times New Roman" w:hAnsi="Times New Roman" w:cs="Times New Roman"/>
          <w:sz w:val="24"/>
          <w:szCs w:val="24"/>
          <w:lang w:val="uk-UA"/>
        </w:rPr>
        <w:t>к</w:t>
      </w:r>
      <w:r w:rsidRPr="00D9205B">
        <w:rPr>
          <w:rFonts w:ascii="Times New Roman" w:hAnsi="Times New Roman" w:cs="Times New Roman"/>
          <w:sz w:val="24"/>
          <w:szCs w:val="24"/>
          <w:lang w:val="uk-UA"/>
        </w:rPr>
        <w:t>омунальне підприємство "Бюро технічної інвентаризації" Чорноморської міської ради Одеського району Одеської області.</w:t>
      </w:r>
    </w:p>
    <w:p w:rsidR="008A22EE" w:rsidRPr="00D9205B" w:rsidRDefault="008A22EE" w:rsidP="008A22EE">
      <w:pPr>
        <w:spacing w:after="0" w:line="240" w:lineRule="auto"/>
        <w:ind w:firstLine="567"/>
        <w:jc w:val="both"/>
        <w:rPr>
          <w:rFonts w:ascii="Times New Roman" w:hAnsi="Times New Roman" w:cs="Times New Roman"/>
          <w:sz w:val="24"/>
          <w:szCs w:val="24"/>
          <w:highlight w:val="yellow"/>
          <w:lang w:val="uk-UA"/>
        </w:rPr>
      </w:pPr>
      <w:r w:rsidRPr="00D9205B">
        <w:rPr>
          <w:rFonts w:ascii="Times New Roman" w:hAnsi="Times New Roman" w:cs="Times New Roman"/>
          <w:sz w:val="24"/>
          <w:szCs w:val="24"/>
          <w:lang w:val="uk-UA"/>
        </w:rPr>
        <w:t>10. Фінансовому управлінню Чорноморської міської ради Одеського району Одеської області.</w:t>
      </w:r>
    </w:p>
    <w:p w:rsidR="008A22EE" w:rsidRPr="002C1823" w:rsidRDefault="008A22EE" w:rsidP="008A22EE">
      <w:pPr>
        <w:tabs>
          <w:tab w:val="num" w:pos="0"/>
          <w:tab w:val="num" w:pos="1287"/>
          <w:tab w:val="num" w:pos="1579"/>
        </w:tabs>
        <w:spacing w:after="0" w:line="240" w:lineRule="auto"/>
        <w:ind w:right="-5" w:firstLine="567"/>
        <w:jc w:val="both"/>
        <w:rPr>
          <w:rFonts w:ascii="Times New Roman" w:hAnsi="Times New Roman" w:cs="Times New Roman"/>
          <w:b/>
          <w:sz w:val="24"/>
          <w:szCs w:val="24"/>
          <w:lang w:val="uk-UA"/>
        </w:rPr>
      </w:pPr>
    </w:p>
    <w:p w:rsidR="008A22EE" w:rsidRPr="00776D59" w:rsidRDefault="008A22EE" w:rsidP="008A22EE">
      <w:pPr>
        <w:tabs>
          <w:tab w:val="num" w:pos="0"/>
          <w:tab w:val="num" w:pos="1287"/>
          <w:tab w:val="num" w:pos="1579"/>
        </w:tabs>
        <w:spacing w:after="0" w:line="240" w:lineRule="auto"/>
        <w:ind w:right="-5" w:firstLine="567"/>
        <w:jc w:val="both"/>
        <w:rPr>
          <w:rFonts w:ascii="Times New Roman" w:hAnsi="Times New Roman" w:cs="Times New Roman"/>
          <w:sz w:val="12"/>
          <w:szCs w:val="12"/>
          <w:highlight w:val="yellow"/>
          <w:lang w:val="uk-UA"/>
        </w:rPr>
      </w:pPr>
    </w:p>
    <w:p w:rsidR="008A22EE" w:rsidRPr="00C36F74" w:rsidRDefault="008A22EE" w:rsidP="008A22EE">
      <w:pPr>
        <w:spacing w:after="0" w:line="240" w:lineRule="auto"/>
        <w:jc w:val="center"/>
        <w:rPr>
          <w:rFonts w:ascii="Times New Roman" w:hAnsi="Times New Roman" w:cs="Times New Roman"/>
          <w:b/>
          <w:sz w:val="24"/>
          <w:szCs w:val="24"/>
          <w:lang w:val="uk-UA"/>
        </w:rPr>
      </w:pPr>
      <w:r w:rsidRPr="00C36F74">
        <w:rPr>
          <w:rFonts w:ascii="Times New Roman" w:hAnsi="Times New Roman" w:cs="Times New Roman"/>
          <w:b/>
          <w:sz w:val="24"/>
          <w:szCs w:val="24"/>
          <w:lang w:val="uk-UA"/>
        </w:rPr>
        <w:t xml:space="preserve">ВИКОНАВЧИЙ КОМІТЕТ ЧОРНОМОРСЬКОЇ МІСЬКОЇ РАДИ </w:t>
      </w:r>
    </w:p>
    <w:p w:rsidR="008A22EE" w:rsidRPr="00C36F74" w:rsidRDefault="008A22EE" w:rsidP="008A22EE">
      <w:pPr>
        <w:spacing w:after="0" w:line="240" w:lineRule="auto"/>
        <w:jc w:val="center"/>
        <w:rPr>
          <w:rFonts w:ascii="Times New Roman" w:hAnsi="Times New Roman" w:cs="Times New Roman"/>
          <w:b/>
          <w:sz w:val="24"/>
          <w:szCs w:val="24"/>
          <w:lang w:val="uk-UA"/>
        </w:rPr>
      </w:pPr>
      <w:r w:rsidRPr="00C36F74">
        <w:rPr>
          <w:rFonts w:ascii="Times New Roman" w:hAnsi="Times New Roman" w:cs="Times New Roman"/>
          <w:b/>
          <w:sz w:val="24"/>
          <w:szCs w:val="24"/>
          <w:lang w:val="uk-UA"/>
        </w:rPr>
        <w:t>ОДЕСЬКОГО РАЙОНУ ОДЕСЬКОЇ ОБЛАСТІ</w:t>
      </w:r>
    </w:p>
    <w:p w:rsidR="008A22EE" w:rsidRPr="00C36F74" w:rsidRDefault="008A22EE" w:rsidP="008A22EE">
      <w:pPr>
        <w:spacing w:after="0" w:line="240" w:lineRule="auto"/>
        <w:ind w:firstLine="567"/>
        <w:jc w:val="both"/>
        <w:rPr>
          <w:rFonts w:ascii="Times New Roman" w:hAnsi="Times New Roman" w:cs="Times New Roman"/>
          <w:sz w:val="12"/>
          <w:szCs w:val="12"/>
          <w:lang w:val="uk-UA"/>
        </w:rPr>
      </w:pPr>
    </w:p>
    <w:p w:rsidR="008A22EE" w:rsidRPr="00C36F74" w:rsidRDefault="008A22EE" w:rsidP="008A22EE">
      <w:pPr>
        <w:spacing w:after="0" w:line="240" w:lineRule="auto"/>
        <w:ind w:firstLine="567"/>
        <w:jc w:val="both"/>
        <w:rPr>
          <w:rFonts w:ascii="Times New Roman" w:hAnsi="Times New Roman" w:cs="Times New Roman"/>
          <w:b/>
          <w:sz w:val="24"/>
          <w:szCs w:val="24"/>
          <w:lang w:val="uk-UA"/>
        </w:rPr>
      </w:pPr>
      <w:r w:rsidRPr="00C36F74">
        <w:rPr>
          <w:rFonts w:ascii="Times New Roman" w:hAnsi="Times New Roman" w:cs="Times New Roman"/>
          <w:sz w:val="24"/>
          <w:szCs w:val="24"/>
          <w:lang w:val="uk-UA"/>
        </w:rPr>
        <w:t>В  проєкті  бюджету Чорноморської міської територіальної громади на 202</w:t>
      </w:r>
      <w:r>
        <w:rPr>
          <w:rFonts w:ascii="Times New Roman" w:hAnsi="Times New Roman" w:cs="Times New Roman"/>
          <w:sz w:val="24"/>
          <w:szCs w:val="24"/>
          <w:lang w:val="uk-UA"/>
        </w:rPr>
        <w:t>4</w:t>
      </w:r>
      <w:r w:rsidRPr="00C36F74">
        <w:rPr>
          <w:rFonts w:ascii="Times New Roman" w:hAnsi="Times New Roman" w:cs="Times New Roman"/>
          <w:sz w:val="24"/>
          <w:szCs w:val="24"/>
          <w:lang w:val="uk-UA"/>
        </w:rPr>
        <w:t xml:space="preserve"> рік   виконавчому комітету Чорноморської міської ради Одеського району Одеської області визначені бюджетні призначення  у сумі </w:t>
      </w:r>
      <w:r w:rsidRPr="00C36F74">
        <w:rPr>
          <w:rFonts w:ascii="Times New Roman" w:hAnsi="Times New Roman" w:cs="Times New Roman"/>
          <w:b/>
          <w:sz w:val="24"/>
          <w:szCs w:val="24"/>
          <w:lang w:val="uk-UA"/>
        </w:rPr>
        <w:t>2</w:t>
      </w:r>
      <w:r>
        <w:rPr>
          <w:rFonts w:ascii="Times New Roman" w:hAnsi="Times New Roman" w:cs="Times New Roman"/>
          <w:b/>
          <w:sz w:val="24"/>
          <w:szCs w:val="24"/>
          <w:lang w:val="uk-UA"/>
        </w:rPr>
        <w:t>39 </w:t>
      </w:r>
      <w:r w:rsidRPr="00C36F74">
        <w:rPr>
          <w:rFonts w:ascii="Times New Roman" w:hAnsi="Times New Roman" w:cs="Times New Roman"/>
          <w:b/>
          <w:sz w:val="24"/>
          <w:szCs w:val="24"/>
          <w:lang w:val="uk-UA"/>
        </w:rPr>
        <w:t>087</w:t>
      </w:r>
      <w:r>
        <w:rPr>
          <w:rFonts w:ascii="Times New Roman" w:hAnsi="Times New Roman" w:cs="Times New Roman"/>
          <w:b/>
          <w:sz w:val="24"/>
          <w:szCs w:val="24"/>
          <w:lang w:val="uk-UA"/>
        </w:rPr>
        <w:t xml:space="preserve">,5 тис. </w:t>
      </w:r>
      <w:r w:rsidRPr="00C36F74">
        <w:rPr>
          <w:rFonts w:ascii="Times New Roman" w:hAnsi="Times New Roman" w:cs="Times New Roman"/>
          <w:sz w:val="24"/>
          <w:szCs w:val="24"/>
          <w:lang w:val="uk-UA"/>
        </w:rPr>
        <w:t>грн, із яких за загальним фондом – 23</w:t>
      </w:r>
      <w:r>
        <w:rPr>
          <w:rFonts w:ascii="Times New Roman" w:hAnsi="Times New Roman" w:cs="Times New Roman"/>
          <w:sz w:val="24"/>
          <w:szCs w:val="24"/>
          <w:lang w:val="uk-UA"/>
        </w:rPr>
        <w:t>6 </w:t>
      </w:r>
      <w:r w:rsidRPr="00C36F74">
        <w:rPr>
          <w:rFonts w:ascii="Times New Roman" w:hAnsi="Times New Roman" w:cs="Times New Roman"/>
          <w:sz w:val="24"/>
          <w:szCs w:val="24"/>
          <w:lang w:val="uk-UA"/>
        </w:rPr>
        <w:t>049</w:t>
      </w:r>
      <w:r>
        <w:rPr>
          <w:rFonts w:ascii="Times New Roman" w:hAnsi="Times New Roman" w:cs="Times New Roman"/>
          <w:sz w:val="24"/>
          <w:szCs w:val="24"/>
          <w:lang w:val="uk-UA"/>
        </w:rPr>
        <w:t xml:space="preserve">,9 тис. </w:t>
      </w:r>
      <w:r w:rsidRPr="00C36F74">
        <w:rPr>
          <w:rFonts w:ascii="Times New Roman" w:hAnsi="Times New Roman" w:cs="Times New Roman"/>
          <w:sz w:val="24"/>
          <w:szCs w:val="24"/>
          <w:lang w:val="uk-UA"/>
        </w:rPr>
        <w:t>грн  та спеціальним фондом – 3</w:t>
      </w:r>
      <w:r>
        <w:rPr>
          <w:rFonts w:ascii="Times New Roman" w:hAnsi="Times New Roman" w:cs="Times New Roman"/>
          <w:sz w:val="24"/>
          <w:szCs w:val="24"/>
          <w:lang w:val="uk-UA"/>
        </w:rPr>
        <w:t> </w:t>
      </w:r>
      <w:r w:rsidRPr="00C36F74">
        <w:rPr>
          <w:rFonts w:ascii="Times New Roman" w:hAnsi="Times New Roman" w:cs="Times New Roman"/>
          <w:sz w:val="24"/>
          <w:szCs w:val="24"/>
          <w:lang w:val="uk-UA"/>
        </w:rPr>
        <w:t>037</w:t>
      </w:r>
      <w:r>
        <w:rPr>
          <w:rFonts w:ascii="Times New Roman" w:hAnsi="Times New Roman" w:cs="Times New Roman"/>
          <w:sz w:val="24"/>
          <w:szCs w:val="24"/>
          <w:lang w:val="uk-UA"/>
        </w:rPr>
        <w:t xml:space="preserve">,6 тис. </w:t>
      </w:r>
      <w:r w:rsidRPr="00C36F74">
        <w:rPr>
          <w:rFonts w:ascii="Times New Roman" w:hAnsi="Times New Roman" w:cs="Times New Roman"/>
          <w:sz w:val="24"/>
          <w:szCs w:val="24"/>
          <w:lang w:val="uk-UA"/>
        </w:rPr>
        <w:t>гривень.</w:t>
      </w:r>
    </w:p>
    <w:p w:rsidR="008A22EE" w:rsidRPr="00C36F74" w:rsidRDefault="008A22EE" w:rsidP="008A22EE">
      <w:pPr>
        <w:spacing w:after="0" w:line="240" w:lineRule="auto"/>
        <w:ind w:firstLine="567"/>
        <w:jc w:val="both"/>
        <w:rPr>
          <w:rFonts w:ascii="Times New Roman" w:hAnsi="Times New Roman" w:cs="Times New Roman"/>
          <w:sz w:val="12"/>
          <w:szCs w:val="12"/>
          <w:lang w:val="uk-UA"/>
        </w:rPr>
      </w:pPr>
    </w:p>
    <w:p w:rsidR="008A22EE" w:rsidRPr="00C36F74" w:rsidRDefault="008A22EE" w:rsidP="008A22EE">
      <w:pPr>
        <w:spacing w:after="0" w:line="240" w:lineRule="auto"/>
        <w:ind w:firstLine="567"/>
        <w:jc w:val="both"/>
        <w:rPr>
          <w:rFonts w:ascii="Times New Roman" w:hAnsi="Times New Roman" w:cs="Times New Roman"/>
          <w:sz w:val="24"/>
          <w:szCs w:val="24"/>
          <w:lang w:val="uk-UA"/>
        </w:rPr>
      </w:pPr>
      <w:r w:rsidRPr="00C36F74">
        <w:rPr>
          <w:rFonts w:ascii="Times New Roman" w:hAnsi="Times New Roman" w:cs="Times New Roman"/>
          <w:sz w:val="24"/>
          <w:szCs w:val="24"/>
          <w:lang w:val="uk-UA"/>
        </w:rPr>
        <w:t>На забезпечення функціонування виконавчого комітету Чорноморської міської ради Одеського району Одеської області передбачено – 69</w:t>
      </w:r>
      <w:r>
        <w:rPr>
          <w:rFonts w:ascii="Times New Roman" w:hAnsi="Times New Roman" w:cs="Times New Roman"/>
          <w:sz w:val="24"/>
          <w:szCs w:val="24"/>
          <w:lang w:val="uk-UA"/>
        </w:rPr>
        <w:t> </w:t>
      </w:r>
      <w:r w:rsidRPr="00C36F74">
        <w:rPr>
          <w:rFonts w:ascii="Times New Roman" w:hAnsi="Times New Roman" w:cs="Times New Roman"/>
          <w:sz w:val="24"/>
          <w:szCs w:val="24"/>
          <w:lang w:val="uk-UA"/>
        </w:rPr>
        <w:t>806</w:t>
      </w:r>
      <w:r>
        <w:rPr>
          <w:rFonts w:ascii="Times New Roman" w:hAnsi="Times New Roman" w:cs="Times New Roman"/>
          <w:sz w:val="24"/>
          <w:szCs w:val="24"/>
          <w:lang w:val="uk-UA"/>
        </w:rPr>
        <w:t>,3 тис. грн</w:t>
      </w:r>
      <w:r w:rsidRPr="00C36F74">
        <w:rPr>
          <w:rFonts w:ascii="Times New Roman" w:hAnsi="Times New Roman" w:cs="Times New Roman"/>
          <w:sz w:val="24"/>
          <w:szCs w:val="24"/>
          <w:lang w:val="uk-UA"/>
        </w:rPr>
        <w:t>, із яких обсяг захищених видатків становить 61</w:t>
      </w:r>
      <w:r>
        <w:rPr>
          <w:rFonts w:ascii="Times New Roman" w:hAnsi="Times New Roman" w:cs="Times New Roman"/>
          <w:sz w:val="24"/>
          <w:szCs w:val="24"/>
          <w:lang w:val="uk-UA"/>
        </w:rPr>
        <w:t> </w:t>
      </w:r>
      <w:r w:rsidRPr="00C36F74">
        <w:rPr>
          <w:rFonts w:ascii="Times New Roman" w:hAnsi="Times New Roman" w:cs="Times New Roman"/>
          <w:sz w:val="24"/>
          <w:szCs w:val="24"/>
          <w:lang w:val="uk-UA"/>
        </w:rPr>
        <w:t>733</w:t>
      </w:r>
      <w:r>
        <w:rPr>
          <w:rFonts w:ascii="Times New Roman" w:hAnsi="Times New Roman" w:cs="Times New Roman"/>
          <w:sz w:val="24"/>
          <w:szCs w:val="24"/>
          <w:lang w:val="uk-UA"/>
        </w:rPr>
        <w:t>,3 тис.</w:t>
      </w:r>
      <w:r w:rsidRPr="00C36F74">
        <w:rPr>
          <w:rFonts w:ascii="Times New Roman" w:hAnsi="Times New Roman" w:cs="Times New Roman"/>
          <w:sz w:val="24"/>
          <w:szCs w:val="24"/>
          <w:lang w:val="uk-UA"/>
        </w:rPr>
        <w:t xml:space="preserve"> грн.</w:t>
      </w:r>
    </w:p>
    <w:p w:rsidR="008A22EE" w:rsidRPr="00C36F74" w:rsidRDefault="008A22EE" w:rsidP="008A22EE">
      <w:pPr>
        <w:spacing w:after="0" w:line="240" w:lineRule="auto"/>
        <w:ind w:firstLine="567"/>
        <w:jc w:val="both"/>
        <w:rPr>
          <w:rFonts w:ascii="Times New Roman" w:hAnsi="Times New Roman" w:cs="Times New Roman"/>
          <w:sz w:val="24"/>
          <w:szCs w:val="24"/>
          <w:lang w:val="uk-UA"/>
        </w:rPr>
      </w:pPr>
      <w:r w:rsidRPr="00C36F74">
        <w:rPr>
          <w:rFonts w:ascii="Times New Roman" w:hAnsi="Times New Roman" w:cs="Times New Roman"/>
          <w:sz w:val="24"/>
          <w:szCs w:val="24"/>
          <w:lang w:val="uk-UA"/>
        </w:rPr>
        <w:t>На фінансування Міських програм та заходів, виконавцями яких є управління, відділи, служби та сектори виконавчого комітету Чорноморської міської ради Одеського району Одеської області затверджені бюджетні призначення</w:t>
      </w:r>
      <w:r>
        <w:rPr>
          <w:rFonts w:ascii="Times New Roman" w:hAnsi="Times New Roman" w:cs="Times New Roman"/>
          <w:sz w:val="24"/>
          <w:szCs w:val="24"/>
          <w:lang w:val="uk-UA"/>
        </w:rPr>
        <w:t>, зокрема</w:t>
      </w:r>
      <w:r w:rsidRPr="00C36F74">
        <w:rPr>
          <w:rFonts w:ascii="Times New Roman" w:hAnsi="Times New Roman" w:cs="Times New Roman"/>
          <w:sz w:val="24"/>
          <w:szCs w:val="24"/>
          <w:lang w:val="uk-UA"/>
        </w:rPr>
        <w:t>:</w:t>
      </w:r>
    </w:p>
    <w:p w:rsidR="008A22EE" w:rsidRPr="00C36F74" w:rsidRDefault="008A22EE" w:rsidP="008A22EE">
      <w:pPr>
        <w:spacing w:after="0" w:line="240" w:lineRule="auto"/>
        <w:ind w:firstLine="567"/>
        <w:jc w:val="both"/>
        <w:rPr>
          <w:rFonts w:ascii="Times New Roman" w:hAnsi="Times New Roman" w:cs="Times New Roman"/>
          <w:i/>
          <w:sz w:val="24"/>
          <w:szCs w:val="24"/>
          <w:lang w:val="uk-UA"/>
        </w:rPr>
      </w:pPr>
      <w:r w:rsidRPr="00C36F74">
        <w:rPr>
          <w:rFonts w:ascii="Times New Roman" w:hAnsi="Times New Roman" w:cs="Times New Roman"/>
          <w:sz w:val="24"/>
          <w:szCs w:val="24"/>
          <w:lang w:val="uk-UA"/>
        </w:rPr>
        <w:t xml:space="preserve"> </w:t>
      </w:r>
      <w:r w:rsidRPr="00C36F74">
        <w:rPr>
          <w:rFonts w:ascii="Times New Roman" w:hAnsi="Times New Roman" w:cs="Times New Roman"/>
          <w:i/>
          <w:sz w:val="24"/>
          <w:szCs w:val="24"/>
          <w:lang w:val="uk-UA"/>
        </w:rPr>
        <w:t>- 4</w:t>
      </w:r>
      <w:r>
        <w:rPr>
          <w:rFonts w:ascii="Times New Roman" w:hAnsi="Times New Roman" w:cs="Times New Roman"/>
          <w:i/>
          <w:sz w:val="24"/>
          <w:szCs w:val="24"/>
          <w:lang w:val="uk-UA"/>
        </w:rPr>
        <w:t> </w:t>
      </w:r>
      <w:r w:rsidRPr="00C36F74">
        <w:rPr>
          <w:rFonts w:ascii="Times New Roman" w:hAnsi="Times New Roman" w:cs="Times New Roman"/>
          <w:i/>
          <w:sz w:val="24"/>
          <w:szCs w:val="24"/>
          <w:lang w:val="uk-UA"/>
        </w:rPr>
        <w:t>000</w:t>
      </w:r>
      <w:r>
        <w:rPr>
          <w:rFonts w:ascii="Times New Roman" w:hAnsi="Times New Roman" w:cs="Times New Roman"/>
          <w:i/>
          <w:sz w:val="24"/>
          <w:szCs w:val="24"/>
          <w:lang w:val="uk-UA"/>
        </w:rPr>
        <w:t xml:space="preserve">,0 тис. </w:t>
      </w:r>
      <w:r w:rsidRPr="00C36F74">
        <w:rPr>
          <w:rFonts w:ascii="Times New Roman" w:hAnsi="Times New Roman" w:cs="Times New Roman"/>
          <w:i/>
          <w:sz w:val="24"/>
          <w:szCs w:val="24"/>
          <w:lang w:val="uk-UA"/>
        </w:rPr>
        <w:t>грн  на виплату матеріальної допомоги громадянам Чорноморської міської територіальної громади, які опинились в складних життєвих обставинах;</w:t>
      </w:r>
    </w:p>
    <w:p w:rsidR="008A22EE" w:rsidRPr="00C36F74" w:rsidRDefault="008A22EE" w:rsidP="008A22EE">
      <w:pPr>
        <w:spacing w:after="0" w:line="240" w:lineRule="auto"/>
        <w:ind w:firstLine="567"/>
        <w:jc w:val="both"/>
        <w:rPr>
          <w:rFonts w:ascii="Times New Roman" w:hAnsi="Times New Roman" w:cs="Times New Roman"/>
          <w:i/>
          <w:sz w:val="24"/>
          <w:szCs w:val="24"/>
          <w:lang w:val="uk-UA"/>
        </w:rPr>
      </w:pPr>
      <w:r w:rsidRPr="00C36F74">
        <w:rPr>
          <w:rFonts w:ascii="Times New Roman" w:hAnsi="Times New Roman" w:cs="Times New Roman"/>
          <w:i/>
          <w:sz w:val="24"/>
          <w:szCs w:val="24"/>
          <w:lang w:val="uk-UA"/>
        </w:rPr>
        <w:t>- 110</w:t>
      </w:r>
      <w:r>
        <w:rPr>
          <w:rFonts w:ascii="Times New Roman" w:hAnsi="Times New Roman" w:cs="Times New Roman"/>
          <w:i/>
          <w:sz w:val="24"/>
          <w:szCs w:val="24"/>
          <w:lang w:val="uk-UA"/>
        </w:rPr>
        <w:t>,0</w:t>
      </w:r>
      <w:r w:rsidRPr="00C36F74">
        <w:rPr>
          <w:rFonts w:ascii="Times New Roman" w:hAnsi="Times New Roman" w:cs="Times New Roman"/>
          <w:i/>
          <w:sz w:val="24"/>
          <w:szCs w:val="24"/>
          <w:lang w:val="uk-UA"/>
        </w:rPr>
        <w:t xml:space="preserve"> </w:t>
      </w:r>
      <w:r>
        <w:rPr>
          <w:rFonts w:ascii="Times New Roman" w:hAnsi="Times New Roman" w:cs="Times New Roman"/>
          <w:i/>
          <w:sz w:val="24"/>
          <w:szCs w:val="24"/>
          <w:lang w:val="uk-UA"/>
        </w:rPr>
        <w:t xml:space="preserve">тис. </w:t>
      </w:r>
      <w:r w:rsidRPr="00C36F74">
        <w:rPr>
          <w:rFonts w:ascii="Times New Roman" w:hAnsi="Times New Roman" w:cs="Times New Roman"/>
          <w:i/>
          <w:sz w:val="24"/>
          <w:szCs w:val="24"/>
          <w:lang w:val="uk-UA"/>
        </w:rPr>
        <w:t xml:space="preserve">грн - членський внесок до Асоціації міст України, </w:t>
      </w:r>
      <w:r>
        <w:rPr>
          <w:rFonts w:ascii="Times New Roman" w:hAnsi="Times New Roman" w:cs="Times New Roman"/>
          <w:i/>
          <w:sz w:val="24"/>
          <w:szCs w:val="24"/>
          <w:lang w:val="uk-UA"/>
        </w:rPr>
        <w:t>членом якої є Чорноморська міська територіальна громада</w:t>
      </w:r>
      <w:r w:rsidRPr="00C36F74">
        <w:rPr>
          <w:rFonts w:ascii="Times New Roman" w:hAnsi="Times New Roman" w:cs="Times New Roman"/>
          <w:i/>
          <w:sz w:val="24"/>
          <w:szCs w:val="24"/>
          <w:lang w:val="uk-UA"/>
        </w:rPr>
        <w:t xml:space="preserve">; </w:t>
      </w:r>
    </w:p>
    <w:p w:rsidR="008A22EE" w:rsidRPr="00C36F74" w:rsidRDefault="008A22EE" w:rsidP="008A22EE">
      <w:pPr>
        <w:spacing w:after="0" w:line="240" w:lineRule="auto"/>
        <w:ind w:firstLine="567"/>
        <w:jc w:val="both"/>
        <w:rPr>
          <w:rFonts w:ascii="Times New Roman" w:hAnsi="Times New Roman" w:cs="Times New Roman"/>
          <w:i/>
          <w:sz w:val="24"/>
          <w:szCs w:val="24"/>
          <w:lang w:val="uk-UA"/>
        </w:rPr>
      </w:pPr>
      <w:r w:rsidRPr="00C36F74">
        <w:rPr>
          <w:rFonts w:ascii="Times New Roman" w:hAnsi="Times New Roman" w:cs="Times New Roman"/>
          <w:i/>
          <w:sz w:val="24"/>
          <w:szCs w:val="24"/>
          <w:lang w:val="uk-UA"/>
        </w:rPr>
        <w:t>- 100</w:t>
      </w:r>
      <w:r>
        <w:rPr>
          <w:rFonts w:ascii="Times New Roman" w:hAnsi="Times New Roman" w:cs="Times New Roman"/>
          <w:i/>
          <w:sz w:val="24"/>
          <w:szCs w:val="24"/>
          <w:lang w:val="uk-UA"/>
        </w:rPr>
        <w:t xml:space="preserve">,0 тис. </w:t>
      </w:r>
      <w:r w:rsidRPr="00C36F74">
        <w:rPr>
          <w:rFonts w:ascii="Times New Roman" w:hAnsi="Times New Roman" w:cs="Times New Roman"/>
          <w:i/>
          <w:sz w:val="24"/>
          <w:szCs w:val="24"/>
          <w:lang w:val="uk-UA"/>
        </w:rPr>
        <w:t xml:space="preserve">грн на  природоохоронні заходи за рахунок фонду охорони навколишнього </w:t>
      </w:r>
      <w:r>
        <w:rPr>
          <w:rFonts w:ascii="Times New Roman" w:hAnsi="Times New Roman" w:cs="Times New Roman"/>
          <w:i/>
          <w:sz w:val="24"/>
          <w:szCs w:val="24"/>
          <w:lang w:val="uk-UA"/>
        </w:rPr>
        <w:t xml:space="preserve">природного </w:t>
      </w:r>
      <w:r w:rsidRPr="00C36F74">
        <w:rPr>
          <w:rFonts w:ascii="Times New Roman" w:hAnsi="Times New Roman" w:cs="Times New Roman"/>
          <w:i/>
          <w:sz w:val="24"/>
          <w:szCs w:val="24"/>
          <w:lang w:val="uk-UA"/>
        </w:rPr>
        <w:t>середовища;</w:t>
      </w:r>
    </w:p>
    <w:p w:rsidR="008A22EE" w:rsidRPr="00C36F74" w:rsidRDefault="008A22EE" w:rsidP="008A22EE">
      <w:pPr>
        <w:spacing w:after="0" w:line="240" w:lineRule="auto"/>
        <w:ind w:firstLine="567"/>
        <w:jc w:val="both"/>
        <w:rPr>
          <w:rFonts w:ascii="Times New Roman" w:hAnsi="Times New Roman" w:cs="Times New Roman"/>
          <w:i/>
          <w:sz w:val="24"/>
          <w:szCs w:val="24"/>
          <w:lang w:val="uk-UA"/>
        </w:rPr>
      </w:pPr>
      <w:r w:rsidRPr="00C36F74">
        <w:rPr>
          <w:rFonts w:ascii="Times New Roman" w:hAnsi="Times New Roman" w:cs="Times New Roman"/>
          <w:i/>
          <w:sz w:val="24"/>
          <w:szCs w:val="24"/>
          <w:lang w:val="uk-UA"/>
        </w:rPr>
        <w:t>- 1</w:t>
      </w:r>
      <w:r>
        <w:rPr>
          <w:rFonts w:ascii="Times New Roman" w:hAnsi="Times New Roman" w:cs="Times New Roman"/>
          <w:i/>
          <w:sz w:val="24"/>
          <w:szCs w:val="24"/>
          <w:lang w:val="uk-UA"/>
        </w:rPr>
        <w:t> </w:t>
      </w:r>
      <w:r w:rsidRPr="00C36F74">
        <w:rPr>
          <w:rFonts w:ascii="Times New Roman" w:hAnsi="Times New Roman" w:cs="Times New Roman"/>
          <w:i/>
          <w:sz w:val="24"/>
          <w:szCs w:val="24"/>
          <w:lang w:val="uk-UA"/>
        </w:rPr>
        <w:t>975</w:t>
      </w:r>
      <w:r>
        <w:rPr>
          <w:rFonts w:ascii="Times New Roman" w:hAnsi="Times New Roman" w:cs="Times New Roman"/>
          <w:i/>
          <w:sz w:val="24"/>
          <w:szCs w:val="24"/>
          <w:lang w:val="uk-UA"/>
        </w:rPr>
        <w:t xml:space="preserve">,0 тис. </w:t>
      </w:r>
      <w:r w:rsidRPr="00C36F74">
        <w:rPr>
          <w:rFonts w:ascii="Times New Roman" w:hAnsi="Times New Roman" w:cs="Times New Roman"/>
          <w:i/>
          <w:sz w:val="24"/>
          <w:szCs w:val="24"/>
          <w:lang w:val="uk-UA"/>
        </w:rPr>
        <w:t xml:space="preserve">грн на обслуговування інтегрованої системи відеоспостереження та </w:t>
      </w:r>
      <w:proofErr w:type="spellStart"/>
      <w:r w:rsidRPr="00C36F74">
        <w:rPr>
          <w:rFonts w:ascii="Times New Roman" w:hAnsi="Times New Roman" w:cs="Times New Roman"/>
          <w:i/>
          <w:sz w:val="24"/>
          <w:szCs w:val="24"/>
          <w:lang w:val="uk-UA"/>
        </w:rPr>
        <w:t>відеоаналітики</w:t>
      </w:r>
      <w:proofErr w:type="spellEnd"/>
      <w:r w:rsidRPr="00C36F74">
        <w:rPr>
          <w:rFonts w:ascii="Times New Roman" w:hAnsi="Times New Roman" w:cs="Times New Roman"/>
          <w:i/>
          <w:sz w:val="24"/>
          <w:szCs w:val="24"/>
          <w:lang w:val="uk-UA"/>
        </w:rPr>
        <w:t xml:space="preserve"> міста Чорноморська;</w:t>
      </w:r>
    </w:p>
    <w:p w:rsidR="008A22EE" w:rsidRPr="00C36F74" w:rsidRDefault="008A22EE" w:rsidP="008A22EE">
      <w:pPr>
        <w:spacing w:after="0" w:line="240" w:lineRule="auto"/>
        <w:ind w:firstLine="567"/>
        <w:jc w:val="both"/>
        <w:rPr>
          <w:rFonts w:ascii="Times New Roman" w:hAnsi="Times New Roman" w:cs="Times New Roman"/>
          <w:b/>
          <w:i/>
          <w:sz w:val="24"/>
          <w:szCs w:val="24"/>
          <w:lang w:val="uk-UA"/>
        </w:rPr>
      </w:pPr>
      <w:r w:rsidRPr="00C36F74">
        <w:rPr>
          <w:rFonts w:ascii="Times New Roman" w:hAnsi="Times New Roman" w:cs="Times New Roman"/>
          <w:i/>
          <w:sz w:val="24"/>
          <w:szCs w:val="24"/>
          <w:lang w:val="uk-UA"/>
        </w:rPr>
        <w:t>- 637</w:t>
      </w:r>
      <w:r>
        <w:rPr>
          <w:rFonts w:ascii="Times New Roman" w:hAnsi="Times New Roman" w:cs="Times New Roman"/>
          <w:i/>
          <w:sz w:val="24"/>
          <w:szCs w:val="24"/>
          <w:lang w:val="uk-UA"/>
        </w:rPr>
        <w:t xml:space="preserve">,0 тис. </w:t>
      </w:r>
      <w:r w:rsidRPr="00C36F74">
        <w:rPr>
          <w:rFonts w:ascii="Times New Roman" w:hAnsi="Times New Roman" w:cs="Times New Roman"/>
          <w:i/>
          <w:sz w:val="24"/>
          <w:szCs w:val="24"/>
          <w:lang w:val="uk-UA"/>
        </w:rPr>
        <w:t xml:space="preserve">грн на заходи та роботи з мобілізаційної підготовки місцевого значення. </w:t>
      </w:r>
    </w:p>
    <w:p w:rsidR="008A22EE" w:rsidRPr="00C36F74" w:rsidRDefault="008A22EE" w:rsidP="008A22EE">
      <w:pPr>
        <w:spacing w:after="0" w:line="240" w:lineRule="auto"/>
        <w:ind w:firstLine="567"/>
        <w:jc w:val="both"/>
        <w:rPr>
          <w:rFonts w:ascii="Times New Roman" w:hAnsi="Times New Roman" w:cs="Times New Roman"/>
          <w:sz w:val="12"/>
          <w:szCs w:val="12"/>
          <w:lang w:val="uk-UA"/>
        </w:rPr>
      </w:pPr>
    </w:p>
    <w:p w:rsidR="008A22EE" w:rsidRPr="0052687B" w:rsidRDefault="008A22EE" w:rsidP="008A22EE">
      <w:pPr>
        <w:spacing w:after="0" w:line="240" w:lineRule="auto"/>
        <w:ind w:firstLine="567"/>
        <w:jc w:val="both"/>
        <w:rPr>
          <w:rFonts w:ascii="Times New Roman" w:hAnsi="Times New Roman" w:cs="Times New Roman"/>
          <w:sz w:val="24"/>
          <w:szCs w:val="24"/>
          <w:lang w:val="uk-UA"/>
        </w:rPr>
      </w:pPr>
      <w:r w:rsidRPr="00D37FA1">
        <w:rPr>
          <w:rFonts w:ascii="Times New Roman" w:hAnsi="Times New Roman" w:cs="Times New Roman"/>
          <w:sz w:val="24"/>
          <w:szCs w:val="24"/>
          <w:lang w:val="uk-UA"/>
        </w:rPr>
        <w:t xml:space="preserve">Виконавчому комітету враховано нерозподілені видатки у сумі 88 543,4 тис. грн, в </w:t>
      </w:r>
      <w:proofErr w:type="spellStart"/>
      <w:r w:rsidRPr="00D37FA1">
        <w:rPr>
          <w:rFonts w:ascii="Times New Roman" w:hAnsi="Times New Roman" w:cs="Times New Roman"/>
          <w:sz w:val="24"/>
          <w:szCs w:val="24"/>
          <w:lang w:val="uk-UA"/>
        </w:rPr>
        <w:t>т.ч</w:t>
      </w:r>
      <w:proofErr w:type="spellEnd"/>
      <w:r w:rsidRPr="00D37FA1">
        <w:rPr>
          <w:rFonts w:ascii="Times New Roman" w:hAnsi="Times New Roman" w:cs="Times New Roman"/>
          <w:sz w:val="24"/>
          <w:szCs w:val="24"/>
          <w:lang w:val="uk-UA"/>
        </w:rPr>
        <w:t xml:space="preserve">. за загальним фондом – 85 744,4 тис. грн та спеціальним фондом – 2 799,0 тис. грн, які будуть </w:t>
      </w:r>
      <w:r>
        <w:rPr>
          <w:rFonts w:ascii="Times New Roman" w:hAnsi="Times New Roman" w:cs="Times New Roman"/>
          <w:sz w:val="24"/>
          <w:szCs w:val="24"/>
          <w:lang w:val="uk-UA"/>
        </w:rPr>
        <w:t>враховані до розподілу при уточ</w:t>
      </w:r>
      <w:r w:rsidRPr="00D37FA1">
        <w:rPr>
          <w:rFonts w:ascii="Times New Roman" w:hAnsi="Times New Roman" w:cs="Times New Roman"/>
          <w:sz w:val="24"/>
          <w:szCs w:val="24"/>
          <w:lang w:val="uk-UA"/>
        </w:rPr>
        <w:t xml:space="preserve">нені бюджету міської громади на 2024 рік. </w:t>
      </w:r>
    </w:p>
    <w:p w:rsidR="008A22EE" w:rsidRPr="0052687B" w:rsidRDefault="008A22EE" w:rsidP="008A22EE">
      <w:pPr>
        <w:spacing w:after="0" w:line="240" w:lineRule="auto"/>
        <w:ind w:firstLine="567"/>
        <w:jc w:val="both"/>
        <w:rPr>
          <w:rFonts w:ascii="Times New Roman" w:hAnsi="Times New Roman" w:cs="Times New Roman"/>
          <w:sz w:val="24"/>
          <w:szCs w:val="24"/>
          <w:lang w:val="uk-UA"/>
        </w:rPr>
      </w:pPr>
    </w:p>
    <w:p w:rsidR="008A22EE" w:rsidRPr="0052687B" w:rsidRDefault="008A22EE" w:rsidP="008A22EE">
      <w:pPr>
        <w:spacing w:after="0" w:line="240" w:lineRule="auto"/>
        <w:ind w:firstLine="567"/>
        <w:jc w:val="both"/>
        <w:rPr>
          <w:rFonts w:ascii="Times New Roman" w:hAnsi="Times New Roman" w:cs="Times New Roman"/>
          <w:i/>
          <w:sz w:val="24"/>
          <w:szCs w:val="24"/>
          <w:lang w:val="uk-UA"/>
        </w:rPr>
      </w:pPr>
      <w:r w:rsidRPr="0052687B">
        <w:rPr>
          <w:rFonts w:ascii="Times New Roman" w:hAnsi="Times New Roman" w:cs="Times New Roman"/>
          <w:sz w:val="24"/>
          <w:szCs w:val="24"/>
          <w:lang w:val="uk-UA"/>
        </w:rPr>
        <w:t>В загальному обсязі бюджетних призначень видатки на утримання Олександрівської селищної адміністрації Чорноморської міської ради Одеського району Одеської області, Малодолинської сільської адміністрації Чорноморської міської ради Одеського району Одеської області, Бурлачобалківської  сільської адміністрації Чорноморської міської ради Одеського району Одеської області визначені в загальному обсязі 17</w:t>
      </w:r>
      <w:r>
        <w:rPr>
          <w:rFonts w:ascii="Times New Roman" w:hAnsi="Times New Roman" w:cs="Times New Roman"/>
          <w:sz w:val="24"/>
          <w:szCs w:val="24"/>
          <w:lang w:val="uk-UA"/>
        </w:rPr>
        <w:t> </w:t>
      </w:r>
      <w:r w:rsidRPr="0052687B">
        <w:rPr>
          <w:rFonts w:ascii="Times New Roman" w:hAnsi="Times New Roman" w:cs="Times New Roman"/>
          <w:sz w:val="24"/>
          <w:szCs w:val="24"/>
          <w:lang w:val="uk-UA"/>
        </w:rPr>
        <w:t>292</w:t>
      </w:r>
      <w:r>
        <w:rPr>
          <w:rFonts w:ascii="Times New Roman" w:hAnsi="Times New Roman" w:cs="Times New Roman"/>
          <w:sz w:val="24"/>
          <w:szCs w:val="24"/>
          <w:lang w:val="uk-UA"/>
        </w:rPr>
        <w:t>,1 тис. грн</w:t>
      </w:r>
      <w:r w:rsidRPr="0052687B">
        <w:rPr>
          <w:rFonts w:ascii="Times New Roman" w:hAnsi="Times New Roman" w:cs="Times New Roman"/>
          <w:i/>
          <w:sz w:val="24"/>
          <w:szCs w:val="24"/>
          <w:lang w:val="uk-UA"/>
        </w:rPr>
        <w:t>, в тому числі на утримання адміністрацій – 7</w:t>
      </w:r>
      <w:r>
        <w:rPr>
          <w:rFonts w:ascii="Times New Roman" w:hAnsi="Times New Roman" w:cs="Times New Roman"/>
          <w:i/>
          <w:sz w:val="24"/>
          <w:szCs w:val="24"/>
          <w:lang w:val="uk-UA"/>
        </w:rPr>
        <w:t> </w:t>
      </w:r>
      <w:r w:rsidRPr="0052687B">
        <w:rPr>
          <w:rFonts w:ascii="Times New Roman" w:hAnsi="Times New Roman" w:cs="Times New Roman"/>
          <w:i/>
          <w:sz w:val="24"/>
          <w:szCs w:val="24"/>
          <w:lang w:val="uk-UA"/>
        </w:rPr>
        <w:t>879</w:t>
      </w:r>
      <w:r>
        <w:rPr>
          <w:rFonts w:ascii="Times New Roman" w:hAnsi="Times New Roman" w:cs="Times New Roman"/>
          <w:i/>
          <w:sz w:val="24"/>
          <w:szCs w:val="24"/>
          <w:lang w:val="uk-UA"/>
        </w:rPr>
        <w:t>,7 тис. грн,</w:t>
      </w:r>
      <w:r w:rsidRPr="0052687B">
        <w:rPr>
          <w:rFonts w:ascii="Times New Roman" w:hAnsi="Times New Roman" w:cs="Times New Roman"/>
          <w:i/>
          <w:sz w:val="24"/>
          <w:szCs w:val="24"/>
          <w:lang w:val="uk-UA"/>
        </w:rPr>
        <w:t xml:space="preserve"> видатки на</w:t>
      </w:r>
      <w:r>
        <w:rPr>
          <w:rFonts w:ascii="Times New Roman" w:hAnsi="Times New Roman" w:cs="Times New Roman"/>
          <w:i/>
          <w:sz w:val="24"/>
          <w:szCs w:val="24"/>
          <w:lang w:val="uk-UA"/>
        </w:rPr>
        <w:t xml:space="preserve"> утримання територій селищної та сільських адміністрації </w:t>
      </w:r>
      <w:r w:rsidRPr="0052687B">
        <w:rPr>
          <w:rFonts w:ascii="Times New Roman" w:hAnsi="Times New Roman" w:cs="Times New Roman"/>
          <w:i/>
          <w:sz w:val="24"/>
          <w:szCs w:val="24"/>
          <w:lang w:val="uk-UA"/>
        </w:rPr>
        <w:t xml:space="preserve"> – 9</w:t>
      </w:r>
      <w:r>
        <w:rPr>
          <w:rFonts w:ascii="Times New Roman" w:hAnsi="Times New Roman" w:cs="Times New Roman"/>
          <w:i/>
          <w:sz w:val="24"/>
          <w:szCs w:val="24"/>
          <w:lang w:val="uk-UA"/>
        </w:rPr>
        <w:t> </w:t>
      </w:r>
      <w:r w:rsidRPr="0052687B">
        <w:rPr>
          <w:rFonts w:ascii="Times New Roman" w:hAnsi="Times New Roman" w:cs="Times New Roman"/>
          <w:i/>
          <w:sz w:val="24"/>
          <w:szCs w:val="24"/>
          <w:lang w:val="uk-UA"/>
        </w:rPr>
        <w:t>412</w:t>
      </w:r>
      <w:r>
        <w:rPr>
          <w:rFonts w:ascii="Times New Roman" w:hAnsi="Times New Roman" w:cs="Times New Roman"/>
          <w:i/>
          <w:sz w:val="24"/>
          <w:szCs w:val="24"/>
          <w:lang w:val="uk-UA"/>
        </w:rPr>
        <w:t>,4 тис. грн</w:t>
      </w:r>
      <w:r w:rsidRPr="0052687B">
        <w:rPr>
          <w:rFonts w:ascii="Times New Roman" w:hAnsi="Times New Roman" w:cs="Times New Roman"/>
          <w:i/>
          <w:sz w:val="24"/>
          <w:szCs w:val="24"/>
          <w:lang w:val="uk-UA"/>
        </w:rPr>
        <w:t>.</w:t>
      </w:r>
    </w:p>
    <w:p w:rsidR="008A22EE" w:rsidRPr="0052687B" w:rsidRDefault="008A22EE" w:rsidP="008A22EE">
      <w:pPr>
        <w:spacing w:after="0" w:line="240" w:lineRule="auto"/>
        <w:ind w:firstLine="567"/>
        <w:jc w:val="both"/>
        <w:rPr>
          <w:rFonts w:ascii="Times New Roman" w:hAnsi="Times New Roman" w:cs="Times New Roman"/>
          <w:sz w:val="24"/>
          <w:szCs w:val="24"/>
          <w:lang w:val="uk-UA"/>
        </w:rPr>
      </w:pPr>
    </w:p>
    <w:p w:rsidR="008A22EE" w:rsidRPr="0052687B" w:rsidRDefault="008A22EE" w:rsidP="008A22EE">
      <w:pPr>
        <w:spacing w:after="0" w:line="240" w:lineRule="auto"/>
        <w:ind w:firstLine="567"/>
        <w:jc w:val="both"/>
        <w:rPr>
          <w:rFonts w:ascii="Times New Roman" w:hAnsi="Times New Roman" w:cs="Times New Roman"/>
          <w:sz w:val="24"/>
          <w:szCs w:val="24"/>
          <w:lang w:val="uk-UA"/>
        </w:rPr>
      </w:pPr>
      <w:r w:rsidRPr="0052687B">
        <w:rPr>
          <w:rFonts w:ascii="Times New Roman" w:hAnsi="Times New Roman" w:cs="Times New Roman"/>
          <w:sz w:val="24"/>
          <w:szCs w:val="24"/>
          <w:lang w:val="uk-UA"/>
        </w:rPr>
        <w:t>На утримання комунальної установи "Муніципальна варта" Чорноморської міської ради Одеського району  Одеської області враховано  19</w:t>
      </w:r>
      <w:r>
        <w:rPr>
          <w:rFonts w:ascii="Times New Roman" w:hAnsi="Times New Roman" w:cs="Times New Roman"/>
          <w:sz w:val="24"/>
          <w:szCs w:val="24"/>
          <w:lang w:val="uk-UA"/>
        </w:rPr>
        <w:t> </w:t>
      </w:r>
      <w:r w:rsidRPr="0052687B">
        <w:rPr>
          <w:rFonts w:ascii="Times New Roman" w:hAnsi="Times New Roman" w:cs="Times New Roman"/>
          <w:sz w:val="24"/>
          <w:szCs w:val="24"/>
          <w:lang w:val="uk-UA"/>
        </w:rPr>
        <w:t>446</w:t>
      </w:r>
      <w:r>
        <w:rPr>
          <w:rFonts w:ascii="Times New Roman" w:hAnsi="Times New Roman" w:cs="Times New Roman"/>
          <w:sz w:val="24"/>
          <w:szCs w:val="24"/>
          <w:lang w:val="uk-UA"/>
        </w:rPr>
        <w:t xml:space="preserve">,0 тис. грн. </w:t>
      </w:r>
      <w:r w:rsidRPr="0052687B">
        <w:rPr>
          <w:rFonts w:ascii="Times New Roman" w:hAnsi="Times New Roman" w:cs="Times New Roman"/>
          <w:sz w:val="24"/>
          <w:szCs w:val="24"/>
          <w:lang w:val="uk-UA"/>
        </w:rPr>
        <w:t xml:space="preserve"> </w:t>
      </w:r>
    </w:p>
    <w:p w:rsidR="008A22EE" w:rsidRPr="0052687B" w:rsidRDefault="008A22EE" w:rsidP="008A22EE">
      <w:pPr>
        <w:spacing w:after="0" w:line="240" w:lineRule="auto"/>
        <w:ind w:firstLine="567"/>
        <w:jc w:val="both"/>
        <w:rPr>
          <w:rFonts w:ascii="Times New Roman" w:hAnsi="Times New Roman" w:cs="Times New Roman"/>
          <w:sz w:val="24"/>
          <w:szCs w:val="24"/>
          <w:lang w:val="uk-UA"/>
        </w:rPr>
      </w:pPr>
    </w:p>
    <w:p w:rsidR="008A22EE" w:rsidRPr="0052687B" w:rsidRDefault="008A22EE" w:rsidP="008A22EE">
      <w:pPr>
        <w:spacing w:after="0" w:line="240" w:lineRule="auto"/>
        <w:ind w:firstLine="567"/>
        <w:jc w:val="both"/>
        <w:rPr>
          <w:rFonts w:ascii="Times New Roman" w:hAnsi="Times New Roman" w:cs="Times New Roman"/>
          <w:color w:val="000000" w:themeColor="text1"/>
          <w:sz w:val="24"/>
          <w:szCs w:val="24"/>
          <w:lang w:val="uk-UA"/>
        </w:rPr>
      </w:pPr>
      <w:r w:rsidRPr="0052687B">
        <w:rPr>
          <w:rFonts w:ascii="Times New Roman" w:hAnsi="Times New Roman" w:cs="Times New Roman"/>
          <w:color w:val="000000" w:themeColor="text1"/>
          <w:sz w:val="24"/>
          <w:szCs w:val="24"/>
          <w:shd w:val="clear" w:color="auto" w:fill="FFFFFF"/>
          <w:lang w:val="uk-UA"/>
        </w:rPr>
        <w:t>На галузь "Охорона здоров'я" в проєкті бюджету  враховано 38</w:t>
      </w:r>
      <w:r>
        <w:rPr>
          <w:rFonts w:ascii="Times New Roman" w:hAnsi="Times New Roman" w:cs="Times New Roman"/>
          <w:color w:val="000000" w:themeColor="text1"/>
          <w:sz w:val="24"/>
          <w:szCs w:val="24"/>
          <w:shd w:val="clear" w:color="auto" w:fill="FFFFFF"/>
          <w:lang w:val="uk-UA"/>
        </w:rPr>
        <w:t> </w:t>
      </w:r>
      <w:r w:rsidRPr="0052687B">
        <w:rPr>
          <w:rFonts w:ascii="Times New Roman" w:hAnsi="Times New Roman" w:cs="Times New Roman"/>
          <w:color w:val="000000" w:themeColor="text1"/>
          <w:sz w:val="24"/>
          <w:szCs w:val="24"/>
          <w:shd w:val="clear" w:color="auto" w:fill="FFFFFF"/>
          <w:lang w:val="uk-UA"/>
        </w:rPr>
        <w:t>177</w:t>
      </w:r>
      <w:r>
        <w:rPr>
          <w:rFonts w:ascii="Times New Roman" w:hAnsi="Times New Roman" w:cs="Times New Roman"/>
          <w:color w:val="000000" w:themeColor="text1"/>
          <w:sz w:val="24"/>
          <w:szCs w:val="24"/>
          <w:shd w:val="clear" w:color="auto" w:fill="FFFFFF"/>
          <w:lang w:val="uk-UA"/>
        </w:rPr>
        <w:t>,7 тис. грн</w:t>
      </w:r>
      <w:r w:rsidRPr="0052687B">
        <w:rPr>
          <w:rFonts w:ascii="Times New Roman" w:hAnsi="Times New Roman" w:cs="Times New Roman"/>
          <w:color w:val="000000" w:themeColor="text1"/>
          <w:sz w:val="24"/>
          <w:szCs w:val="24"/>
          <w:shd w:val="clear" w:color="auto" w:fill="FFFFFF"/>
          <w:lang w:val="uk-UA"/>
        </w:rPr>
        <w:t>.</w:t>
      </w:r>
    </w:p>
    <w:p w:rsidR="008A22EE" w:rsidRPr="0052687B" w:rsidRDefault="008A22EE" w:rsidP="008A22EE">
      <w:pPr>
        <w:spacing w:after="0" w:line="240" w:lineRule="auto"/>
        <w:ind w:firstLine="567"/>
        <w:jc w:val="both"/>
        <w:rPr>
          <w:rFonts w:ascii="Times New Roman" w:hAnsi="Times New Roman" w:cs="Times New Roman"/>
          <w:sz w:val="24"/>
          <w:szCs w:val="24"/>
          <w:lang w:val="uk-UA"/>
        </w:rPr>
      </w:pPr>
      <w:r w:rsidRPr="0052687B">
        <w:rPr>
          <w:rFonts w:ascii="Times New Roman" w:hAnsi="Times New Roman" w:cs="Times New Roman"/>
          <w:sz w:val="24"/>
          <w:szCs w:val="24"/>
          <w:lang w:val="uk-UA"/>
        </w:rPr>
        <w:t xml:space="preserve">Рішенням Чорноморської міської ради Одеського району Одеської області від 24.12.2020 року № 17-VIII "Про Міську програму </w:t>
      </w:r>
      <w:r>
        <w:rPr>
          <w:rFonts w:ascii="Times New Roman" w:hAnsi="Times New Roman" w:cs="Times New Roman"/>
          <w:sz w:val="24"/>
          <w:szCs w:val="24"/>
          <w:lang w:val="uk-UA"/>
        </w:rPr>
        <w:t>"</w:t>
      </w:r>
      <w:r w:rsidRPr="0052687B">
        <w:rPr>
          <w:rFonts w:ascii="Times New Roman" w:hAnsi="Times New Roman" w:cs="Times New Roman"/>
          <w:sz w:val="24"/>
          <w:szCs w:val="24"/>
          <w:lang w:val="uk-UA"/>
        </w:rPr>
        <w:t>Здоров’я населення Чорноморської міської територіальної громади на 2021 - 2025 роки</w:t>
      </w:r>
      <w:r>
        <w:rPr>
          <w:rFonts w:ascii="Times New Roman" w:hAnsi="Times New Roman" w:cs="Times New Roman"/>
          <w:sz w:val="24"/>
          <w:szCs w:val="24"/>
          <w:lang w:val="uk-UA"/>
        </w:rPr>
        <w:t>"</w:t>
      </w:r>
      <w:r w:rsidRPr="0052687B">
        <w:rPr>
          <w:rFonts w:ascii="Times New Roman" w:hAnsi="Times New Roman" w:cs="Times New Roman"/>
          <w:sz w:val="24"/>
          <w:szCs w:val="24"/>
          <w:lang w:val="uk-UA"/>
        </w:rPr>
        <w:t xml:space="preserve"> (зі змінами та доповненнями) затверджені заходи, необхідні для розвитку, підтримки комунальних некомерційних підприємств галузі охорони здоров'я та надання медичних послуг понад обсяг, передбачений програмою державних гарантій медичного обслуговування населення Чорноморської міської територіальної громади, на фінансування яких передбачено:</w:t>
      </w:r>
    </w:p>
    <w:p w:rsidR="008A22EE" w:rsidRPr="00776D59" w:rsidRDefault="008A22EE" w:rsidP="008A22EE">
      <w:pPr>
        <w:tabs>
          <w:tab w:val="left" w:pos="709"/>
          <w:tab w:val="left" w:pos="851"/>
        </w:tabs>
        <w:spacing w:after="0" w:line="240" w:lineRule="auto"/>
        <w:ind w:firstLine="567"/>
        <w:jc w:val="both"/>
        <w:rPr>
          <w:rFonts w:ascii="Times New Roman" w:hAnsi="Times New Roman" w:cs="Times New Roman"/>
          <w:sz w:val="12"/>
          <w:szCs w:val="12"/>
          <w:highlight w:val="yellow"/>
          <w:lang w:val="uk-UA"/>
        </w:rPr>
      </w:pPr>
      <w:r w:rsidRPr="000524A6">
        <w:rPr>
          <w:rFonts w:ascii="Times New Roman" w:hAnsi="Times New Roman" w:cs="Times New Roman"/>
          <w:color w:val="000000" w:themeColor="text1"/>
          <w:sz w:val="24"/>
          <w:szCs w:val="24"/>
          <w:lang w:val="uk-UA"/>
        </w:rPr>
        <w:t>1.</w:t>
      </w:r>
      <w:r w:rsidRPr="000524A6">
        <w:rPr>
          <w:rFonts w:ascii="Times New Roman" w:hAnsi="Times New Roman" w:cs="Times New Roman"/>
          <w:color w:val="000000" w:themeColor="text1"/>
          <w:sz w:val="24"/>
          <w:szCs w:val="24"/>
          <w:lang w:val="uk-UA"/>
        </w:rPr>
        <w:tab/>
        <w:t xml:space="preserve">На надання фінансової підтримки </w:t>
      </w:r>
      <w:r>
        <w:rPr>
          <w:rFonts w:ascii="Times New Roman" w:hAnsi="Times New Roman" w:cs="Times New Roman"/>
          <w:color w:val="000000" w:themeColor="text1"/>
          <w:sz w:val="24"/>
          <w:szCs w:val="24"/>
          <w:lang w:val="uk-UA"/>
        </w:rPr>
        <w:t>к</w:t>
      </w:r>
      <w:r w:rsidRPr="000524A6">
        <w:rPr>
          <w:rFonts w:ascii="Times New Roman" w:hAnsi="Times New Roman" w:cs="Times New Roman"/>
          <w:color w:val="000000" w:themeColor="text1"/>
          <w:sz w:val="24"/>
          <w:szCs w:val="24"/>
          <w:lang w:val="uk-UA"/>
        </w:rPr>
        <w:t>омунальному некомерційному підприємству "Чорноморська лікарня" Чорноморської міської ради Одеського району Одеської області – 18</w:t>
      </w:r>
      <w:r>
        <w:rPr>
          <w:rFonts w:ascii="Times New Roman" w:hAnsi="Times New Roman" w:cs="Times New Roman"/>
          <w:color w:val="000000" w:themeColor="text1"/>
          <w:sz w:val="24"/>
          <w:szCs w:val="24"/>
          <w:lang w:val="uk-UA"/>
        </w:rPr>
        <w:t> </w:t>
      </w:r>
      <w:r w:rsidRPr="000524A6">
        <w:rPr>
          <w:rFonts w:ascii="Times New Roman" w:hAnsi="Times New Roman" w:cs="Times New Roman"/>
          <w:color w:val="000000" w:themeColor="text1"/>
          <w:sz w:val="24"/>
          <w:szCs w:val="24"/>
          <w:lang w:val="uk-UA"/>
        </w:rPr>
        <w:t>611</w:t>
      </w:r>
      <w:r>
        <w:rPr>
          <w:rFonts w:ascii="Times New Roman" w:hAnsi="Times New Roman" w:cs="Times New Roman"/>
          <w:color w:val="000000" w:themeColor="text1"/>
          <w:sz w:val="24"/>
          <w:szCs w:val="24"/>
          <w:lang w:val="uk-UA"/>
        </w:rPr>
        <w:t>,0 тис. грн.</w:t>
      </w:r>
      <w:r w:rsidRPr="000524A6">
        <w:rPr>
          <w:rFonts w:ascii="Times New Roman" w:hAnsi="Times New Roman" w:cs="Times New Roman"/>
          <w:color w:val="000000" w:themeColor="text1"/>
          <w:sz w:val="24"/>
          <w:szCs w:val="24"/>
          <w:lang w:val="uk-UA"/>
        </w:rPr>
        <w:t xml:space="preserve"> </w:t>
      </w:r>
    </w:p>
    <w:p w:rsidR="008A22EE" w:rsidRPr="00BA09BF" w:rsidRDefault="008A22EE" w:rsidP="008A22EE">
      <w:pPr>
        <w:spacing w:after="0" w:line="240" w:lineRule="auto"/>
        <w:ind w:firstLine="567"/>
        <w:jc w:val="both"/>
        <w:rPr>
          <w:rFonts w:ascii="Times New Roman" w:hAnsi="Times New Roman" w:cs="Times New Roman"/>
          <w:sz w:val="24"/>
          <w:szCs w:val="24"/>
          <w:lang w:val="uk-UA"/>
        </w:rPr>
      </w:pPr>
      <w:r w:rsidRPr="00BA09BF">
        <w:rPr>
          <w:rFonts w:ascii="Times New Roman" w:hAnsi="Times New Roman" w:cs="Times New Roman"/>
          <w:sz w:val="24"/>
          <w:szCs w:val="24"/>
          <w:lang w:val="uk-UA"/>
        </w:rPr>
        <w:t xml:space="preserve">2. На надання фінансової підтримки </w:t>
      </w:r>
      <w:r>
        <w:rPr>
          <w:rFonts w:ascii="Times New Roman" w:hAnsi="Times New Roman" w:cs="Times New Roman"/>
          <w:sz w:val="24"/>
          <w:szCs w:val="24"/>
          <w:lang w:val="uk-UA"/>
        </w:rPr>
        <w:t>к</w:t>
      </w:r>
      <w:r w:rsidRPr="00BA09BF">
        <w:rPr>
          <w:rFonts w:ascii="Times New Roman" w:hAnsi="Times New Roman" w:cs="Times New Roman"/>
          <w:sz w:val="24"/>
          <w:szCs w:val="24"/>
          <w:lang w:val="uk-UA"/>
        </w:rPr>
        <w:t>омунальному некомерційному підприємству "Стоматологічна поліклініка міста Чорноморська" Чорноморської міської ради Одеського району Одеської області – 10</w:t>
      </w:r>
      <w:r>
        <w:rPr>
          <w:rFonts w:ascii="Times New Roman" w:hAnsi="Times New Roman" w:cs="Times New Roman"/>
          <w:sz w:val="24"/>
          <w:szCs w:val="24"/>
          <w:lang w:val="uk-UA"/>
        </w:rPr>
        <w:t> </w:t>
      </w:r>
      <w:r w:rsidRPr="00BA09BF">
        <w:rPr>
          <w:rFonts w:ascii="Times New Roman" w:hAnsi="Times New Roman" w:cs="Times New Roman"/>
          <w:sz w:val="24"/>
          <w:szCs w:val="24"/>
          <w:lang w:val="uk-UA"/>
        </w:rPr>
        <w:t>341</w:t>
      </w:r>
      <w:r>
        <w:rPr>
          <w:rFonts w:ascii="Times New Roman" w:hAnsi="Times New Roman" w:cs="Times New Roman"/>
          <w:sz w:val="24"/>
          <w:szCs w:val="24"/>
          <w:lang w:val="uk-UA"/>
        </w:rPr>
        <w:t>,5 тис.</w:t>
      </w:r>
      <w:r w:rsidRPr="00BA09BF">
        <w:rPr>
          <w:rFonts w:ascii="Times New Roman" w:hAnsi="Times New Roman" w:cs="Times New Roman"/>
          <w:sz w:val="24"/>
          <w:szCs w:val="24"/>
          <w:lang w:val="uk-UA"/>
        </w:rPr>
        <w:t xml:space="preserve"> грн</w:t>
      </w:r>
      <w:r>
        <w:rPr>
          <w:rFonts w:ascii="Times New Roman" w:hAnsi="Times New Roman" w:cs="Times New Roman"/>
          <w:sz w:val="24"/>
          <w:szCs w:val="24"/>
          <w:lang w:val="uk-UA"/>
        </w:rPr>
        <w:t xml:space="preserve">. </w:t>
      </w:r>
      <w:r w:rsidRPr="00BA09BF">
        <w:rPr>
          <w:rFonts w:ascii="Times New Roman" w:hAnsi="Times New Roman" w:cs="Times New Roman"/>
          <w:sz w:val="24"/>
          <w:szCs w:val="24"/>
          <w:lang w:val="uk-UA"/>
        </w:rPr>
        <w:t xml:space="preserve">   </w:t>
      </w:r>
    </w:p>
    <w:p w:rsidR="008A22EE" w:rsidRPr="00AC0DD5" w:rsidRDefault="008A22EE" w:rsidP="008A22EE">
      <w:pPr>
        <w:tabs>
          <w:tab w:val="num" w:pos="0"/>
          <w:tab w:val="num" w:pos="1287"/>
          <w:tab w:val="num" w:pos="1579"/>
        </w:tabs>
        <w:spacing w:after="0" w:line="240" w:lineRule="auto"/>
        <w:ind w:right="-6"/>
        <w:mirrorIndents/>
        <w:jc w:val="both"/>
        <w:rPr>
          <w:rFonts w:ascii="Times New Roman" w:hAnsi="Times New Roman" w:cs="Times New Roman"/>
          <w:sz w:val="24"/>
          <w:szCs w:val="24"/>
          <w:highlight w:val="yellow"/>
          <w:lang w:val="uk-UA"/>
        </w:rPr>
      </w:pPr>
      <w:r w:rsidRPr="00AC0DD5">
        <w:rPr>
          <w:rFonts w:ascii="Times New Roman" w:hAnsi="Times New Roman" w:cs="Times New Roman"/>
          <w:sz w:val="24"/>
          <w:szCs w:val="24"/>
          <w:lang w:val="uk-UA"/>
        </w:rPr>
        <w:t xml:space="preserve">         3. На надання фінансової підтримки </w:t>
      </w:r>
      <w:r>
        <w:rPr>
          <w:rFonts w:ascii="Times New Roman" w:hAnsi="Times New Roman" w:cs="Times New Roman"/>
          <w:sz w:val="24"/>
          <w:szCs w:val="24"/>
          <w:lang w:val="uk-UA"/>
        </w:rPr>
        <w:t>к</w:t>
      </w:r>
      <w:r w:rsidRPr="00AC0DD5">
        <w:rPr>
          <w:rFonts w:ascii="Times New Roman" w:hAnsi="Times New Roman" w:cs="Times New Roman"/>
          <w:sz w:val="24"/>
          <w:szCs w:val="24"/>
          <w:lang w:val="uk-UA"/>
        </w:rPr>
        <w:t>омунальному некомерційному підприємству "Чорноморський міський центр первинної медико-санітарної допомоги" Чорноморської міської ради  Одеського району Одеської області – 8</w:t>
      </w:r>
      <w:r>
        <w:rPr>
          <w:rFonts w:ascii="Times New Roman" w:hAnsi="Times New Roman" w:cs="Times New Roman"/>
          <w:sz w:val="24"/>
          <w:szCs w:val="24"/>
          <w:lang w:val="uk-UA"/>
        </w:rPr>
        <w:t> </w:t>
      </w:r>
      <w:r w:rsidRPr="00AC0DD5">
        <w:rPr>
          <w:rFonts w:ascii="Times New Roman" w:hAnsi="Times New Roman" w:cs="Times New Roman"/>
          <w:sz w:val="24"/>
          <w:szCs w:val="24"/>
          <w:lang w:val="uk-UA"/>
        </w:rPr>
        <w:t>225</w:t>
      </w:r>
      <w:r>
        <w:rPr>
          <w:rFonts w:ascii="Times New Roman" w:hAnsi="Times New Roman" w:cs="Times New Roman"/>
          <w:sz w:val="24"/>
          <w:szCs w:val="24"/>
          <w:lang w:val="uk-UA"/>
        </w:rPr>
        <w:t xml:space="preserve">,2 тис. грн. </w:t>
      </w:r>
    </w:p>
    <w:p w:rsidR="008A22EE" w:rsidRPr="00776D59" w:rsidRDefault="008A22EE" w:rsidP="008A22EE">
      <w:pPr>
        <w:spacing w:after="0" w:line="240" w:lineRule="auto"/>
        <w:jc w:val="center"/>
        <w:rPr>
          <w:rFonts w:ascii="Times New Roman" w:hAnsi="Times New Roman" w:cs="Times New Roman"/>
          <w:b/>
          <w:sz w:val="24"/>
          <w:szCs w:val="24"/>
          <w:highlight w:val="yellow"/>
          <w:lang w:val="uk-UA"/>
        </w:rPr>
      </w:pPr>
    </w:p>
    <w:p w:rsidR="008A22EE" w:rsidRPr="00C2692B" w:rsidRDefault="008A22EE" w:rsidP="008A22EE">
      <w:pPr>
        <w:spacing w:after="0" w:line="240" w:lineRule="auto"/>
        <w:jc w:val="center"/>
        <w:rPr>
          <w:rFonts w:ascii="Times New Roman" w:hAnsi="Times New Roman" w:cs="Times New Roman"/>
          <w:b/>
          <w:sz w:val="24"/>
          <w:szCs w:val="24"/>
          <w:lang w:val="uk-UA"/>
        </w:rPr>
      </w:pPr>
      <w:r w:rsidRPr="00C2692B">
        <w:rPr>
          <w:rFonts w:ascii="Times New Roman" w:hAnsi="Times New Roman" w:cs="Times New Roman"/>
          <w:b/>
          <w:sz w:val="24"/>
          <w:szCs w:val="24"/>
          <w:lang w:val="uk-UA"/>
        </w:rPr>
        <w:lastRenderedPageBreak/>
        <w:t xml:space="preserve">УПРАВЛІННЯ ОСВІТИ ЧОРНОМОРСЬКОЇ МІСЬКОЇ РАДИ </w:t>
      </w:r>
    </w:p>
    <w:p w:rsidR="008A22EE" w:rsidRPr="00C2692B" w:rsidRDefault="008A22EE" w:rsidP="008A22EE">
      <w:pPr>
        <w:spacing w:after="0" w:line="240" w:lineRule="auto"/>
        <w:jc w:val="center"/>
        <w:rPr>
          <w:rFonts w:ascii="Times New Roman" w:hAnsi="Times New Roman" w:cs="Times New Roman"/>
          <w:b/>
          <w:sz w:val="24"/>
          <w:szCs w:val="24"/>
          <w:lang w:val="uk-UA"/>
        </w:rPr>
      </w:pPr>
      <w:r w:rsidRPr="00C2692B">
        <w:rPr>
          <w:rFonts w:ascii="Times New Roman" w:hAnsi="Times New Roman" w:cs="Times New Roman"/>
          <w:b/>
          <w:sz w:val="24"/>
          <w:szCs w:val="24"/>
          <w:lang w:val="uk-UA"/>
        </w:rPr>
        <w:t>ОДЕСЬКОГО РАЙОНУ ОДЕСЬКОЇ ОБЛАСТІ</w:t>
      </w:r>
    </w:p>
    <w:p w:rsidR="008A22EE" w:rsidRPr="00776D59" w:rsidRDefault="008A22EE" w:rsidP="008A22EE">
      <w:pPr>
        <w:tabs>
          <w:tab w:val="num" w:pos="0"/>
          <w:tab w:val="num" w:pos="1287"/>
          <w:tab w:val="num" w:pos="1579"/>
        </w:tabs>
        <w:spacing w:after="0" w:line="240" w:lineRule="auto"/>
        <w:ind w:right="-5" w:firstLine="567"/>
        <w:jc w:val="both"/>
        <w:rPr>
          <w:rFonts w:ascii="Times New Roman" w:hAnsi="Times New Roman" w:cs="Times New Roman"/>
          <w:sz w:val="24"/>
          <w:szCs w:val="24"/>
          <w:highlight w:val="yellow"/>
          <w:lang w:val="uk-UA"/>
        </w:rPr>
      </w:pPr>
    </w:p>
    <w:p w:rsidR="008A22EE" w:rsidRPr="00776D59" w:rsidRDefault="008A22EE" w:rsidP="008A22EE">
      <w:pPr>
        <w:spacing w:after="0" w:line="240" w:lineRule="auto"/>
        <w:ind w:right="-5" w:firstLine="567"/>
        <w:jc w:val="both"/>
        <w:rPr>
          <w:rFonts w:ascii="Times New Roman" w:hAnsi="Times New Roman" w:cs="Times New Roman"/>
          <w:i/>
          <w:sz w:val="24"/>
          <w:szCs w:val="24"/>
          <w:highlight w:val="yellow"/>
          <w:lang w:val="uk-UA"/>
        </w:rPr>
      </w:pPr>
      <w:r w:rsidRPr="00C2692B">
        <w:rPr>
          <w:rFonts w:ascii="Times New Roman" w:hAnsi="Times New Roman" w:cs="Times New Roman"/>
          <w:sz w:val="24"/>
          <w:szCs w:val="24"/>
          <w:lang w:val="uk-UA"/>
        </w:rPr>
        <w:t xml:space="preserve">Управлінню освіти Чорноморської міської ради Одеського району Одеської області в </w:t>
      </w:r>
      <w:r w:rsidRPr="00D93F45">
        <w:rPr>
          <w:rFonts w:ascii="Times New Roman" w:hAnsi="Times New Roman" w:cs="Times New Roman"/>
          <w:sz w:val="24"/>
          <w:szCs w:val="24"/>
          <w:lang w:val="uk-UA"/>
        </w:rPr>
        <w:t xml:space="preserve">проєкті бюджету Чорноморської міської територіальної громади на 2024 рік визначені бюджетні призначення </w:t>
      </w:r>
      <w:r w:rsidRPr="00D93F45">
        <w:rPr>
          <w:rFonts w:ascii="Times New Roman" w:hAnsi="Times New Roman" w:cs="Times New Roman"/>
          <w:b/>
          <w:sz w:val="24"/>
          <w:szCs w:val="24"/>
          <w:lang w:val="uk-UA"/>
        </w:rPr>
        <w:t>у сумі 452</w:t>
      </w:r>
      <w:r>
        <w:rPr>
          <w:rFonts w:ascii="Times New Roman" w:hAnsi="Times New Roman" w:cs="Times New Roman"/>
          <w:b/>
          <w:sz w:val="24"/>
          <w:szCs w:val="24"/>
          <w:lang w:val="uk-UA"/>
        </w:rPr>
        <w:t> </w:t>
      </w:r>
      <w:r w:rsidRPr="00D93F45">
        <w:rPr>
          <w:rFonts w:ascii="Times New Roman" w:hAnsi="Times New Roman" w:cs="Times New Roman"/>
          <w:b/>
          <w:sz w:val="24"/>
          <w:szCs w:val="24"/>
          <w:lang w:val="uk-UA"/>
        </w:rPr>
        <w:t>202</w:t>
      </w:r>
      <w:r>
        <w:rPr>
          <w:rFonts w:ascii="Times New Roman" w:hAnsi="Times New Roman" w:cs="Times New Roman"/>
          <w:b/>
          <w:sz w:val="24"/>
          <w:szCs w:val="24"/>
          <w:lang w:val="uk-UA"/>
        </w:rPr>
        <w:t>, тис. грн</w:t>
      </w:r>
      <w:r w:rsidRPr="00D93F45">
        <w:rPr>
          <w:rFonts w:ascii="Times New Roman" w:hAnsi="Times New Roman" w:cs="Times New Roman"/>
          <w:sz w:val="24"/>
          <w:szCs w:val="24"/>
          <w:lang w:val="uk-UA"/>
        </w:rPr>
        <w:t xml:space="preserve">, в тому числі за загальним фондом –                    </w:t>
      </w:r>
      <w:r w:rsidRPr="00D93F45">
        <w:rPr>
          <w:rFonts w:ascii="Times New Roman" w:hAnsi="Times New Roman" w:cs="Times New Roman"/>
          <w:b/>
          <w:sz w:val="24"/>
          <w:szCs w:val="24"/>
          <w:lang w:val="uk-UA"/>
        </w:rPr>
        <w:t>435</w:t>
      </w:r>
      <w:r>
        <w:rPr>
          <w:rFonts w:ascii="Times New Roman" w:hAnsi="Times New Roman" w:cs="Times New Roman"/>
          <w:b/>
          <w:sz w:val="24"/>
          <w:szCs w:val="24"/>
          <w:lang w:val="uk-UA"/>
        </w:rPr>
        <w:t> </w:t>
      </w:r>
      <w:r w:rsidRPr="00D93F45">
        <w:rPr>
          <w:rFonts w:ascii="Times New Roman" w:hAnsi="Times New Roman" w:cs="Times New Roman"/>
          <w:b/>
          <w:sz w:val="24"/>
          <w:szCs w:val="24"/>
          <w:lang w:val="uk-UA"/>
        </w:rPr>
        <w:t>702</w:t>
      </w:r>
      <w:r>
        <w:rPr>
          <w:rFonts w:ascii="Times New Roman" w:hAnsi="Times New Roman" w:cs="Times New Roman"/>
          <w:b/>
          <w:sz w:val="24"/>
          <w:szCs w:val="24"/>
          <w:lang w:val="uk-UA"/>
        </w:rPr>
        <w:t>,4 тис. грн</w:t>
      </w:r>
      <w:r w:rsidRPr="00D93F45">
        <w:rPr>
          <w:rFonts w:ascii="Times New Roman" w:hAnsi="Times New Roman" w:cs="Times New Roman"/>
          <w:sz w:val="24"/>
          <w:szCs w:val="24"/>
          <w:lang w:val="uk-UA"/>
        </w:rPr>
        <w:t xml:space="preserve"> та спеціальним фондом – </w:t>
      </w:r>
      <w:r w:rsidRPr="00D93F45">
        <w:rPr>
          <w:rFonts w:ascii="Times New Roman" w:hAnsi="Times New Roman" w:cs="Times New Roman"/>
          <w:b/>
          <w:sz w:val="24"/>
          <w:szCs w:val="24"/>
          <w:lang w:val="uk-UA"/>
        </w:rPr>
        <w:t>16</w:t>
      </w:r>
      <w:r>
        <w:rPr>
          <w:rFonts w:ascii="Times New Roman" w:hAnsi="Times New Roman" w:cs="Times New Roman"/>
          <w:b/>
          <w:sz w:val="24"/>
          <w:szCs w:val="24"/>
          <w:lang w:val="uk-UA"/>
        </w:rPr>
        <w:t> </w:t>
      </w:r>
      <w:r w:rsidRPr="00D93F45">
        <w:rPr>
          <w:rFonts w:ascii="Times New Roman" w:hAnsi="Times New Roman" w:cs="Times New Roman"/>
          <w:b/>
          <w:sz w:val="24"/>
          <w:szCs w:val="24"/>
          <w:lang w:val="uk-UA"/>
        </w:rPr>
        <w:t>500</w:t>
      </w:r>
      <w:r>
        <w:rPr>
          <w:rFonts w:ascii="Times New Roman" w:hAnsi="Times New Roman" w:cs="Times New Roman"/>
          <w:b/>
          <w:sz w:val="24"/>
          <w:szCs w:val="24"/>
          <w:lang w:val="uk-UA"/>
        </w:rPr>
        <w:t>,0 тис. грн</w:t>
      </w:r>
      <w:r w:rsidRPr="00D93F45">
        <w:rPr>
          <w:rFonts w:ascii="Times New Roman" w:hAnsi="Times New Roman" w:cs="Times New Roman"/>
          <w:i/>
          <w:sz w:val="24"/>
          <w:szCs w:val="24"/>
          <w:lang w:val="uk-UA"/>
        </w:rPr>
        <w:t xml:space="preserve"> за рахунок власних надходжень бюджетних установ.</w:t>
      </w:r>
    </w:p>
    <w:p w:rsidR="008A22EE" w:rsidRDefault="008A22EE" w:rsidP="008A22EE">
      <w:pPr>
        <w:pStyle w:val="a9"/>
        <w:ind w:right="28" w:firstLine="567"/>
        <w:jc w:val="both"/>
        <w:rPr>
          <w:lang w:val="uk-UA"/>
        </w:rPr>
      </w:pPr>
    </w:p>
    <w:p w:rsidR="008A22EE" w:rsidRPr="00F43847" w:rsidRDefault="008A22EE" w:rsidP="008A22EE">
      <w:pPr>
        <w:pStyle w:val="a9"/>
        <w:ind w:right="28" w:firstLine="567"/>
        <w:jc w:val="both"/>
        <w:rPr>
          <w:lang w:val="uk-UA"/>
        </w:rPr>
      </w:pPr>
      <w:r w:rsidRPr="00357390">
        <w:rPr>
          <w:lang w:val="uk-UA"/>
        </w:rPr>
        <w:t>На території Чорноморської міської територіальної громади функціонує мережа закладів</w:t>
      </w:r>
      <w:r>
        <w:rPr>
          <w:lang w:val="uk-UA"/>
        </w:rPr>
        <w:t xml:space="preserve"> та підрозділів</w:t>
      </w:r>
      <w:r w:rsidRPr="00357390">
        <w:rPr>
          <w:lang w:val="uk-UA"/>
        </w:rPr>
        <w:t xml:space="preserve">, підпорядкованих </w:t>
      </w:r>
      <w:r>
        <w:rPr>
          <w:lang w:val="uk-UA"/>
        </w:rPr>
        <w:t>управлінню</w:t>
      </w:r>
      <w:r w:rsidRPr="00357390">
        <w:rPr>
          <w:lang w:val="uk-UA"/>
        </w:rPr>
        <w:t xml:space="preserve"> освіти Чорноморської міської ради Одеського району Одеської області, яка  затверджена рішенням виконавчого комітету Чорноморської міської ради Одеського району Одеської області </w:t>
      </w:r>
      <w:r w:rsidRPr="00F43847">
        <w:rPr>
          <w:lang w:val="uk-UA"/>
        </w:rPr>
        <w:t>від 05.10.2023 р. № 289 (зі змінами), до якої входять:</w:t>
      </w:r>
    </w:p>
    <w:p w:rsidR="008A22EE" w:rsidRPr="00F43847" w:rsidRDefault="008A22EE" w:rsidP="00E67FF2">
      <w:pPr>
        <w:numPr>
          <w:ilvl w:val="0"/>
          <w:numId w:val="23"/>
        </w:numPr>
        <w:tabs>
          <w:tab w:val="left" w:pos="709"/>
          <w:tab w:val="left" w:pos="851"/>
        </w:tabs>
        <w:spacing w:line="240" w:lineRule="auto"/>
        <w:ind w:left="0" w:firstLine="567"/>
        <w:jc w:val="both"/>
        <w:rPr>
          <w:rFonts w:ascii="Times New Roman" w:eastAsia="Times New Roman" w:hAnsi="Times New Roman" w:cs="Times New Roman"/>
          <w:sz w:val="24"/>
          <w:szCs w:val="24"/>
          <w:lang w:val="uk-UA" w:eastAsia="ru-RU"/>
        </w:rPr>
      </w:pPr>
      <w:r w:rsidRPr="00F43847">
        <w:rPr>
          <w:rFonts w:ascii="Times New Roman" w:eastAsia="Times New Roman" w:hAnsi="Times New Roman" w:cs="Times New Roman"/>
          <w:sz w:val="24"/>
          <w:szCs w:val="24"/>
          <w:lang w:val="uk-UA" w:eastAsia="ru-RU"/>
        </w:rPr>
        <w:t>сім ліцеїв у складі 261 класу, в яких навчаються 7 096 учнів;</w:t>
      </w:r>
    </w:p>
    <w:p w:rsidR="008A22EE" w:rsidRPr="00F43847" w:rsidRDefault="008A22EE" w:rsidP="00E67FF2">
      <w:pPr>
        <w:numPr>
          <w:ilvl w:val="0"/>
          <w:numId w:val="23"/>
        </w:numPr>
        <w:tabs>
          <w:tab w:val="left" w:pos="709"/>
          <w:tab w:val="left" w:pos="851"/>
        </w:tabs>
        <w:spacing w:line="240" w:lineRule="auto"/>
        <w:ind w:left="0" w:firstLine="567"/>
        <w:jc w:val="both"/>
        <w:rPr>
          <w:rFonts w:ascii="Times New Roman" w:eastAsia="Times New Roman" w:hAnsi="Times New Roman" w:cs="Times New Roman"/>
          <w:sz w:val="24"/>
          <w:szCs w:val="24"/>
          <w:lang w:val="uk-UA" w:eastAsia="ru-RU"/>
        </w:rPr>
      </w:pPr>
      <w:r w:rsidRPr="00F43847">
        <w:rPr>
          <w:rFonts w:ascii="Times New Roman" w:eastAsia="Times New Roman" w:hAnsi="Times New Roman" w:cs="Times New Roman"/>
          <w:sz w:val="24"/>
          <w:szCs w:val="24"/>
          <w:lang w:val="uk-UA" w:eastAsia="ru-RU"/>
        </w:rPr>
        <w:t>Бурлачобалківська гімназія, в складі 9 класів, в яких навчаються 94 учня;</w:t>
      </w:r>
    </w:p>
    <w:p w:rsidR="008A22EE" w:rsidRPr="00F43847" w:rsidRDefault="008A22EE" w:rsidP="00E67FF2">
      <w:pPr>
        <w:numPr>
          <w:ilvl w:val="0"/>
          <w:numId w:val="23"/>
        </w:numPr>
        <w:tabs>
          <w:tab w:val="left" w:pos="709"/>
          <w:tab w:val="left" w:pos="851"/>
        </w:tabs>
        <w:spacing w:line="240" w:lineRule="auto"/>
        <w:ind w:left="0" w:firstLine="567"/>
        <w:jc w:val="both"/>
        <w:rPr>
          <w:rFonts w:ascii="Times New Roman" w:eastAsia="Times New Roman" w:hAnsi="Times New Roman" w:cs="Times New Roman"/>
          <w:sz w:val="24"/>
          <w:szCs w:val="24"/>
          <w:lang w:val="uk-UA" w:eastAsia="ru-RU"/>
        </w:rPr>
      </w:pPr>
      <w:r w:rsidRPr="00F43847">
        <w:rPr>
          <w:rFonts w:ascii="Times New Roman" w:eastAsia="Times New Roman" w:hAnsi="Times New Roman" w:cs="Times New Roman"/>
          <w:sz w:val="24"/>
          <w:szCs w:val="24"/>
          <w:lang w:val="uk-UA" w:eastAsia="ru-RU"/>
        </w:rPr>
        <w:t>Олександрівський та Малодолинський заклади загальної середньої освіти у складі 47 класів, в яких навчаються 1 072 учня;</w:t>
      </w:r>
    </w:p>
    <w:p w:rsidR="008A22EE" w:rsidRPr="00F43847" w:rsidRDefault="008A22EE" w:rsidP="00E67FF2">
      <w:pPr>
        <w:numPr>
          <w:ilvl w:val="0"/>
          <w:numId w:val="23"/>
        </w:numPr>
        <w:tabs>
          <w:tab w:val="left" w:pos="709"/>
          <w:tab w:val="left" w:pos="851"/>
        </w:tabs>
        <w:spacing w:line="240" w:lineRule="auto"/>
        <w:ind w:left="0" w:firstLine="567"/>
        <w:jc w:val="both"/>
        <w:rPr>
          <w:rFonts w:ascii="Times New Roman" w:eastAsia="Times New Roman" w:hAnsi="Times New Roman" w:cs="Times New Roman"/>
          <w:sz w:val="24"/>
          <w:szCs w:val="24"/>
          <w:lang w:val="uk-UA" w:eastAsia="ru-RU"/>
        </w:rPr>
      </w:pPr>
      <w:r w:rsidRPr="00F43847">
        <w:rPr>
          <w:rFonts w:ascii="Times New Roman" w:eastAsia="Times New Roman" w:hAnsi="Times New Roman" w:cs="Times New Roman"/>
          <w:sz w:val="24"/>
          <w:szCs w:val="24"/>
          <w:lang w:val="uk-UA" w:eastAsia="ru-RU"/>
        </w:rPr>
        <w:t>Чорноморська спеціальна школа Чорноморської міської ради Одеського району Одеської області у складі 16 класів спеціальної загальноосвітньої школи і 179 учнів в них; 4  спеціальних логопедичних груп дошкільного підрозділу і 60 дітей в них;</w:t>
      </w:r>
    </w:p>
    <w:p w:rsidR="008A22EE" w:rsidRPr="00F43847" w:rsidRDefault="008A22EE" w:rsidP="00E67FF2">
      <w:pPr>
        <w:numPr>
          <w:ilvl w:val="0"/>
          <w:numId w:val="23"/>
        </w:numPr>
        <w:tabs>
          <w:tab w:val="left" w:pos="709"/>
          <w:tab w:val="left" w:pos="851"/>
        </w:tabs>
        <w:spacing w:line="240" w:lineRule="auto"/>
        <w:ind w:left="0" w:firstLine="567"/>
        <w:jc w:val="both"/>
        <w:rPr>
          <w:rFonts w:ascii="Times New Roman" w:eastAsia="Times New Roman" w:hAnsi="Times New Roman" w:cs="Times New Roman"/>
          <w:sz w:val="24"/>
          <w:szCs w:val="24"/>
          <w:lang w:val="uk-UA" w:eastAsia="ru-RU"/>
        </w:rPr>
      </w:pPr>
      <w:r w:rsidRPr="00F43847">
        <w:rPr>
          <w:rFonts w:ascii="Times New Roman" w:eastAsia="Times New Roman" w:hAnsi="Times New Roman" w:cs="Times New Roman"/>
          <w:sz w:val="24"/>
          <w:szCs w:val="24"/>
          <w:lang w:val="uk-UA" w:eastAsia="ru-RU"/>
        </w:rPr>
        <w:t>комунальна установа "</w:t>
      </w:r>
      <w:proofErr w:type="spellStart"/>
      <w:r w:rsidRPr="00F43847">
        <w:rPr>
          <w:rFonts w:ascii="Times New Roman" w:eastAsia="Times New Roman" w:hAnsi="Times New Roman" w:cs="Times New Roman"/>
          <w:sz w:val="24"/>
          <w:szCs w:val="24"/>
          <w:lang w:val="uk-UA" w:eastAsia="ru-RU"/>
        </w:rPr>
        <w:t>Інклюзивно</w:t>
      </w:r>
      <w:proofErr w:type="spellEnd"/>
      <w:r w:rsidRPr="00F43847">
        <w:rPr>
          <w:rFonts w:ascii="Times New Roman" w:eastAsia="Times New Roman" w:hAnsi="Times New Roman" w:cs="Times New Roman"/>
          <w:sz w:val="24"/>
          <w:szCs w:val="24"/>
          <w:lang w:val="uk-UA" w:eastAsia="ru-RU"/>
        </w:rPr>
        <w:t xml:space="preserve">-ресурсний центр" Чорноморської міської ради Одеської області; </w:t>
      </w:r>
    </w:p>
    <w:p w:rsidR="008A22EE" w:rsidRPr="00F43847" w:rsidRDefault="008A22EE" w:rsidP="00E67FF2">
      <w:pPr>
        <w:numPr>
          <w:ilvl w:val="0"/>
          <w:numId w:val="23"/>
        </w:numPr>
        <w:tabs>
          <w:tab w:val="left" w:pos="709"/>
          <w:tab w:val="left" w:pos="851"/>
        </w:tabs>
        <w:spacing w:line="240" w:lineRule="auto"/>
        <w:ind w:left="0" w:firstLine="567"/>
        <w:jc w:val="both"/>
        <w:rPr>
          <w:rFonts w:ascii="Times New Roman" w:eastAsia="Times New Roman" w:hAnsi="Times New Roman" w:cs="Times New Roman"/>
          <w:sz w:val="24"/>
          <w:szCs w:val="24"/>
          <w:lang w:val="uk-UA" w:eastAsia="ru-RU"/>
        </w:rPr>
      </w:pPr>
      <w:r w:rsidRPr="00F43847">
        <w:rPr>
          <w:rFonts w:ascii="Times New Roman" w:eastAsia="Times New Roman" w:hAnsi="Times New Roman" w:cs="Times New Roman"/>
          <w:sz w:val="24"/>
          <w:szCs w:val="24"/>
          <w:lang w:val="uk-UA" w:eastAsia="ru-RU"/>
        </w:rPr>
        <w:t xml:space="preserve">чотири </w:t>
      </w:r>
      <w:r w:rsidRPr="00F43847">
        <w:rPr>
          <w:rFonts w:ascii="Times New Roman" w:hAnsi="Times New Roman" w:cs="Times New Roman"/>
          <w:sz w:val="24"/>
          <w:szCs w:val="24"/>
          <w:lang w:val="uk-UA"/>
        </w:rPr>
        <w:t>заклади позашкільної освіти, з них дві спортивні школи (комплексна дитячо-юнацька спортивна школа та дитячо-юнацька спортивна школа з шахів та шашок) у складі 8 відділень, 57 груп, якими охоплено 568 дітей), центр позашкільної освіти у складі 83 гуртків, 179 груп, якими охоплено 2 501 учнів та дитячий стадіон «Шкільний» у складі 10 груп, якими охоплено 160</w:t>
      </w:r>
      <w:r w:rsidRPr="00F43847">
        <w:rPr>
          <w:rFonts w:ascii="Times New Roman" w:eastAsia="Times New Roman" w:hAnsi="Times New Roman" w:cs="Times New Roman"/>
          <w:sz w:val="24"/>
          <w:szCs w:val="24"/>
          <w:lang w:val="uk-UA" w:eastAsia="ru-RU"/>
        </w:rPr>
        <w:t xml:space="preserve"> учнів;</w:t>
      </w:r>
    </w:p>
    <w:p w:rsidR="008A22EE" w:rsidRPr="00F43847" w:rsidRDefault="008A22EE" w:rsidP="00E67FF2">
      <w:pPr>
        <w:numPr>
          <w:ilvl w:val="0"/>
          <w:numId w:val="23"/>
        </w:numPr>
        <w:tabs>
          <w:tab w:val="left" w:pos="709"/>
          <w:tab w:val="left" w:pos="851"/>
        </w:tabs>
        <w:spacing w:line="240" w:lineRule="auto"/>
        <w:ind w:left="0" w:firstLine="567"/>
        <w:jc w:val="both"/>
        <w:rPr>
          <w:rFonts w:ascii="Times New Roman" w:eastAsia="Times New Roman" w:hAnsi="Times New Roman" w:cs="Times New Roman"/>
          <w:sz w:val="24"/>
          <w:szCs w:val="24"/>
          <w:lang w:val="uk-UA" w:eastAsia="ru-RU"/>
        </w:rPr>
      </w:pPr>
      <w:r w:rsidRPr="00F43847">
        <w:rPr>
          <w:rFonts w:ascii="Times New Roman" w:eastAsia="Times New Roman" w:hAnsi="Times New Roman" w:cs="Times New Roman"/>
          <w:sz w:val="24"/>
          <w:szCs w:val="24"/>
          <w:lang w:val="uk-UA" w:eastAsia="ru-RU"/>
        </w:rPr>
        <w:t>12 закладів дошкільної освіти у складі 106 груп і 2 066 дітей в них;</w:t>
      </w:r>
    </w:p>
    <w:p w:rsidR="008A22EE" w:rsidRPr="00F43847" w:rsidRDefault="008A22EE" w:rsidP="00E67FF2">
      <w:pPr>
        <w:numPr>
          <w:ilvl w:val="0"/>
          <w:numId w:val="23"/>
        </w:numPr>
        <w:tabs>
          <w:tab w:val="left" w:pos="709"/>
          <w:tab w:val="left" w:pos="851"/>
        </w:tabs>
        <w:spacing w:line="240" w:lineRule="auto"/>
        <w:ind w:left="0" w:firstLine="567"/>
        <w:jc w:val="both"/>
        <w:rPr>
          <w:rFonts w:ascii="Times New Roman" w:eastAsia="Times New Roman" w:hAnsi="Times New Roman" w:cs="Times New Roman"/>
          <w:sz w:val="24"/>
          <w:szCs w:val="24"/>
          <w:lang w:val="uk-UA" w:eastAsia="ru-RU"/>
        </w:rPr>
      </w:pPr>
      <w:r w:rsidRPr="00F43847">
        <w:rPr>
          <w:rFonts w:ascii="Times New Roman" w:eastAsia="Times New Roman" w:hAnsi="Times New Roman" w:cs="Times New Roman"/>
          <w:sz w:val="24"/>
          <w:szCs w:val="24"/>
          <w:lang w:val="uk-UA" w:eastAsia="ru-RU"/>
        </w:rPr>
        <w:t>Центр професійного розвитку педагогічних працівників Чорноморської міської ради Одеського району Одеської області;</w:t>
      </w:r>
    </w:p>
    <w:p w:rsidR="008A22EE" w:rsidRPr="00F43847" w:rsidRDefault="008A22EE" w:rsidP="00E67FF2">
      <w:pPr>
        <w:numPr>
          <w:ilvl w:val="0"/>
          <w:numId w:val="23"/>
        </w:numPr>
        <w:tabs>
          <w:tab w:val="left" w:pos="709"/>
          <w:tab w:val="left" w:pos="851"/>
        </w:tabs>
        <w:spacing w:line="240" w:lineRule="auto"/>
        <w:ind w:left="0" w:firstLine="567"/>
        <w:jc w:val="both"/>
        <w:rPr>
          <w:rFonts w:ascii="Times New Roman" w:eastAsia="Times New Roman" w:hAnsi="Times New Roman" w:cs="Times New Roman"/>
          <w:sz w:val="24"/>
          <w:szCs w:val="24"/>
          <w:lang w:val="uk-UA" w:eastAsia="ru-RU"/>
        </w:rPr>
      </w:pPr>
      <w:r w:rsidRPr="00F43847">
        <w:rPr>
          <w:rFonts w:ascii="Times New Roman" w:eastAsia="Times New Roman" w:hAnsi="Times New Roman" w:cs="Times New Roman"/>
          <w:sz w:val="24"/>
          <w:szCs w:val="24"/>
          <w:lang w:val="uk-UA" w:eastAsia="ru-RU"/>
        </w:rPr>
        <w:t>централізована бухгалтерія управління освіти Чорноморської міської ради Одеського району Одеської області;</w:t>
      </w:r>
    </w:p>
    <w:p w:rsidR="008A22EE" w:rsidRPr="00F43847" w:rsidRDefault="008A22EE" w:rsidP="00E67FF2">
      <w:pPr>
        <w:numPr>
          <w:ilvl w:val="0"/>
          <w:numId w:val="23"/>
        </w:numPr>
        <w:tabs>
          <w:tab w:val="left" w:pos="709"/>
          <w:tab w:val="left" w:pos="851"/>
        </w:tabs>
        <w:spacing w:line="240" w:lineRule="auto"/>
        <w:ind w:left="0" w:firstLine="567"/>
        <w:jc w:val="both"/>
        <w:rPr>
          <w:rFonts w:ascii="Times New Roman" w:eastAsia="Times New Roman" w:hAnsi="Times New Roman" w:cs="Times New Roman"/>
          <w:sz w:val="24"/>
          <w:szCs w:val="24"/>
          <w:lang w:val="uk-UA" w:eastAsia="ru-RU"/>
        </w:rPr>
      </w:pPr>
      <w:r w:rsidRPr="00F43847">
        <w:rPr>
          <w:rFonts w:ascii="Times New Roman" w:eastAsia="Times New Roman" w:hAnsi="Times New Roman" w:cs="Times New Roman"/>
          <w:sz w:val="24"/>
          <w:szCs w:val="24"/>
          <w:lang w:val="uk-UA" w:eastAsia="ru-RU"/>
        </w:rPr>
        <w:t>господарча група управління освіти Чорноморської міської ради Одеського району Одеської області.</w:t>
      </w:r>
    </w:p>
    <w:p w:rsidR="008A22EE" w:rsidRPr="00776D59" w:rsidRDefault="008A22EE" w:rsidP="008A22EE">
      <w:pPr>
        <w:tabs>
          <w:tab w:val="left" w:pos="709"/>
          <w:tab w:val="left" w:pos="851"/>
        </w:tabs>
        <w:spacing w:after="0" w:line="240" w:lineRule="auto"/>
        <w:jc w:val="both"/>
        <w:rPr>
          <w:rFonts w:ascii="Times New Roman" w:eastAsia="Times New Roman" w:hAnsi="Times New Roman" w:cs="Times New Roman"/>
          <w:sz w:val="24"/>
          <w:szCs w:val="24"/>
          <w:highlight w:val="yellow"/>
          <w:lang w:val="uk-UA" w:eastAsia="ru-RU"/>
        </w:rPr>
      </w:pPr>
    </w:p>
    <w:p w:rsidR="008A22EE" w:rsidRPr="00F43847" w:rsidRDefault="008A22EE" w:rsidP="008A22EE">
      <w:pPr>
        <w:tabs>
          <w:tab w:val="left" w:pos="709"/>
          <w:tab w:val="left" w:pos="851"/>
        </w:tabs>
        <w:spacing w:after="0" w:line="240" w:lineRule="auto"/>
        <w:ind w:firstLine="567"/>
        <w:jc w:val="both"/>
        <w:rPr>
          <w:rFonts w:ascii="Times New Roman" w:eastAsia="Times New Roman" w:hAnsi="Times New Roman" w:cs="Times New Roman"/>
          <w:sz w:val="24"/>
          <w:szCs w:val="24"/>
          <w:lang w:val="uk-UA" w:eastAsia="ru-RU"/>
        </w:rPr>
      </w:pPr>
      <w:r w:rsidRPr="00F43847">
        <w:rPr>
          <w:rFonts w:ascii="Times New Roman" w:eastAsia="Times New Roman" w:hAnsi="Times New Roman" w:cs="Times New Roman"/>
          <w:sz w:val="24"/>
          <w:szCs w:val="24"/>
          <w:lang w:val="uk-UA" w:eastAsia="ru-RU"/>
        </w:rPr>
        <w:t>Робота закладів дошкільної освіти Чорноморської міської ради у 2023 – 2024 навчальному році в умовах правового режиму воєнного стану організована відповідно до рішення виконавчого комітету Чорноморської міської ради Одеського району Одеської області від 05.10.2023 № 290.</w:t>
      </w:r>
    </w:p>
    <w:p w:rsidR="008A22EE" w:rsidRPr="00FC72BE" w:rsidRDefault="008A22EE" w:rsidP="008A22EE">
      <w:pPr>
        <w:tabs>
          <w:tab w:val="left" w:pos="709"/>
          <w:tab w:val="left" w:pos="851"/>
        </w:tabs>
        <w:spacing w:after="0" w:line="240" w:lineRule="auto"/>
        <w:ind w:left="-567"/>
        <w:jc w:val="both"/>
        <w:rPr>
          <w:rFonts w:ascii="Times New Roman" w:eastAsia="Times New Roman" w:hAnsi="Times New Roman" w:cs="Times New Roman"/>
          <w:sz w:val="24"/>
          <w:szCs w:val="24"/>
          <w:lang w:val="uk-UA" w:eastAsia="ru-RU"/>
        </w:rPr>
      </w:pPr>
      <w:r w:rsidRPr="00FC72BE">
        <w:rPr>
          <w:rFonts w:ascii="Times New Roman" w:eastAsia="Times New Roman" w:hAnsi="Times New Roman" w:cs="Times New Roman"/>
          <w:noProof/>
          <w:sz w:val="24"/>
          <w:szCs w:val="24"/>
          <w:lang w:val="uk-UA" w:eastAsia="uk-UA"/>
        </w:rPr>
        <w:lastRenderedPageBreak/>
        <w:drawing>
          <wp:inline distT="0" distB="0" distL="0" distR="0" wp14:anchorId="3E9FAFAB" wp14:editId="0F2305C5">
            <wp:extent cx="6324600" cy="5962650"/>
            <wp:effectExtent l="0" t="0" r="0" b="0"/>
            <wp:docPr id="2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8A22EE" w:rsidRPr="00776D59" w:rsidRDefault="008A22EE" w:rsidP="008A22EE">
      <w:pPr>
        <w:pStyle w:val="a9"/>
        <w:ind w:right="28"/>
        <w:jc w:val="both"/>
        <w:rPr>
          <w:highlight w:val="yellow"/>
          <w:lang w:val="uk-UA"/>
        </w:rPr>
      </w:pPr>
    </w:p>
    <w:p w:rsidR="008A22EE" w:rsidRPr="00443CBC" w:rsidRDefault="008A22EE" w:rsidP="008A22EE">
      <w:pPr>
        <w:pStyle w:val="a9"/>
        <w:ind w:left="14" w:right="28" w:firstLine="553"/>
        <w:jc w:val="both"/>
        <w:rPr>
          <w:lang w:val="uk-UA"/>
        </w:rPr>
      </w:pPr>
      <w:r w:rsidRPr="00443CBC">
        <w:rPr>
          <w:lang w:val="uk-UA"/>
        </w:rPr>
        <w:t>В загальному обсязі видатків загального фонду, що визначені головному розпоряднику, 96,1 % або 418</w:t>
      </w:r>
      <w:r>
        <w:rPr>
          <w:lang w:val="uk-UA"/>
        </w:rPr>
        <w:t> </w:t>
      </w:r>
      <w:r w:rsidRPr="00443CBC">
        <w:rPr>
          <w:lang w:val="uk-UA"/>
        </w:rPr>
        <w:t>742</w:t>
      </w:r>
      <w:r>
        <w:rPr>
          <w:lang w:val="uk-UA"/>
        </w:rPr>
        <w:t xml:space="preserve">,7 тис. грн </w:t>
      </w:r>
      <w:r w:rsidRPr="00443CBC">
        <w:rPr>
          <w:lang w:val="uk-UA"/>
        </w:rPr>
        <w:t xml:space="preserve"> складають  захищені видатки.</w:t>
      </w:r>
    </w:p>
    <w:p w:rsidR="008A22EE" w:rsidRDefault="008A22EE" w:rsidP="008A22EE">
      <w:pPr>
        <w:pStyle w:val="a9"/>
        <w:ind w:left="14" w:right="28" w:firstLine="553"/>
        <w:jc w:val="both"/>
        <w:rPr>
          <w:lang w:val="uk-UA"/>
        </w:rPr>
      </w:pPr>
    </w:p>
    <w:p w:rsidR="008A22EE" w:rsidRPr="00776D59" w:rsidRDefault="008A22EE" w:rsidP="008A22EE">
      <w:pPr>
        <w:pStyle w:val="a9"/>
        <w:ind w:left="14" w:right="28" w:firstLine="553"/>
        <w:jc w:val="both"/>
        <w:rPr>
          <w:highlight w:val="yellow"/>
          <w:lang w:val="uk-UA"/>
        </w:rPr>
      </w:pPr>
      <w:r w:rsidRPr="00443CBC">
        <w:rPr>
          <w:lang w:val="uk-UA"/>
        </w:rPr>
        <w:t>Видатки на оплату праці і нарахування на оплату праці розраховані у сумі                        353</w:t>
      </w:r>
      <w:r>
        <w:rPr>
          <w:lang w:val="uk-UA"/>
        </w:rPr>
        <w:t> </w:t>
      </w:r>
      <w:r w:rsidRPr="00443CBC">
        <w:rPr>
          <w:lang w:val="uk-UA"/>
        </w:rPr>
        <w:t>969</w:t>
      </w:r>
      <w:r>
        <w:rPr>
          <w:lang w:val="uk-UA"/>
        </w:rPr>
        <w:t xml:space="preserve">,8 тис. </w:t>
      </w:r>
      <w:r w:rsidRPr="00443CBC">
        <w:rPr>
          <w:lang w:val="uk-UA"/>
        </w:rPr>
        <w:t xml:space="preserve">грн, в </w:t>
      </w:r>
      <w:proofErr w:type="spellStart"/>
      <w:r w:rsidRPr="00443CBC">
        <w:rPr>
          <w:lang w:val="uk-UA"/>
        </w:rPr>
        <w:t>т.ч</w:t>
      </w:r>
      <w:proofErr w:type="spellEnd"/>
      <w:r w:rsidRPr="00443CBC">
        <w:rPr>
          <w:lang w:val="uk-UA"/>
        </w:rPr>
        <w:t>. за рахунок освітньої субвенції – 159</w:t>
      </w:r>
      <w:r>
        <w:rPr>
          <w:lang w:val="uk-UA"/>
        </w:rPr>
        <w:t> </w:t>
      </w:r>
      <w:r w:rsidRPr="00443CBC">
        <w:rPr>
          <w:lang w:val="uk-UA"/>
        </w:rPr>
        <w:t>192</w:t>
      </w:r>
      <w:r>
        <w:rPr>
          <w:lang w:val="uk-UA"/>
        </w:rPr>
        <w:t xml:space="preserve">,9 тис. </w:t>
      </w:r>
      <w:r w:rsidRPr="00443CBC">
        <w:rPr>
          <w:lang w:val="uk-UA"/>
        </w:rPr>
        <w:t>грн. Розрахунковий обсяг видатків на оплату праці з нарахуваннями забезпечить утримання 2 142 штатних одиниць закладів та підрозділів, що підпорядковуються управлінню освіти Чорноморської міської ради Одеського району Одеської області.</w:t>
      </w:r>
    </w:p>
    <w:p w:rsidR="008A22EE" w:rsidRDefault="008A22EE" w:rsidP="008A22EE">
      <w:pPr>
        <w:pStyle w:val="a9"/>
        <w:ind w:left="14" w:right="28" w:firstLine="553"/>
        <w:jc w:val="both"/>
        <w:rPr>
          <w:lang w:val="uk-UA"/>
        </w:rPr>
      </w:pPr>
    </w:p>
    <w:p w:rsidR="008A22EE" w:rsidRDefault="008A22EE" w:rsidP="008A22EE">
      <w:pPr>
        <w:pStyle w:val="a9"/>
        <w:ind w:left="14" w:right="28" w:firstLine="553"/>
        <w:jc w:val="both"/>
        <w:rPr>
          <w:lang w:val="uk-UA"/>
        </w:rPr>
      </w:pPr>
      <w:r w:rsidRPr="002957CD">
        <w:rPr>
          <w:lang w:val="uk-UA"/>
        </w:rPr>
        <w:t xml:space="preserve">Видатки на оплату комунальних послуг та енергоносіїв розраховані </w:t>
      </w:r>
      <w:r>
        <w:rPr>
          <w:lang w:val="uk-UA"/>
        </w:rPr>
        <w:t>у сумі</w:t>
      </w:r>
      <w:r w:rsidRPr="002957CD">
        <w:rPr>
          <w:lang w:val="uk-UA"/>
        </w:rPr>
        <w:t xml:space="preserve"> </w:t>
      </w:r>
      <w:r>
        <w:rPr>
          <w:lang w:val="uk-UA"/>
        </w:rPr>
        <w:t xml:space="preserve">                  36 171,8 тис. грн.</w:t>
      </w:r>
    </w:p>
    <w:p w:rsidR="008A22EE" w:rsidRDefault="008A22EE" w:rsidP="008A22EE">
      <w:pPr>
        <w:pStyle w:val="a9"/>
        <w:ind w:left="14" w:right="28" w:firstLine="553"/>
        <w:jc w:val="both"/>
        <w:rPr>
          <w:lang w:val="uk-UA"/>
        </w:rPr>
      </w:pPr>
    </w:p>
    <w:p w:rsidR="008A22EE" w:rsidRPr="005844DE" w:rsidRDefault="008A22EE" w:rsidP="008A22EE">
      <w:pPr>
        <w:pStyle w:val="a9"/>
        <w:ind w:left="14" w:right="28" w:firstLine="553"/>
        <w:jc w:val="both"/>
        <w:rPr>
          <w:lang w:val="uk-UA"/>
        </w:rPr>
      </w:pPr>
      <w:r w:rsidRPr="005844DE">
        <w:rPr>
          <w:lang w:val="uk-UA"/>
        </w:rPr>
        <w:t>Видатки на харчування в загальному фонді розраховані у сумі 24</w:t>
      </w:r>
      <w:r>
        <w:rPr>
          <w:lang w:val="uk-UA"/>
        </w:rPr>
        <w:t> </w:t>
      </w:r>
      <w:r w:rsidRPr="005844DE">
        <w:rPr>
          <w:lang w:val="uk-UA"/>
        </w:rPr>
        <w:t>430</w:t>
      </w:r>
      <w:r>
        <w:rPr>
          <w:lang w:val="uk-UA"/>
        </w:rPr>
        <w:t>,0 тис. г</w:t>
      </w:r>
      <w:r w:rsidRPr="005844DE">
        <w:rPr>
          <w:lang w:val="uk-UA"/>
        </w:rPr>
        <w:t>рн, із яких:</w:t>
      </w:r>
    </w:p>
    <w:p w:rsidR="008A22EE" w:rsidRPr="005844DE" w:rsidRDefault="008A22EE" w:rsidP="00E67FF2">
      <w:pPr>
        <w:pStyle w:val="a9"/>
        <w:numPr>
          <w:ilvl w:val="0"/>
          <w:numId w:val="14"/>
        </w:numPr>
        <w:tabs>
          <w:tab w:val="clear" w:pos="720"/>
        </w:tabs>
        <w:ind w:left="0" w:right="28" w:firstLine="567"/>
        <w:jc w:val="both"/>
        <w:rPr>
          <w:lang w:val="uk-UA"/>
        </w:rPr>
      </w:pPr>
      <w:r w:rsidRPr="005844DE">
        <w:rPr>
          <w:b/>
          <w:lang w:val="uk-UA"/>
        </w:rPr>
        <w:t xml:space="preserve">для закладів дошкільної освіти </w:t>
      </w:r>
      <w:r w:rsidRPr="005844DE">
        <w:rPr>
          <w:lang w:val="uk-UA"/>
        </w:rPr>
        <w:t>– 7</w:t>
      </w:r>
      <w:r>
        <w:rPr>
          <w:lang w:val="uk-UA"/>
        </w:rPr>
        <w:t> </w:t>
      </w:r>
      <w:r w:rsidRPr="005844DE">
        <w:rPr>
          <w:lang w:val="uk-UA"/>
        </w:rPr>
        <w:t>000</w:t>
      </w:r>
      <w:r>
        <w:rPr>
          <w:lang w:val="uk-UA"/>
        </w:rPr>
        <w:t xml:space="preserve">,0 тис. </w:t>
      </w:r>
      <w:r w:rsidRPr="005844DE">
        <w:rPr>
          <w:lang w:val="uk-UA"/>
        </w:rPr>
        <w:t>грн, які розраховані з урахуванням відшкодування вартості харчування за рахунок коштів бюджету громади на рівні 30 % вартості харчування в день на одну дитину.</w:t>
      </w:r>
    </w:p>
    <w:p w:rsidR="008A22EE" w:rsidRDefault="008A22EE" w:rsidP="008A22EE">
      <w:pPr>
        <w:pStyle w:val="a9"/>
        <w:ind w:left="14" w:right="28" w:firstLine="553"/>
        <w:jc w:val="both"/>
        <w:rPr>
          <w:lang w:val="uk-UA"/>
        </w:rPr>
      </w:pPr>
    </w:p>
    <w:p w:rsidR="008A22EE" w:rsidRDefault="008A22EE" w:rsidP="008A22EE">
      <w:pPr>
        <w:pStyle w:val="a9"/>
        <w:ind w:left="14" w:right="28" w:firstLine="553"/>
        <w:jc w:val="both"/>
        <w:rPr>
          <w:lang w:val="uk-UA"/>
        </w:rPr>
      </w:pPr>
      <w:r w:rsidRPr="005844DE">
        <w:rPr>
          <w:lang w:val="uk-UA"/>
        </w:rPr>
        <w:t>Розмір батьківської плати за харчування дітей, місце реєстрації яких на території Чорноморської міської ради Одеського району Одеської області, в дошкільних навчальних закладах становить не менше 70 відсотків від вартості харчування в день на одну дитину.</w:t>
      </w:r>
    </w:p>
    <w:p w:rsidR="008A22EE" w:rsidRPr="005844DE" w:rsidRDefault="008A22EE" w:rsidP="008A22EE">
      <w:pPr>
        <w:pStyle w:val="a9"/>
        <w:ind w:left="14" w:right="28" w:firstLine="553"/>
        <w:jc w:val="both"/>
        <w:rPr>
          <w:lang w:val="uk-UA"/>
        </w:rPr>
      </w:pPr>
    </w:p>
    <w:p w:rsidR="008A22EE" w:rsidRPr="0070276F" w:rsidRDefault="008A22EE" w:rsidP="008A22EE">
      <w:pPr>
        <w:pStyle w:val="a9"/>
        <w:ind w:left="14" w:right="28" w:firstLine="553"/>
        <w:jc w:val="both"/>
        <w:rPr>
          <w:lang w:val="uk-UA"/>
        </w:rPr>
      </w:pPr>
      <w:r w:rsidRPr="0070276F">
        <w:rPr>
          <w:lang w:val="uk-UA"/>
        </w:rPr>
        <w:lastRenderedPageBreak/>
        <w:t xml:space="preserve">- </w:t>
      </w:r>
      <w:r w:rsidRPr="0070276F">
        <w:rPr>
          <w:b/>
          <w:lang w:val="uk-UA"/>
        </w:rPr>
        <w:t>для Чорноморської спеціальної школи</w:t>
      </w:r>
      <w:r w:rsidRPr="0070276F">
        <w:rPr>
          <w:lang w:val="uk-UA"/>
        </w:rPr>
        <w:t xml:space="preserve"> – 1</w:t>
      </w:r>
      <w:r>
        <w:rPr>
          <w:lang w:val="uk-UA"/>
        </w:rPr>
        <w:t> </w:t>
      </w:r>
      <w:r w:rsidRPr="0070276F">
        <w:rPr>
          <w:lang w:val="uk-UA"/>
        </w:rPr>
        <w:t>100</w:t>
      </w:r>
      <w:r>
        <w:rPr>
          <w:lang w:val="uk-UA"/>
        </w:rPr>
        <w:t>,0 тис. грн</w:t>
      </w:r>
      <w:r w:rsidRPr="0070276F">
        <w:rPr>
          <w:lang w:val="uk-UA"/>
        </w:rPr>
        <w:t>, що дозволить забезпечити безоплатне гаряче харчування</w:t>
      </w:r>
      <w:r>
        <w:rPr>
          <w:lang w:val="uk-UA"/>
        </w:rPr>
        <w:t xml:space="preserve"> здобувачів освіти </w:t>
      </w:r>
      <w:r w:rsidRPr="0070276F">
        <w:rPr>
          <w:lang w:val="uk-UA"/>
        </w:rPr>
        <w:t>спеціальної школи за таким режимом:</w:t>
      </w:r>
    </w:p>
    <w:p w:rsidR="008A22EE" w:rsidRPr="0070276F" w:rsidRDefault="008A22EE" w:rsidP="00E67FF2">
      <w:pPr>
        <w:pStyle w:val="a9"/>
        <w:numPr>
          <w:ilvl w:val="0"/>
          <w:numId w:val="25"/>
        </w:numPr>
        <w:tabs>
          <w:tab w:val="left" w:pos="709"/>
          <w:tab w:val="left" w:pos="851"/>
        </w:tabs>
        <w:ind w:left="0" w:right="28" w:firstLine="567"/>
        <w:jc w:val="both"/>
        <w:rPr>
          <w:lang w:val="uk-UA"/>
        </w:rPr>
      </w:pPr>
      <w:r w:rsidRPr="0070276F">
        <w:rPr>
          <w:lang w:val="uk-UA"/>
        </w:rPr>
        <w:t xml:space="preserve">учнів 1-4 класів, які відвідують групи продовженого дня, - дворазовим </w:t>
      </w:r>
      <w:r>
        <w:rPr>
          <w:lang w:val="uk-UA"/>
        </w:rPr>
        <w:t xml:space="preserve">харчуванням </w:t>
      </w:r>
      <w:r w:rsidRPr="0070276F">
        <w:rPr>
          <w:lang w:val="uk-UA"/>
        </w:rPr>
        <w:t>(сніданок, обід),</w:t>
      </w:r>
      <w:r>
        <w:rPr>
          <w:lang w:val="uk-UA"/>
        </w:rPr>
        <w:t xml:space="preserve"> вартістю 82,89 грн</w:t>
      </w:r>
      <w:r w:rsidRPr="0070276F">
        <w:rPr>
          <w:lang w:val="uk-UA"/>
        </w:rPr>
        <w:t>;</w:t>
      </w:r>
    </w:p>
    <w:p w:rsidR="008A22EE" w:rsidRDefault="008A22EE" w:rsidP="00E67FF2">
      <w:pPr>
        <w:pStyle w:val="a9"/>
        <w:numPr>
          <w:ilvl w:val="0"/>
          <w:numId w:val="25"/>
        </w:numPr>
        <w:tabs>
          <w:tab w:val="left" w:pos="709"/>
          <w:tab w:val="left" w:pos="851"/>
        </w:tabs>
        <w:ind w:left="0" w:right="28" w:firstLine="567"/>
        <w:jc w:val="both"/>
        <w:rPr>
          <w:lang w:val="uk-UA"/>
        </w:rPr>
      </w:pPr>
      <w:r w:rsidRPr="0070276F">
        <w:rPr>
          <w:lang w:val="uk-UA"/>
        </w:rPr>
        <w:t>учнів 5-9 класів – дворазовим</w:t>
      </w:r>
      <w:r>
        <w:rPr>
          <w:lang w:val="uk-UA"/>
        </w:rPr>
        <w:t xml:space="preserve"> харчуванням </w:t>
      </w:r>
      <w:r w:rsidRPr="0070276F">
        <w:rPr>
          <w:lang w:val="uk-UA"/>
        </w:rPr>
        <w:t xml:space="preserve"> (сніданок, обід)</w:t>
      </w:r>
      <w:r>
        <w:rPr>
          <w:lang w:val="uk-UA"/>
        </w:rPr>
        <w:t>, вартістю 93,22 грн;</w:t>
      </w:r>
    </w:p>
    <w:p w:rsidR="008A22EE" w:rsidRDefault="008A22EE" w:rsidP="00E67FF2">
      <w:pPr>
        <w:pStyle w:val="a9"/>
        <w:numPr>
          <w:ilvl w:val="0"/>
          <w:numId w:val="25"/>
        </w:numPr>
        <w:tabs>
          <w:tab w:val="left" w:pos="709"/>
          <w:tab w:val="left" w:pos="851"/>
        </w:tabs>
        <w:ind w:left="0" w:right="28" w:firstLine="567"/>
        <w:jc w:val="both"/>
        <w:rPr>
          <w:lang w:val="uk-UA"/>
        </w:rPr>
      </w:pPr>
      <w:r>
        <w:rPr>
          <w:lang w:val="uk-UA"/>
        </w:rPr>
        <w:t xml:space="preserve">дітей, які відвідують </w:t>
      </w:r>
      <w:r w:rsidRPr="00F43847">
        <w:rPr>
          <w:lang w:val="uk-UA"/>
        </w:rPr>
        <w:t>спеціал</w:t>
      </w:r>
      <w:r>
        <w:rPr>
          <w:lang w:val="uk-UA"/>
        </w:rPr>
        <w:t xml:space="preserve">ьні </w:t>
      </w:r>
      <w:r w:rsidRPr="00F43847">
        <w:rPr>
          <w:lang w:val="uk-UA"/>
        </w:rPr>
        <w:t>логопедичн</w:t>
      </w:r>
      <w:r>
        <w:rPr>
          <w:lang w:val="uk-UA"/>
        </w:rPr>
        <w:t>і</w:t>
      </w:r>
      <w:r w:rsidRPr="00F43847">
        <w:rPr>
          <w:lang w:val="uk-UA"/>
        </w:rPr>
        <w:t xml:space="preserve"> груп</w:t>
      </w:r>
      <w:r>
        <w:rPr>
          <w:lang w:val="uk-UA"/>
        </w:rPr>
        <w:t>и</w:t>
      </w:r>
      <w:r w:rsidRPr="00F43847">
        <w:rPr>
          <w:lang w:val="uk-UA"/>
        </w:rPr>
        <w:t xml:space="preserve"> дошкільного підрозділу</w:t>
      </w:r>
      <w:r>
        <w:rPr>
          <w:lang w:val="uk-UA"/>
        </w:rPr>
        <w:t xml:space="preserve"> вартістю:</w:t>
      </w:r>
    </w:p>
    <w:p w:rsidR="008A22EE" w:rsidRPr="00153096" w:rsidRDefault="008A22EE" w:rsidP="008A22EE">
      <w:pPr>
        <w:pStyle w:val="af"/>
        <w:tabs>
          <w:tab w:val="left" w:pos="709"/>
          <w:tab w:val="left" w:pos="851"/>
        </w:tabs>
        <w:spacing w:before="0" w:beforeAutospacing="0" w:after="0" w:afterAutospacing="0"/>
        <w:ind w:firstLine="567"/>
        <w:rPr>
          <w:lang w:val="uk-UA"/>
        </w:rPr>
      </w:pPr>
      <w:r>
        <w:rPr>
          <w:lang w:val="uk-UA"/>
        </w:rPr>
        <w:t xml:space="preserve">- </w:t>
      </w:r>
      <w:r w:rsidRPr="00153096">
        <w:rPr>
          <w:lang w:val="uk-UA"/>
        </w:rPr>
        <w:t xml:space="preserve">51 грн 98 </w:t>
      </w:r>
      <w:proofErr w:type="spellStart"/>
      <w:r w:rsidRPr="00153096">
        <w:rPr>
          <w:lang w:val="uk-UA"/>
        </w:rPr>
        <w:t>коп</w:t>
      </w:r>
      <w:proofErr w:type="spellEnd"/>
      <w:r w:rsidRPr="00153096">
        <w:rPr>
          <w:lang w:val="uk-UA"/>
        </w:rPr>
        <w:t xml:space="preserve"> за кожний день перебування дитини в закладі дошкільної освіти для дітей, які відвідують  групи раннього віку короткотривалого перебування (1 молодша та 2 молодша групи);</w:t>
      </w:r>
    </w:p>
    <w:p w:rsidR="008A22EE" w:rsidRPr="00153096" w:rsidRDefault="008A22EE" w:rsidP="008A22EE">
      <w:pPr>
        <w:pStyle w:val="af"/>
        <w:tabs>
          <w:tab w:val="left" w:pos="709"/>
          <w:tab w:val="left" w:pos="851"/>
        </w:tabs>
        <w:spacing w:before="0" w:beforeAutospacing="0" w:after="0" w:afterAutospacing="0"/>
        <w:ind w:firstLine="567"/>
        <w:rPr>
          <w:lang w:val="uk-UA"/>
        </w:rPr>
      </w:pPr>
      <w:r>
        <w:rPr>
          <w:lang w:val="uk-UA"/>
        </w:rPr>
        <w:t>-</w:t>
      </w:r>
      <w:r w:rsidRPr="00153096">
        <w:rPr>
          <w:lang w:val="uk-UA"/>
        </w:rPr>
        <w:t xml:space="preserve"> 66 грн 01 </w:t>
      </w:r>
      <w:proofErr w:type="spellStart"/>
      <w:r w:rsidRPr="00153096">
        <w:rPr>
          <w:lang w:val="uk-UA"/>
        </w:rPr>
        <w:t>коп</w:t>
      </w:r>
      <w:proofErr w:type="spellEnd"/>
      <w:r w:rsidRPr="00153096">
        <w:rPr>
          <w:lang w:val="uk-UA"/>
        </w:rPr>
        <w:t xml:space="preserve"> за кожний день перебування дитини в закладі дошкільної освіти для дітей, які відвідують групи дошкільного віку короткотривалого перебування (середня та старша групи);</w:t>
      </w:r>
    </w:p>
    <w:p w:rsidR="008A22EE" w:rsidRDefault="008A22EE" w:rsidP="008A22EE">
      <w:pPr>
        <w:pStyle w:val="a9"/>
        <w:ind w:right="28" w:firstLine="567"/>
        <w:jc w:val="both"/>
        <w:rPr>
          <w:lang w:val="uk-UA"/>
        </w:rPr>
      </w:pPr>
    </w:p>
    <w:p w:rsidR="008A22EE" w:rsidRDefault="008A22EE" w:rsidP="008A22EE">
      <w:pPr>
        <w:pStyle w:val="a9"/>
        <w:ind w:right="28" w:firstLine="567"/>
        <w:jc w:val="both"/>
        <w:rPr>
          <w:lang w:val="uk-UA"/>
        </w:rPr>
      </w:pPr>
      <w:r w:rsidRPr="0070276F">
        <w:rPr>
          <w:lang w:val="uk-UA"/>
        </w:rPr>
        <w:t>-</w:t>
      </w:r>
      <w:r w:rsidRPr="0070276F">
        <w:rPr>
          <w:lang w:val="uk-UA"/>
        </w:rPr>
        <w:tab/>
      </w:r>
      <w:r w:rsidRPr="0070276F">
        <w:rPr>
          <w:b/>
          <w:lang w:val="uk-UA"/>
        </w:rPr>
        <w:t xml:space="preserve">для закладів загальної середньої освіти </w:t>
      </w:r>
      <w:r w:rsidRPr="0070276F">
        <w:rPr>
          <w:lang w:val="uk-UA"/>
        </w:rPr>
        <w:t>– 15</w:t>
      </w:r>
      <w:r>
        <w:rPr>
          <w:lang w:val="uk-UA"/>
        </w:rPr>
        <w:t> </w:t>
      </w:r>
      <w:r w:rsidRPr="0070276F">
        <w:rPr>
          <w:lang w:val="uk-UA"/>
        </w:rPr>
        <w:t>000</w:t>
      </w:r>
      <w:r>
        <w:rPr>
          <w:lang w:val="uk-UA"/>
        </w:rPr>
        <w:t xml:space="preserve">,0 тис. </w:t>
      </w:r>
      <w:r w:rsidRPr="0070276F">
        <w:rPr>
          <w:lang w:val="uk-UA"/>
        </w:rPr>
        <w:t>грн,  за рахунок яких буде організовано безоплатне одноразове гаряче харчування учнів 1-4 класів, дітей-сиріт та дітей, позбавлених батьківського піклув</w:t>
      </w:r>
      <w:r>
        <w:rPr>
          <w:lang w:val="uk-UA"/>
        </w:rPr>
        <w:t xml:space="preserve">ання, учнів пільгових категорій. </w:t>
      </w:r>
    </w:p>
    <w:p w:rsidR="008A22EE" w:rsidRDefault="008A22EE" w:rsidP="008A22EE">
      <w:pPr>
        <w:pStyle w:val="a9"/>
        <w:ind w:left="14" w:right="28" w:firstLine="553"/>
        <w:jc w:val="both"/>
        <w:rPr>
          <w:b/>
          <w:lang w:val="uk-UA"/>
        </w:rPr>
      </w:pPr>
    </w:p>
    <w:p w:rsidR="008A22EE" w:rsidRPr="00EC0E4F" w:rsidRDefault="008A22EE" w:rsidP="008A22EE">
      <w:pPr>
        <w:pStyle w:val="a9"/>
        <w:ind w:left="14" w:right="28" w:firstLine="553"/>
        <w:jc w:val="both"/>
        <w:rPr>
          <w:lang w:val="uk-UA"/>
        </w:rPr>
      </w:pPr>
      <w:r w:rsidRPr="00EC0E4F">
        <w:rPr>
          <w:b/>
          <w:lang w:val="uk-UA"/>
        </w:rPr>
        <w:t xml:space="preserve">-  на харчування дітей  у таборах денного перебування – </w:t>
      </w:r>
      <w:r w:rsidRPr="00EC0E4F">
        <w:rPr>
          <w:lang w:val="uk-UA"/>
        </w:rPr>
        <w:t>1</w:t>
      </w:r>
      <w:r>
        <w:rPr>
          <w:lang w:val="uk-UA"/>
        </w:rPr>
        <w:t> </w:t>
      </w:r>
      <w:r w:rsidRPr="00EC0E4F">
        <w:rPr>
          <w:lang w:val="uk-UA"/>
        </w:rPr>
        <w:t>330</w:t>
      </w:r>
      <w:r>
        <w:rPr>
          <w:lang w:val="uk-UA"/>
        </w:rPr>
        <w:t xml:space="preserve">,0 тис. грн. </w:t>
      </w:r>
    </w:p>
    <w:p w:rsidR="008A22EE" w:rsidRPr="00776D59" w:rsidRDefault="008A22EE" w:rsidP="008A22EE">
      <w:pPr>
        <w:spacing w:after="0" w:line="240" w:lineRule="auto"/>
        <w:ind w:right="3" w:firstLine="567"/>
        <w:jc w:val="both"/>
        <w:rPr>
          <w:rFonts w:ascii="Times New Roman" w:hAnsi="Times New Roman" w:cs="Times New Roman"/>
          <w:sz w:val="24"/>
          <w:szCs w:val="24"/>
          <w:highlight w:val="yellow"/>
          <w:lang w:val="uk-UA"/>
        </w:rPr>
      </w:pPr>
      <w:r w:rsidRPr="00EC0E4F">
        <w:rPr>
          <w:rFonts w:ascii="Times New Roman" w:hAnsi="Times New Roman" w:cs="Times New Roman"/>
          <w:sz w:val="24"/>
          <w:szCs w:val="24"/>
          <w:lang w:val="uk-UA"/>
        </w:rPr>
        <w:t>Видатки на інші виплати населенню на 2024 рік враховані у сумі 3</w:t>
      </w:r>
      <w:r>
        <w:rPr>
          <w:rFonts w:ascii="Times New Roman" w:hAnsi="Times New Roman" w:cs="Times New Roman"/>
          <w:sz w:val="24"/>
          <w:szCs w:val="24"/>
          <w:lang w:val="uk-UA"/>
        </w:rPr>
        <w:t> </w:t>
      </w:r>
      <w:r w:rsidRPr="00EC0E4F">
        <w:rPr>
          <w:rFonts w:ascii="Times New Roman" w:hAnsi="Times New Roman" w:cs="Times New Roman"/>
          <w:sz w:val="24"/>
          <w:szCs w:val="24"/>
          <w:lang w:val="uk-UA"/>
        </w:rPr>
        <w:t>100</w:t>
      </w:r>
      <w:r>
        <w:rPr>
          <w:rFonts w:ascii="Times New Roman" w:hAnsi="Times New Roman" w:cs="Times New Roman"/>
          <w:sz w:val="24"/>
          <w:szCs w:val="24"/>
          <w:lang w:val="uk-UA"/>
        </w:rPr>
        <w:t>,0 тис. грн</w:t>
      </w:r>
      <w:r w:rsidRPr="00EC0E4F">
        <w:rPr>
          <w:rFonts w:ascii="Times New Roman" w:hAnsi="Times New Roman" w:cs="Times New Roman"/>
          <w:sz w:val="24"/>
          <w:szCs w:val="24"/>
          <w:lang w:val="uk-UA"/>
        </w:rPr>
        <w:t>, які, зокрема, будуть спрямовані за наступними напрямками:</w:t>
      </w:r>
    </w:p>
    <w:p w:rsidR="008A22EE" w:rsidRPr="001D55AF" w:rsidRDefault="008A22EE" w:rsidP="00E67FF2">
      <w:pPr>
        <w:pStyle w:val="a4"/>
        <w:numPr>
          <w:ilvl w:val="0"/>
          <w:numId w:val="20"/>
        </w:numPr>
        <w:spacing w:after="0" w:line="240" w:lineRule="auto"/>
        <w:ind w:left="0" w:right="3" w:firstLine="567"/>
        <w:jc w:val="both"/>
        <w:rPr>
          <w:rFonts w:ascii="Times New Roman" w:hAnsi="Times New Roman" w:cs="Times New Roman"/>
          <w:sz w:val="24"/>
          <w:szCs w:val="24"/>
          <w:lang w:val="uk-UA"/>
        </w:rPr>
      </w:pPr>
      <w:r w:rsidRPr="001D55AF">
        <w:rPr>
          <w:rFonts w:ascii="Times New Roman" w:hAnsi="Times New Roman" w:cs="Times New Roman"/>
          <w:sz w:val="24"/>
          <w:szCs w:val="24"/>
          <w:lang w:val="uk-UA"/>
        </w:rPr>
        <w:t xml:space="preserve"> на виплату одноразової допомоги дітям - сиротам та дітям, позбавлених батьківського піклування, яким виповнилося 18 років, відповідно до постанови Кабінету Міністрів України від 25 серпня 2005р. № 823 (зі змінами та доповненнями) та Закону України "Про охорону дитинства";</w:t>
      </w:r>
    </w:p>
    <w:p w:rsidR="008A22EE" w:rsidRPr="001D55AF" w:rsidRDefault="008A22EE" w:rsidP="00E67FF2">
      <w:pPr>
        <w:pStyle w:val="a4"/>
        <w:numPr>
          <w:ilvl w:val="0"/>
          <w:numId w:val="20"/>
        </w:numPr>
        <w:autoSpaceDE w:val="0"/>
        <w:autoSpaceDN w:val="0"/>
        <w:adjustRightInd w:val="0"/>
        <w:spacing w:after="0" w:line="240" w:lineRule="auto"/>
        <w:ind w:left="0" w:firstLine="567"/>
        <w:jc w:val="both"/>
        <w:rPr>
          <w:rFonts w:ascii="Times New Roman" w:hAnsi="Times New Roman" w:cs="Times New Roman"/>
          <w:sz w:val="24"/>
          <w:szCs w:val="24"/>
          <w:lang w:val="uk-UA"/>
        </w:rPr>
      </w:pPr>
      <w:r w:rsidRPr="001D55AF">
        <w:rPr>
          <w:rFonts w:ascii="Times New Roman" w:hAnsi="Times New Roman" w:cs="Times New Roman"/>
          <w:sz w:val="24"/>
          <w:szCs w:val="24"/>
          <w:lang w:val="uk-UA"/>
        </w:rPr>
        <w:t>на щомісячну адресну допомогу ветеранам педагогічної праці згідно Міської програми соціального захисту ветеранів педагогічної праці;</w:t>
      </w:r>
    </w:p>
    <w:p w:rsidR="008A22EE" w:rsidRPr="001D55AF" w:rsidRDefault="008A22EE" w:rsidP="00E67FF2">
      <w:pPr>
        <w:pStyle w:val="a4"/>
        <w:numPr>
          <w:ilvl w:val="0"/>
          <w:numId w:val="20"/>
        </w:numPr>
        <w:autoSpaceDE w:val="0"/>
        <w:autoSpaceDN w:val="0"/>
        <w:adjustRightInd w:val="0"/>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матеріальну</w:t>
      </w:r>
      <w:r w:rsidRPr="001D55AF">
        <w:rPr>
          <w:rFonts w:ascii="Times New Roman" w:hAnsi="Times New Roman" w:cs="Times New Roman"/>
          <w:sz w:val="24"/>
          <w:szCs w:val="24"/>
          <w:lang w:val="uk-UA"/>
        </w:rPr>
        <w:t xml:space="preserve"> допомог</w:t>
      </w:r>
      <w:r>
        <w:rPr>
          <w:rFonts w:ascii="Times New Roman" w:hAnsi="Times New Roman" w:cs="Times New Roman"/>
          <w:sz w:val="24"/>
          <w:szCs w:val="24"/>
          <w:lang w:val="uk-UA"/>
        </w:rPr>
        <w:t>у</w:t>
      </w:r>
      <w:r w:rsidRPr="001D55AF">
        <w:rPr>
          <w:rFonts w:ascii="Times New Roman" w:hAnsi="Times New Roman" w:cs="Times New Roman"/>
          <w:sz w:val="24"/>
          <w:szCs w:val="24"/>
          <w:lang w:val="uk-UA"/>
        </w:rPr>
        <w:t xml:space="preserve"> дітям-сиротам і дітям, позбавленим батьківського піклування, з числа випускників закладів загальної середньої освіти;</w:t>
      </w:r>
    </w:p>
    <w:p w:rsidR="008A22EE" w:rsidRPr="001D55AF" w:rsidRDefault="008A22EE" w:rsidP="00E67FF2">
      <w:pPr>
        <w:pStyle w:val="a4"/>
        <w:numPr>
          <w:ilvl w:val="0"/>
          <w:numId w:val="20"/>
        </w:numPr>
        <w:autoSpaceDE w:val="0"/>
        <w:autoSpaceDN w:val="0"/>
        <w:adjustRightInd w:val="0"/>
        <w:spacing w:after="0" w:line="240" w:lineRule="auto"/>
        <w:ind w:left="0" w:firstLine="567"/>
        <w:jc w:val="both"/>
        <w:rPr>
          <w:rFonts w:ascii="Times New Roman" w:hAnsi="Times New Roman" w:cs="Times New Roman"/>
          <w:sz w:val="24"/>
          <w:szCs w:val="24"/>
          <w:lang w:val="uk-UA"/>
        </w:rPr>
      </w:pPr>
      <w:r w:rsidRPr="001D55AF">
        <w:rPr>
          <w:rFonts w:ascii="Times New Roman" w:hAnsi="Times New Roman" w:cs="Times New Roman"/>
          <w:sz w:val="24"/>
          <w:szCs w:val="24"/>
          <w:lang w:val="uk-UA"/>
        </w:rPr>
        <w:t xml:space="preserve">на безоплатне забезпечення </w:t>
      </w:r>
      <w:r w:rsidRPr="001D55AF">
        <w:rPr>
          <w:rFonts w:ascii="Times New Roman" w:hAnsi="Times New Roman" w:cs="Times New Roman"/>
          <w:color w:val="212529"/>
          <w:sz w:val="24"/>
          <w:szCs w:val="24"/>
          <w:shd w:val="clear" w:color="auto" w:fill="FFFFFF"/>
          <w:lang w:val="uk-UA"/>
        </w:rPr>
        <w:t>дітей-сиріт і дітей, позбавлених  батьківського піклування, що  перебувають  під  опікою  (піклуванням),  на період навчання у загальноосвітній   школі  шкільною  і спортивною   формами</w:t>
      </w:r>
      <w:r w:rsidRPr="001D55AF">
        <w:rPr>
          <w:rFonts w:ascii="Times New Roman" w:hAnsi="Times New Roman" w:cs="Times New Roman"/>
          <w:sz w:val="24"/>
          <w:szCs w:val="24"/>
          <w:lang w:val="uk-UA"/>
        </w:rPr>
        <w:t xml:space="preserve"> відповідно до постанови Кабінету Міністрів України від 5 квітня 1994р. № 226 (із змінами);</w:t>
      </w:r>
    </w:p>
    <w:p w:rsidR="008A22EE" w:rsidRPr="001D55AF" w:rsidRDefault="008A22EE" w:rsidP="00E67FF2">
      <w:pPr>
        <w:pStyle w:val="a4"/>
        <w:numPr>
          <w:ilvl w:val="0"/>
          <w:numId w:val="20"/>
        </w:numPr>
        <w:autoSpaceDE w:val="0"/>
        <w:autoSpaceDN w:val="0"/>
        <w:adjustRightInd w:val="0"/>
        <w:spacing w:after="0" w:line="240" w:lineRule="auto"/>
        <w:ind w:left="0" w:firstLine="567"/>
        <w:jc w:val="both"/>
        <w:rPr>
          <w:rFonts w:ascii="Times New Roman" w:hAnsi="Times New Roman" w:cs="Times New Roman"/>
          <w:sz w:val="24"/>
          <w:szCs w:val="24"/>
          <w:lang w:val="uk-UA"/>
        </w:rPr>
      </w:pPr>
      <w:r w:rsidRPr="001D55AF">
        <w:rPr>
          <w:rFonts w:ascii="Times New Roman" w:hAnsi="Times New Roman" w:cs="Times New Roman"/>
          <w:sz w:val="24"/>
          <w:szCs w:val="24"/>
          <w:lang w:val="uk-UA"/>
        </w:rPr>
        <w:t>на організацію гарячого харчування та/або надання продуктової допомоги для здобувачів освіти закладів дошкільної та загальної середньої освіти Чорноморської міської ради Одеського району Одеської області пільгової категорії та з сімей, які опинилися у складних життєвих обставинах.</w:t>
      </w:r>
    </w:p>
    <w:p w:rsidR="008A22EE" w:rsidRPr="00AE4E17" w:rsidRDefault="008A22EE" w:rsidP="008A22EE">
      <w:pPr>
        <w:spacing w:after="0" w:line="240" w:lineRule="auto"/>
        <w:ind w:right="3" w:firstLine="567"/>
        <w:jc w:val="both"/>
        <w:rPr>
          <w:rFonts w:ascii="Times New Roman" w:hAnsi="Times New Roman" w:cs="Times New Roman"/>
          <w:sz w:val="24"/>
          <w:szCs w:val="24"/>
          <w:lang w:val="uk-UA"/>
        </w:rPr>
      </w:pPr>
      <w:r w:rsidRPr="00AE4E17">
        <w:rPr>
          <w:rFonts w:ascii="Times New Roman" w:hAnsi="Times New Roman" w:cs="Times New Roman"/>
          <w:sz w:val="24"/>
          <w:szCs w:val="24"/>
          <w:lang w:val="uk-UA"/>
        </w:rPr>
        <w:t>Інші видатки загального фонду, які будуть спрямовані на утримання та функціонування установ та закладів, підпорядкованих управлінню освіти, складають 18</w:t>
      </w:r>
      <w:r>
        <w:rPr>
          <w:rFonts w:ascii="Times New Roman" w:hAnsi="Times New Roman" w:cs="Times New Roman"/>
          <w:sz w:val="24"/>
          <w:szCs w:val="24"/>
          <w:lang w:val="uk-UA"/>
        </w:rPr>
        <w:t> </w:t>
      </w:r>
      <w:r w:rsidRPr="00AE4E17">
        <w:rPr>
          <w:rFonts w:ascii="Times New Roman" w:hAnsi="Times New Roman" w:cs="Times New Roman"/>
          <w:sz w:val="24"/>
          <w:szCs w:val="24"/>
          <w:lang w:val="uk-UA"/>
        </w:rPr>
        <w:t>030</w:t>
      </w:r>
      <w:r>
        <w:rPr>
          <w:rFonts w:ascii="Times New Roman" w:hAnsi="Times New Roman" w:cs="Times New Roman"/>
          <w:sz w:val="24"/>
          <w:szCs w:val="24"/>
          <w:lang w:val="uk-UA"/>
        </w:rPr>
        <w:t xml:space="preserve">,8 тис. </w:t>
      </w:r>
      <w:r w:rsidRPr="00AE4E17">
        <w:rPr>
          <w:rFonts w:ascii="Times New Roman" w:hAnsi="Times New Roman" w:cs="Times New Roman"/>
          <w:sz w:val="24"/>
          <w:szCs w:val="24"/>
          <w:lang w:val="uk-UA"/>
        </w:rPr>
        <w:t>грн, а саме на оплату послуг (крім комунальних), придбання товарів та матеріалів, проведення поточних ремонтів техніки і приміщень закладів освіти та забезпечення першочергових потреб.</w:t>
      </w:r>
    </w:p>
    <w:p w:rsidR="008A22EE" w:rsidRPr="00776D59" w:rsidRDefault="008A22EE" w:rsidP="008A22EE">
      <w:pPr>
        <w:spacing w:after="0" w:line="240" w:lineRule="auto"/>
        <w:ind w:right="3" w:firstLine="567"/>
        <w:jc w:val="both"/>
        <w:rPr>
          <w:rFonts w:ascii="Times New Roman" w:hAnsi="Times New Roman" w:cs="Times New Roman"/>
          <w:sz w:val="24"/>
          <w:szCs w:val="24"/>
          <w:highlight w:val="yellow"/>
          <w:lang w:val="uk-UA"/>
        </w:rPr>
      </w:pPr>
    </w:p>
    <w:p w:rsidR="008A22EE" w:rsidRPr="00D60C5F" w:rsidRDefault="008A22EE" w:rsidP="008A22EE">
      <w:pPr>
        <w:spacing w:after="0" w:line="240" w:lineRule="auto"/>
        <w:ind w:right="3"/>
        <w:jc w:val="both"/>
        <w:rPr>
          <w:rFonts w:ascii="Times New Roman" w:hAnsi="Times New Roman" w:cs="Times New Roman"/>
          <w:sz w:val="24"/>
          <w:szCs w:val="24"/>
          <w:lang w:val="uk-UA"/>
        </w:rPr>
      </w:pPr>
      <w:r w:rsidRPr="008A22EE">
        <w:rPr>
          <w:rFonts w:ascii="Times New Roman" w:hAnsi="Times New Roman" w:cs="Times New Roman"/>
          <w:noProof/>
          <w:sz w:val="24"/>
          <w:szCs w:val="24"/>
          <w:lang w:val="uk-UA" w:eastAsia="uk-UA"/>
        </w:rPr>
        <w:lastRenderedPageBreak/>
        <w:drawing>
          <wp:inline distT="0" distB="0" distL="0" distR="0" wp14:anchorId="4DA11774" wp14:editId="380DA285">
            <wp:extent cx="5894705" cy="3816350"/>
            <wp:effectExtent l="38100" t="57150" r="48895" b="50800"/>
            <wp:docPr id="2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8A22EE" w:rsidRPr="008A22EE" w:rsidRDefault="008A22EE" w:rsidP="008A22EE">
      <w:pPr>
        <w:spacing w:after="0" w:line="240" w:lineRule="auto"/>
        <w:ind w:right="3" w:firstLine="567"/>
        <w:jc w:val="both"/>
        <w:rPr>
          <w:rFonts w:ascii="Times New Roman" w:hAnsi="Times New Roman" w:cs="Times New Roman"/>
          <w:sz w:val="20"/>
          <w:szCs w:val="20"/>
          <w:highlight w:val="yellow"/>
          <w:lang w:val="uk-UA"/>
        </w:rPr>
      </w:pPr>
    </w:p>
    <w:p w:rsidR="008A22EE" w:rsidRPr="00AE4E17" w:rsidRDefault="008A22EE" w:rsidP="008A22EE">
      <w:pPr>
        <w:spacing w:after="0" w:line="240" w:lineRule="auto"/>
        <w:ind w:right="3" w:firstLine="567"/>
        <w:jc w:val="both"/>
        <w:rPr>
          <w:rFonts w:ascii="Times New Roman" w:hAnsi="Times New Roman" w:cs="Times New Roman"/>
          <w:sz w:val="24"/>
          <w:szCs w:val="24"/>
          <w:lang w:val="uk-UA"/>
        </w:rPr>
      </w:pPr>
      <w:r w:rsidRPr="00AE4E17">
        <w:rPr>
          <w:rFonts w:ascii="Times New Roman" w:hAnsi="Times New Roman" w:cs="Times New Roman"/>
          <w:sz w:val="24"/>
          <w:szCs w:val="24"/>
          <w:lang w:val="uk-UA"/>
        </w:rPr>
        <w:t xml:space="preserve">В проєкті бюджету Чорноморської міської територіальної громади на 2024 рік враховані видатки спеціального фонду, які сформовані за рахунок власних надходжень  закладів, підпорядкованих </w:t>
      </w:r>
      <w:r>
        <w:rPr>
          <w:rFonts w:ascii="Times New Roman" w:hAnsi="Times New Roman" w:cs="Times New Roman"/>
          <w:sz w:val="24"/>
          <w:szCs w:val="24"/>
          <w:lang w:val="uk-UA"/>
        </w:rPr>
        <w:t>управлінню</w:t>
      </w:r>
      <w:r w:rsidRPr="00AE4E17">
        <w:rPr>
          <w:rFonts w:ascii="Times New Roman" w:hAnsi="Times New Roman" w:cs="Times New Roman"/>
          <w:sz w:val="24"/>
          <w:szCs w:val="24"/>
          <w:lang w:val="uk-UA"/>
        </w:rPr>
        <w:t xml:space="preserve"> освіти, та складають 16</w:t>
      </w:r>
      <w:r>
        <w:rPr>
          <w:rFonts w:ascii="Times New Roman" w:hAnsi="Times New Roman" w:cs="Times New Roman"/>
          <w:sz w:val="24"/>
          <w:szCs w:val="24"/>
          <w:lang w:val="uk-UA"/>
        </w:rPr>
        <w:t> </w:t>
      </w:r>
      <w:r w:rsidRPr="00AE4E17">
        <w:rPr>
          <w:rFonts w:ascii="Times New Roman" w:hAnsi="Times New Roman" w:cs="Times New Roman"/>
          <w:sz w:val="24"/>
          <w:szCs w:val="24"/>
          <w:lang w:val="uk-UA"/>
        </w:rPr>
        <w:t>500</w:t>
      </w:r>
      <w:r>
        <w:rPr>
          <w:rFonts w:ascii="Times New Roman" w:hAnsi="Times New Roman" w:cs="Times New Roman"/>
          <w:sz w:val="24"/>
          <w:szCs w:val="24"/>
          <w:lang w:val="uk-UA"/>
        </w:rPr>
        <w:t xml:space="preserve">,0 тис. </w:t>
      </w:r>
      <w:r w:rsidRPr="00AE4E17">
        <w:rPr>
          <w:rFonts w:ascii="Times New Roman" w:hAnsi="Times New Roman" w:cs="Times New Roman"/>
          <w:sz w:val="24"/>
          <w:szCs w:val="24"/>
          <w:lang w:val="uk-UA"/>
        </w:rPr>
        <w:t>гривень.</w:t>
      </w:r>
    </w:p>
    <w:p w:rsidR="008A22EE" w:rsidRPr="00776D59" w:rsidRDefault="008A22EE" w:rsidP="008A22EE">
      <w:pPr>
        <w:pStyle w:val="a9"/>
        <w:ind w:firstLine="567"/>
        <w:jc w:val="center"/>
        <w:rPr>
          <w:b/>
          <w:bCs/>
          <w:iCs/>
          <w:highlight w:val="yellow"/>
          <w:lang w:val="uk-UA"/>
        </w:rPr>
      </w:pPr>
    </w:p>
    <w:p w:rsidR="008A22EE" w:rsidRPr="00FF46D8" w:rsidRDefault="008A22EE" w:rsidP="008A22EE">
      <w:pPr>
        <w:pStyle w:val="a9"/>
        <w:ind w:firstLine="567"/>
        <w:jc w:val="center"/>
        <w:rPr>
          <w:b/>
          <w:bCs/>
          <w:iCs/>
          <w:lang w:val="uk-UA"/>
        </w:rPr>
      </w:pPr>
      <w:r w:rsidRPr="00FF46D8">
        <w:rPr>
          <w:b/>
          <w:bCs/>
          <w:iCs/>
          <w:lang w:val="uk-UA"/>
        </w:rPr>
        <w:t>УПРАВЛІННЯ СОЦІАЛЬНОЇ ПОЛІТИКИ ЧОРНОМОРСЬКОЇ МІСЬКОЇ РАДИ ОДЕСЬКОГО РАЙОНУ ОДЕСЬКОЇ ОБЛАСТІ</w:t>
      </w:r>
    </w:p>
    <w:p w:rsidR="008A22EE" w:rsidRPr="008A22EE" w:rsidRDefault="008A22EE" w:rsidP="008A22EE">
      <w:pPr>
        <w:pStyle w:val="a9"/>
        <w:ind w:firstLine="567"/>
        <w:jc w:val="both"/>
        <w:rPr>
          <w:bCs/>
          <w:iCs/>
          <w:sz w:val="20"/>
          <w:szCs w:val="20"/>
          <w:lang w:val="uk-UA"/>
        </w:rPr>
      </w:pPr>
    </w:p>
    <w:p w:rsidR="008A22EE" w:rsidRPr="00FF46D8" w:rsidRDefault="008A22EE" w:rsidP="008A22EE">
      <w:pPr>
        <w:spacing w:after="0" w:line="240" w:lineRule="auto"/>
        <w:ind w:firstLine="567"/>
        <w:jc w:val="both"/>
        <w:rPr>
          <w:rFonts w:ascii="Times New Roman" w:eastAsia="Calibri" w:hAnsi="Times New Roman" w:cs="Times New Roman"/>
          <w:sz w:val="24"/>
          <w:szCs w:val="24"/>
          <w:lang w:val="uk-UA"/>
        </w:rPr>
      </w:pPr>
      <w:r w:rsidRPr="00FF46D8">
        <w:rPr>
          <w:rFonts w:ascii="Times New Roman" w:eastAsia="Calibri" w:hAnsi="Times New Roman" w:cs="Times New Roman"/>
          <w:sz w:val="24"/>
          <w:szCs w:val="24"/>
          <w:lang w:val="uk-UA"/>
        </w:rPr>
        <w:t xml:space="preserve">Соціальний захист та соціальне забезпечення населення залишається одним із ключових пріоритетів діяльності міської влади. В умовах воєнного стану особлива увага приділяється продовженню підтримці найбільш вразливих верств населення на рівні поточного року, зі збереженням всіх соціальних виплат да допомог.     </w:t>
      </w:r>
    </w:p>
    <w:p w:rsidR="008A22EE" w:rsidRPr="00FF46D8" w:rsidRDefault="008A22EE" w:rsidP="008A22EE">
      <w:pPr>
        <w:spacing w:after="0" w:line="240" w:lineRule="auto"/>
        <w:ind w:firstLine="567"/>
        <w:jc w:val="both"/>
        <w:rPr>
          <w:rFonts w:ascii="Times New Roman" w:eastAsia="Calibri" w:hAnsi="Times New Roman" w:cs="Times New Roman"/>
          <w:sz w:val="24"/>
          <w:szCs w:val="24"/>
          <w:lang w:val="uk-UA"/>
        </w:rPr>
      </w:pPr>
      <w:r w:rsidRPr="00FF46D8">
        <w:rPr>
          <w:rFonts w:ascii="Times New Roman" w:eastAsia="Calibri" w:hAnsi="Times New Roman" w:cs="Times New Roman"/>
          <w:sz w:val="24"/>
          <w:szCs w:val="24"/>
          <w:lang w:val="uk-UA"/>
        </w:rPr>
        <w:t xml:space="preserve">Ефективний соціальний захист – це не лише гарантовані державою соціальне забезпечення (пенсії, виплати, доплати) і створена мережа надання соціальних послуг, а й комплекс заходів, що здійснюються на місцевому рівні за рахунок коштів бюджету громади шляхом надання додаткових гарантій соціального захисту жителям  Чорноморської міської територіальної громади. </w:t>
      </w:r>
    </w:p>
    <w:p w:rsidR="008A22EE" w:rsidRPr="00FF46D8" w:rsidRDefault="008A22EE" w:rsidP="008A22EE">
      <w:pPr>
        <w:spacing w:after="0" w:line="240" w:lineRule="auto"/>
        <w:ind w:firstLine="567"/>
        <w:jc w:val="both"/>
        <w:rPr>
          <w:rFonts w:ascii="Times New Roman" w:hAnsi="Times New Roman" w:cs="Times New Roman"/>
          <w:bCs/>
          <w:iCs/>
          <w:sz w:val="24"/>
          <w:szCs w:val="24"/>
          <w:lang w:val="uk-UA"/>
        </w:rPr>
      </w:pPr>
      <w:r w:rsidRPr="00FF46D8">
        <w:rPr>
          <w:rFonts w:ascii="Times New Roman" w:eastAsia="Calibri" w:hAnsi="Times New Roman" w:cs="Times New Roman"/>
          <w:sz w:val="24"/>
          <w:szCs w:val="24"/>
          <w:lang w:val="uk-UA"/>
        </w:rPr>
        <w:t xml:space="preserve">Для виконання заходів міських цільових програм соціальної направленості та утримання установ соціального захисту </w:t>
      </w:r>
      <w:r w:rsidRPr="00FF46D8">
        <w:rPr>
          <w:rFonts w:ascii="Times New Roman" w:hAnsi="Times New Roman" w:cs="Times New Roman"/>
          <w:bCs/>
          <w:iCs/>
          <w:sz w:val="24"/>
          <w:szCs w:val="24"/>
          <w:lang w:val="uk-UA"/>
        </w:rPr>
        <w:t xml:space="preserve">в проєкті бюджету </w:t>
      </w:r>
      <w:r w:rsidRPr="00FF46D8">
        <w:rPr>
          <w:rFonts w:ascii="Times New Roman" w:hAnsi="Times New Roman" w:cs="Times New Roman"/>
          <w:sz w:val="24"/>
          <w:szCs w:val="24"/>
          <w:lang w:val="uk-UA"/>
        </w:rPr>
        <w:t xml:space="preserve">Чорноморської міської територіальної громади </w:t>
      </w:r>
      <w:r w:rsidRPr="00FF46D8">
        <w:rPr>
          <w:rFonts w:ascii="Times New Roman" w:hAnsi="Times New Roman" w:cs="Times New Roman"/>
          <w:bCs/>
          <w:iCs/>
          <w:sz w:val="24"/>
          <w:szCs w:val="24"/>
          <w:lang w:val="uk-UA"/>
        </w:rPr>
        <w:t xml:space="preserve">на 2024 рік </w:t>
      </w:r>
      <w:r w:rsidRPr="00FF46D8">
        <w:rPr>
          <w:rFonts w:ascii="Times New Roman" w:eastAsia="Calibri" w:hAnsi="Times New Roman" w:cs="Times New Roman"/>
          <w:sz w:val="24"/>
          <w:szCs w:val="24"/>
          <w:lang w:val="uk-UA"/>
        </w:rPr>
        <w:t xml:space="preserve">визначені </w:t>
      </w:r>
      <w:r>
        <w:rPr>
          <w:rFonts w:ascii="Times New Roman" w:eastAsia="Calibri" w:hAnsi="Times New Roman" w:cs="Times New Roman"/>
          <w:sz w:val="24"/>
          <w:szCs w:val="24"/>
          <w:lang w:val="uk-UA"/>
        </w:rPr>
        <w:t>у</w:t>
      </w:r>
      <w:r w:rsidRPr="00FF46D8">
        <w:rPr>
          <w:rFonts w:ascii="Times New Roman" w:hAnsi="Times New Roman" w:cs="Times New Roman"/>
          <w:bCs/>
          <w:iCs/>
          <w:sz w:val="24"/>
          <w:szCs w:val="24"/>
          <w:lang w:val="uk-UA"/>
        </w:rPr>
        <w:t xml:space="preserve">правлінню соціальної політики Чорноморської міської ради Одеського району Одеської області бюджетні призначення у сумі  </w:t>
      </w:r>
      <w:r w:rsidRPr="006A1CB5">
        <w:rPr>
          <w:rFonts w:ascii="Times New Roman" w:hAnsi="Times New Roman" w:cs="Times New Roman"/>
          <w:bCs/>
          <w:iCs/>
          <w:sz w:val="24"/>
          <w:szCs w:val="24"/>
          <w:lang w:val="uk-UA"/>
        </w:rPr>
        <w:t>65 140,2 тис. грн</w:t>
      </w:r>
      <w:r w:rsidRPr="00FF46D8">
        <w:rPr>
          <w:rFonts w:ascii="Times New Roman" w:hAnsi="Times New Roman" w:cs="Times New Roman"/>
          <w:bCs/>
          <w:iCs/>
          <w:sz w:val="24"/>
          <w:szCs w:val="24"/>
          <w:lang w:val="uk-UA"/>
        </w:rPr>
        <w:t>, в тому числі:</w:t>
      </w:r>
    </w:p>
    <w:p w:rsidR="008A22EE" w:rsidRPr="00FF46D8" w:rsidRDefault="008A22EE" w:rsidP="008A22EE">
      <w:pPr>
        <w:spacing w:after="0" w:line="240" w:lineRule="auto"/>
        <w:ind w:firstLine="567"/>
        <w:jc w:val="both"/>
        <w:rPr>
          <w:rFonts w:ascii="Times New Roman" w:hAnsi="Times New Roman" w:cs="Times New Roman"/>
          <w:bCs/>
          <w:iCs/>
          <w:sz w:val="24"/>
          <w:szCs w:val="24"/>
          <w:lang w:val="uk-UA"/>
        </w:rPr>
      </w:pPr>
      <w:r w:rsidRPr="00FF46D8">
        <w:rPr>
          <w:rFonts w:ascii="Times New Roman" w:hAnsi="Times New Roman" w:cs="Times New Roman"/>
          <w:bCs/>
          <w:iCs/>
          <w:sz w:val="24"/>
          <w:szCs w:val="24"/>
          <w:lang w:val="uk-UA"/>
        </w:rPr>
        <w:t>-  за загальним фондом – 65</w:t>
      </w:r>
      <w:r>
        <w:rPr>
          <w:rFonts w:ascii="Times New Roman" w:hAnsi="Times New Roman" w:cs="Times New Roman"/>
          <w:bCs/>
          <w:iCs/>
          <w:sz w:val="24"/>
          <w:szCs w:val="24"/>
          <w:lang w:val="uk-UA"/>
        </w:rPr>
        <w:t> </w:t>
      </w:r>
      <w:r w:rsidRPr="00FF46D8">
        <w:rPr>
          <w:rFonts w:ascii="Times New Roman" w:hAnsi="Times New Roman" w:cs="Times New Roman"/>
          <w:bCs/>
          <w:iCs/>
          <w:sz w:val="24"/>
          <w:szCs w:val="24"/>
          <w:lang w:val="uk-UA"/>
        </w:rPr>
        <w:t>083</w:t>
      </w:r>
      <w:r>
        <w:rPr>
          <w:rFonts w:ascii="Times New Roman" w:hAnsi="Times New Roman" w:cs="Times New Roman"/>
          <w:bCs/>
          <w:iCs/>
          <w:sz w:val="24"/>
          <w:szCs w:val="24"/>
          <w:lang w:val="uk-UA"/>
        </w:rPr>
        <w:t xml:space="preserve">,8 тис. </w:t>
      </w:r>
      <w:r w:rsidRPr="00FF46D8">
        <w:rPr>
          <w:rFonts w:ascii="Times New Roman" w:hAnsi="Times New Roman" w:cs="Times New Roman"/>
          <w:bCs/>
          <w:iCs/>
          <w:sz w:val="24"/>
          <w:szCs w:val="24"/>
          <w:lang w:val="uk-UA"/>
        </w:rPr>
        <w:t>грн, із яких 1</w:t>
      </w:r>
      <w:r>
        <w:rPr>
          <w:rFonts w:ascii="Times New Roman" w:hAnsi="Times New Roman" w:cs="Times New Roman"/>
          <w:bCs/>
          <w:iCs/>
          <w:sz w:val="24"/>
          <w:szCs w:val="24"/>
          <w:lang w:val="uk-UA"/>
        </w:rPr>
        <w:t> </w:t>
      </w:r>
      <w:r w:rsidRPr="00FF46D8">
        <w:rPr>
          <w:rFonts w:ascii="Times New Roman" w:hAnsi="Times New Roman" w:cs="Times New Roman"/>
          <w:bCs/>
          <w:iCs/>
          <w:sz w:val="24"/>
          <w:szCs w:val="24"/>
          <w:lang w:val="uk-UA"/>
        </w:rPr>
        <w:t>482</w:t>
      </w:r>
      <w:r>
        <w:rPr>
          <w:rFonts w:ascii="Times New Roman" w:hAnsi="Times New Roman" w:cs="Times New Roman"/>
          <w:bCs/>
          <w:iCs/>
          <w:sz w:val="24"/>
          <w:szCs w:val="24"/>
          <w:lang w:val="uk-UA"/>
        </w:rPr>
        <w:t>,4 тис. грн</w:t>
      </w:r>
      <w:r w:rsidRPr="00FF46D8">
        <w:rPr>
          <w:rFonts w:ascii="Times New Roman" w:hAnsi="Times New Roman" w:cs="Times New Roman"/>
          <w:bCs/>
          <w:iCs/>
          <w:sz w:val="24"/>
          <w:szCs w:val="24"/>
          <w:lang w:val="uk-UA"/>
        </w:rPr>
        <w:t xml:space="preserve"> – </w:t>
      </w:r>
      <w:r w:rsidRPr="00FF46D8">
        <w:rPr>
          <w:rFonts w:ascii="Times New Roman" w:eastAsia="Times New Roman" w:hAnsi="Times New Roman" w:cs="Times New Roman"/>
          <w:sz w:val="24"/>
          <w:szCs w:val="24"/>
          <w:lang w:val="uk-UA" w:eastAsia="ru-RU"/>
        </w:rPr>
        <w:t>за рахунок субвенції з бюджету Великодолинської селищної територіальної громади для оплати праці працівників КУ «Територіальний центр</w:t>
      </w:r>
      <w:r w:rsidRPr="00FF46D8">
        <w:rPr>
          <w:lang w:val="uk-UA"/>
        </w:rPr>
        <w:t xml:space="preserve"> </w:t>
      </w:r>
      <w:r w:rsidRPr="00FF46D8">
        <w:rPr>
          <w:rFonts w:ascii="Times New Roman" w:eastAsia="Times New Roman" w:hAnsi="Times New Roman" w:cs="Times New Roman"/>
          <w:sz w:val="24"/>
          <w:szCs w:val="24"/>
          <w:lang w:val="uk-UA" w:eastAsia="ru-RU"/>
        </w:rPr>
        <w:t xml:space="preserve">соціального  обслуговування (надання соціальних послуг) Чорноморської міської ради Одеського району», які забезпечують обслуговування мешканців Великодолинської селищної територіальної громади.  </w:t>
      </w:r>
    </w:p>
    <w:p w:rsidR="008A22EE" w:rsidRPr="00FF46D8" w:rsidRDefault="008A22EE" w:rsidP="008A22EE">
      <w:pPr>
        <w:spacing w:after="0" w:line="240" w:lineRule="auto"/>
        <w:ind w:firstLine="567"/>
        <w:jc w:val="both"/>
        <w:rPr>
          <w:rFonts w:ascii="Times New Roman" w:hAnsi="Times New Roman" w:cs="Times New Roman"/>
          <w:bCs/>
          <w:iCs/>
          <w:sz w:val="24"/>
          <w:szCs w:val="24"/>
          <w:lang w:val="uk-UA"/>
        </w:rPr>
      </w:pPr>
      <w:r w:rsidRPr="00FF46D8">
        <w:rPr>
          <w:rFonts w:ascii="Times New Roman" w:hAnsi="Times New Roman" w:cs="Times New Roman"/>
          <w:bCs/>
          <w:iCs/>
          <w:sz w:val="24"/>
          <w:szCs w:val="24"/>
          <w:lang w:val="uk-UA"/>
        </w:rPr>
        <w:t>-  спеціальним  фондом – 56</w:t>
      </w:r>
      <w:r>
        <w:rPr>
          <w:rFonts w:ascii="Times New Roman" w:hAnsi="Times New Roman" w:cs="Times New Roman"/>
          <w:bCs/>
          <w:iCs/>
          <w:sz w:val="24"/>
          <w:szCs w:val="24"/>
          <w:lang w:val="uk-UA"/>
        </w:rPr>
        <w:t>,4 тис. грн</w:t>
      </w:r>
      <w:r w:rsidRPr="00FF46D8">
        <w:rPr>
          <w:rFonts w:ascii="Times New Roman" w:hAnsi="Times New Roman" w:cs="Times New Roman"/>
          <w:bCs/>
          <w:iCs/>
          <w:sz w:val="24"/>
          <w:szCs w:val="24"/>
          <w:lang w:val="uk-UA"/>
        </w:rPr>
        <w:t xml:space="preserve"> за рахунок власних надходжень бюджетних установ.</w:t>
      </w:r>
    </w:p>
    <w:p w:rsidR="008A22EE" w:rsidRPr="009C6615" w:rsidRDefault="008A22EE" w:rsidP="008A22EE">
      <w:pPr>
        <w:pStyle w:val="a9"/>
        <w:tabs>
          <w:tab w:val="left" w:pos="709"/>
          <w:tab w:val="left" w:pos="851"/>
        </w:tabs>
        <w:ind w:firstLine="567"/>
        <w:jc w:val="both"/>
        <w:rPr>
          <w:bCs/>
          <w:iCs/>
          <w:lang w:val="uk-UA"/>
        </w:rPr>
      </w:pPr>
      <w:r w:rsidRPr="009C6615">
        <w:rPr>
          <w:bCs/>
          <w:iCs/>
          <w:lang w:val="uk-UA"/>
        </w:rPr>
        <w:t xml:space="preserve">На утримання </w:t>
      </w:r>
      <w:r>
        <w:rPr>
          <w:bCs/>
          <w:iCs/>
          <w:lang w:val="uk-UA"/>
        </w:rPr>
        <w:t>к</w:t>
      </w:r>
      <w:r w:rsidRPr="009C6615">
        <w:rPr>
          <w:bCs/>
          <w:iCs/>
          <w:lang w:val="uk-UA"/>
        </w:rPr>
        <w:t>омунальної установи «Територіальний центр соціального  обслуговування (надання соціальних послуг) Чорноморської міської ради Одеського району Одеської області» визначено 19</w:t>
      </w:r>
      <w:r>
        <w:rPr>
          <w:bCs/>
          <w:iCs/>
          <w:lang w:val="uk-UA"/>
        </w:rPr>
        <w:t> </w:t>
      </w:r>
      <w:r w:rsidRPr="009C6615">
        <w:rPr>
          <w:bCs/>
          <w:iCs/>
          <w:lang w:val="uk-UA"/>
        </w:rPr>
        <w:t>693</w:t>
      </w:r>
      <w:r>
        <w:rPr>
          <w:bCs/>
          <w:iCs/>
          <w:lang w:val="uk-UA"/>
        </w:rPr>
        <w:t xml:space="preserve">,9 тис. </w:t>
      </w:r>
      <w:r w:rsidRPr="009C6615">
        <w:rPr>
          <w:bCs/>
          <w:iCs/>
          <w:lang w:val="uk-UA"/>
        </w:rPr>
        <w:t>грн, із них видатки на оплату праці з нарахуваннями 18</w:t>
      </w:r>
      <w:r>
        <w:rPr>
          <w:bCs/>
          <w:iCs/>
          <w:lang w:val="uk-UA"/>
        </w:rPr>
        <w:t> </w:t>
      </w:r>
      <w:r w:rsidRPr="009C6615">
        <w:rPr>
          <w:bCs/>
          <w:iCs/>
          <w:lang w:val="uk-UA"/>
        </w:rPr>
        <w:t>509</w:t>
      </w:r>
      <w:r>
        <w:rPr>
          <w:bCs/>
          <w:iCs/>
          <w:lang w:val="uk-UA"/>
        </w:rPr>
        <w:t xml:space="preserve">,2 тис. </w:t>
      </w:r>
      <w:r w:rsidRPr="009C6615">
        <w:rPr>
          <w:bCs/>
          <w:iCs/>
          <w:lang w:val="uk-UA"/>
        </w:rPr>
        <w:t xml:space="preserve">грн, або 94,0 % всіх видатків на утримання центру, штатна чисельність якого складає 69,75 одиниць. </w:t>
      </w:r>
    </w:p>
    <w:p w:rsidR="008A22EE" w:rsidRPr="00EF7F93" w:rsidRDefault="008A22EE" w:rsidP="008A22EE">
      <w:pPr>
        <w:pStyle w:val="a9"/>
        <w:ind w:right="28" w:firstLine="567"/>
        <w:jc w:val="both"/>
        <w:rPr>
          <w:bCs/>
          <w:iCs/>
          <w:lang w:val="uk-UA"/>
        </w:rPr>
      </w:pPr>
      <w:r w:rsidRPr="009C6615">
        <w:rPr>
          <w:bCs/>
          <w:iCs/>
          <w:lang w:val="uk-UA"/>
        </w:rPr>
        <w:lastRenderedPageBreak/>
        <w:t xml:space="preserve">Станом на 01.01.2024р. на обслуговуванні центру знаходяться 790 одиноких осіб похилого віку, в тому числі ті, що потребують допомоги </w:t>
      </w:r>
      <w:r w:rsidRPr="00EF7F93">
        <w:rPr>
          <w:bCs/>
          <w:iCs/>
          <w:lang w:val="uk-UA"/>
        </w:rPr>
        <w:t xml:space="preserve">вдома - 360  осіб. </w:t>
      </w:r>
    </w:p>
    <w:p w:rsidR="008A22EE" w:rsidRPr="009C6615" w:rsidRDefault="008A22EE" w:rsidP="008A22EE">
      <w:pPr>
        <w:pStyle w:val="a9"/>
        <w:ind w:right="28" w:firstLine="567"/>
        <w:jc w:val="both"/>
        <w:rPr>
          <w:bCs/>
          <w:iCs/>
          <w:lang w:val="uk-UA"/>
        </w:rPr>
      </w:pPr>
      <w:r w:rsidRPr="00EF7F93">
        <w:rPr>
          <w:bCs/>
          <w:iCs/>
          <w:lang w:val="uk-UA"/>
        </w:rPr>
        <w:t>Видатки на оплату комунальних послуг та енергоносіїв розраховані</w:t>
      </w:r>
      <w:r w:rsidRPr="009C6615">
        <w:rPr>
          <w:bCs/>
          <w:iCs/>
          <w:lang w:val="uk-UA"/>
        </w:rPr>
        <w:t xml:space="preserve"> у сумі                    345</w:t>
      </w:r>
      <w:r>
        <w:rPr>
          <w:bCs/>
          <w:iCs/>
          <w:lang w:val="uk-UA"/>
        </w:rPr>
        <w:t>,3 тис. грн</w:t>
      </w:r>
      <w:r w:rsidRPr="009C6615">
        <w:rPr>
          <w:bCs/>
          <w:iCs/>
          <w:lang w:val="uk-UA"/>
        </w:rPr>
        <w:t xml:space="preserve">, або 1,8 </w:t>
      </w:r>
      <w:r w:rsidRPr="009C6615">
        <w:rPr>
          <w:bCs/>
          <w:i/>
          <w:iCs/>
          <w:lang w:val="uk-UA"/>
        </w:rPr>
        <w:t>%</w:t>
      </w:r>
      <w:r w:rsidRPr="009C6615">
        <w:rPr>
          <w:bCs/>
          <w:iCs/>
          <w:lang w:val="uk-UA"/>
        </w:rPr>
        <w:t xml:space="preserve"> до загального обсягу видатків установи.</w:t>
      </w:r>
    </w:p>
    <w:p w:rsidR="008A22EE" w:rsidRPr="00630BB3" w:rsidRDefault="008A22EE" w:rsidP="008A22EE">
      <w:pPr>
        <w:pStyle w:val="a9"/>
        <w:ind w:right="28" w:firstLine="567"/>
        <w:jc w:val="both"/>
        <w:rPr>
          <w:bCs/>
          <w:iCs/>
          <w:lang w:val="uk-UA"/>
        </w:rPr>
      </w:pPr>
      <w:r w:rsidRPr="00630BB3">
        <w:rPr>
          <w:bCs/>
          <w:iCs/>
          <w:lang w:val="uk-UA"/>
        </w:rPr>
        <w:t xml:space="preserve">На утримання </w:t>
      </w:r>
      <w:r>
        <w:rPr>
          <w:bCs/>
          <w:iCs/>
          <w:lang w:val="uk-UA"/>
        </w:rPr>
        <w:t>к</w:t>
      </w:r>
      <w:r w:rsidRPr="00630BB3">
        <w:rPr>
          <w:bCs/>
          <w:iCs/>
          <w:lang w:val="uk-UA"/>
        </w:rPr>
        <w:t>омунальної установи «Чорноморський  міський центр соціальних служб Чорноморської міської ради Одеського району Одеської області» із бюджету міської громади передбачається спрямувати 8</w:t>
      </w:r>
      <w:r>
        <w:rPr>
          <w:bCs/>
          <w:iCs/>
          <w:lang w:val="uk-UA"/>
        </w:rPr>
        <w:t> </w:t>
      </w:r>
      <w:r w:rsidRPr="00630BB3">
        <w:rPr>
          <w:bCs/>
          <w:iCs/>
          <w:lang w:val="uk-UA"/>
        </w:rPr>
        <w:t>328</w:t>
      </w:r>
      <w:r>
        <w:rPr>
          <w:bCs/>
          <w:iCs/>
          <w:lang w:val="uk-UA"/>
        </w:rPr>
        <w:t xml:space="preserve">,6 тис. </w:t>
      </w:r>
      <w:r w:rsidRPr="00630BB3">
        <w:rPr>
          <w:bCs/>
          <w:iCs/>
          <w:lang w:val="uk-UA"/>
        </w:rPr>
        <w:t>грн. Найбільш питому вагу займають видатки на оплату праці з нарахуваннями – 7</w:t>
      </w:r>
      <w:r>
        <w:rPr>
          <w:bCs/>
          <w:iCs/>
          <w:lang w:val="uk-UA"/>
        </w:rPr>
        <w:t> </w:t>
      </w:r>
      <w:r w:rsidRPr="00630BB3">
        <w:rPr>
          <w:bCs/>
          <w:iCs/>
          <w:lang w:val="uk-UA"/>
        </w:rPr>
        <w:t>128</w:t>
      </w:r>
      <w:r>
        <w:rPr>
          <w:bCs/>
          <w:iCs/>
          <w:lang w:val="uk-UA"/>
        </w:rPr>
        <w:t xml:space="preserve">,5 тис. </w:t>
      </w:r>
      <w:r w:rsidRPr="00630BB3">
        <w:rPr>
          <w:bCs/>
          <w:iCs/>
          <w:lang w:val="uk-UA"/>
        </w:rPr>
        <w:t>грн, або 85,6% всіх видатків на утримання центру.</w:t>
      </w:r>
    </w:p>
    <w:p w:rsidR="008A22EE" w:rsidRPr="00630BB3" w:rsidRDefault="008A22EE" w:rsidP="008A22EE">
      <w:pPr>
        <w:pStyle w:val="a9"/>
        <w:ind w:right="28" w:firstLine="567"/>
        <w:jc w:val="both"/>
        <w:rPr>
          <w:bCs/>
          <w:iCs/>
          <w:lang w:val="uk-UA"/>
        </w:rPr>
      </w:pPr>
      <w:r w:rsidRPr="00630BB3">
        <w:rPr>
          <w:bCs/>
          <w:iCs/>
          <w:lang w:val="uk-UA"/>
        </w:rPr>
        <w:t xml:space="preserve">Видатки на оплату комунальних послуг та енергоносіїв розраховані </w:t>
      </w:r>
      <w:r>
        <w:rPr>
          <w:bCs/>
          <w:iCs/>
          <w:lang w:val="uk-UA"/>
        </w:rPr>
        <w:t xml:space="preserve">у сумі </w:t>
      </w:r>
      <w:r w:rsidRPr="00630BB3">
        <w:rPr>
          <w:bCs/>
          <w:iCs/>
          <w:lang w:val="uk-UA"/>
        </w:rPr>
        <w:t xml:space="preserve">                         247</w:t>
      </w:r>
      <w:r>
        <w:rPr>
          <w:bCs/>
          <w:iCs/>
          <w:lang w:val="uk-UA"/>
        </w:rPr>
        <w:t xml:space="preserve">,3 тис. </w:t>
      </w:r>
      <w:r w:rsidRPr="00630BB3">
        <w:rPr>
          <w:bCs/>
          <w:iCs/>
          <w:lang w:val="uk-UA"/>
        </w:rPr>
        <w:t>грн, або 3,0% до загального обсягу видатків установи.</w:t>
      </w:r>
    </w:p>
    <w:p w:rsidR="008A22EE" w:rsidRPr="00630BB3" w:rsidRDefault="008A22EE" w:rsidP="008A22EE">
      <w:pPr>
        <w:pStyle w:val="a9"/>
        <w:ind w:right="28" w:firstLine="567"/>
        <w:jc w:val="both"/>
        <w:rPr>
          <w:bCs/>
          <w:iCs/>
          <w:lang w:val="uk-UA"/>
        </w:rPr>
      </w:pPr>
      <w:r w:rsidRPr="00630BB3">
        <w:rPr>
          <w:bCs/>
          <w:iCs/>
          <w:lang w:val="uk-UA"/>
        </w:rPr>
        <w:t xml:space="preserve">Штатна чисельність установи налічує 28,25 одиниць. </w:t>
      </w:r>
    </w:p>
    <w:p w:rsidR="008A22EE" w:rsidRPr="00630BB3" w:rsidRDefault="008A22EE" w:rsidP="008A22EE">
      <w:pPr>
        <w:pStyle w:val="a9"/>
        <w:ind w:right="28" w:firstLine="567"/>
        <w:jc w:val="both"/>
        <w:rPr>
          <w:bCs/>
          <w:iCs/>
          <w:lang w:val="uk-UA"/>
        </w:rPr>
      </w:pPr>
      <w:r w:rsidRPr="00630BB3">
        <w:rPr>
          <w:bCs/>
          <w:iCs/>
          <w:lang w:val="uk-UA"/>
        </w:rPr>
        <w:t xml:space="preserve">До складу установи входить центр соціально - психологічної реабілітації   дітей та молоді з функціональними обмеженнями, в якому проходять реабілітацію 66 осіб з числа дітей - інвалідів та молоді. </w:t>
      </w:r>
    </w:p>
    <w:p w:rsidR="008A22EE" w:rsidRPr="00630BB3" w:rsidRDefault="008A22EE" w:rsidP="008A22EE">
      <w:pPr>
        <w:pStyle w:val="a9"/>
        <w:ind w:right="28" w:firstLine="567"/>
        <w:jc w:val="both"/>
        <w:rPr>
          <w:bCs/>
          <w:iCs/>
          <w:lang w:val="uk-UA"/>
        </w:rPr>
      </w:pPr>
      <w:r w:rsidRPr="00630BB3">
        <w:rPr>
          <w:bCs/>
          <w:iCs/>
          <w:lang w:val="uk-UA"/>
        </w:rPr>
        <w:t>На заходи державної політики соціальних служб планується  спрямувати 435</w:t>
      </w:r>
      <w:r>
        <w:rPr>
          <w:bCs/>
          <w:iCs/>
          <w:lang w:val="uk-UA"/>
        </w:rPr>
        <w:t>,5 тис.</w:t>
      </w:r>
      <w:r w:rsidRPr="00630BB3">
        <w:rPr>
          <w:bCs/>
          <w:iCs/>
          <w:lang w:val="uk-UA"/>
        </w:rPr>
        <w:t xml:space="preserve"> грн, зокрема:</w:t>
      </w:r>
    </w:p>
    <w:p w:rsidR="008A22EE" w:rsidRPr="00630BB3" w:rsidRDefault="008A22EE" w:rsidP="008A22EE">
      <w:pPr>
        <w:pStyle w:val="a9"/>
        <w:ind w:right="28" w:firstLine="567"/>
        <w:jc w:val="both"/>
        <w:rPr>
          <w:bCs/>
          <w:iCs/>
          <w:lang w:val="uk-UA"/>
        </w:rPr>
      </w:pPr>
      <w:r w:rsidRPr="00630BB3">
        <w:rPr>
          <w:bCs/>
          <w:iCs/>
          <w:lang w:val="uk-UA"/>
        </w:rPr>
        <w:t>- на забезпечення роботи телефону довіри –129</w:t>
      </w:r>
      <w:r>
        <w:rPr>
          <w:bCs/>
          <w:iCs/>
          <w:lang w:val="uk-UA"/>
        </w:rPr>
        <w:t xml:space="preserve">,4 тис. </w:t>
      </w:r>
      <w:r w:rsidRPr="00630BB3">
        <w:rPr>
          <w:bCs/>
          <w:iCs/>
          <w:lang w:val="uk-UA"/>
        </w:rPr>
        <w:t>грн;</w:t>
      </w:r>
    </w:p>
    <w:p w:rsidR="008A22EE" w:rsidRDefault="008A22EE" w:rsidP="008A22EE">
      <w:pPr>
        <w:pStyle w:val="a9"/>
        <w:ind w:right="28" w:firstLine="567"/>
        <w:jc w:val="both"/>
        <w:rPr>
          <w:bCs/>
          <w:iCs/>
          <w:lang w:val="uk-UA"/>
        </w:rPr>
      </w:pPr>
      <w:r w:rsidRPr="00630BB3">
        <w:rPr>
          <w:bCs/>
          <w:iCs/>
          <w:lang w:val="uk-UA"/>
        </w:rPr>
        <w:t>- на проведення в літку акції «Молодь в місті, молодь для міста» – 32</w:t>
      </w:r>
      <w:r>
        <w:rPr>
          <w:bCs/>
          <w:iCs/>
          <w:lang w:val="uk-UA"/>
        </w:rPr>
        <w:t>,5 тис.</w:t>
      </w:r>
      <w:r w:rsidRPr="00630BB3">
        <w:rPr>
          <w:bCs/>
          <w:iCs/>
          <w:lang w:val="uk-UA"/>
        </w:rPr>
        <w:t xml:space="preserve"> грн.</w:t>
      </w:r>
    </w:p>
    <w:p w:rsidR="008A22EE" w:rsidRDefault="008A22EE" w:rsidP="008A22EE">
      <w:pPr>
        <w:pStyle w:val="a9"/>
        <w:ind w:right="28" w:firstLine="567"/>
        <w:jc w:val="both"/>
        <w:rPr>
          <w:b/>
          <w:bCs/>
          <w:lang w:val="uk-UA"/>
        </w:rPr>
      </w:pPr>
      <w:r>
        <w:rPr>
          <w:bCs/>
          <w:iCs/>
          <w:lang w:val="uk-UA"/>
        </w:rPr>
        <w:t xml:space="preserve">    </w:t>
      </w:r>
    </w:p>
    <w:p w:rsidR="008A22EE" w:rsidRPr="008D15FB" w:rsidRDefault="008A22EE" w:rsidP="008A22EE">
      <w:pPr>
        <w:pStyle w:val="a9"/>
        <w:ind w:left="14" w:right="28" w:firstLine="567"/>
        <w:jc w:val="center"/>
        <w:rPr>
          <w:b/>
          <w:bCs/>
          <w:lang w:val="uk-UA"/>
        </w:rPr>
      </w:pPr>
      <w:r>
        <w:rPr>
          <w:b/>
          <w:bCs/>
          <w:lang w:val="uk-UA"/>
        </w:rPr>
        <w:t xml:space="preserve"> </w:t>
      </w:r>
      <w:r w:rsidRPr="008D15FB">
        <w:rPr>
          <w:b/>
          <w:bCs/>
          <w:lang w:val="uk-UA"/>
        </w:rPr>
        <w:t xml:space="preserve">СЛУЖБА У СПРАВАХ ДІТЕЙ ЧОРНОМОРСЬКОЇ МІСЬКОЇ РАДИ </w:t>
      </w:r>
    </w:p>
    <w:p w:rsidR="008A22EE" w:rsidRPr="008D15FB" w:rsidRDefault="008A22EE" w:rsidP="008A22EE">
      <w:pPr>
        <w:pStyle w:val="a9"/>
        <w:ind w:left="14" w:right="28" w:firstLine="567"/>
        <w:jc w:val="center"/>
        <w:rPr>
          <w:b/>
          <w:bCs/>
          <w:lang w:val="uk-UA"/>
        </w:rPr>
      </w:pPr>
      <w:r w:rsidRPr="008D15FB">
        <w:rPr>
          <w:b/>
          <w:bCs/>
          <w:lang w:val="uk-UA"/>
        </w:rPr>
        <w:t>ОДЕСЬКОГО РАЙОНУ ОДЕСЬКОЇ ОБЛАСТІ</w:t>
      </w:r>
    </w:p>
    <w:p w:rsidR="008A22EE" w:rsidRDefault="008A22EE" w:rsidP="008A22EE">
      <w:pPr>
        <w:spacing w:after="0"/>
        <w:ind w:firstLine="567"/>
        <w:jc w:val="both"/>
        <w:rPr>
          <w:rFonts w:ascii="Times New Roman" w:hAnsi="Times New Roman" w:cs="Times New Roman"/>
          <w:sz w:val="24"/>
          <w:szCs w:val="24"/>
          <w:lang w:val="uk-UA"/>
        </w:rPr>
      </w:pPr>
    </w:p>
    <w:p w:rsidR="008A22EE" w:rsidRPr="00BD49B5" w:rsidRDefault="008A22EE" w:rsidP="008A22EE">
      <w:pPr>
        <w:spacing w:after="0" w:line="240" w:lineRule="auto"/>
        <w:ind w:firstLine="567"/>
        <w:jc w:val="both"/>
        <w:rPr>
          <w:rFonts w:ascii="Times New Roman" w:hAnsi="Times New Roman" w:cs="Times New Roman"/>
          <w:sz w:val="24"/>
          <w:szCs w:val="24"/>
          <w:lang w:val="uk-UA"/>
        </w:rPr>
      </w:pPr>
      <w:r w:rsidRPr="00DE78D9">
        <w:rPr>
          <w:rFonts w:ascii="Times New Roman" w:hAnsi="Times New Roman" w:cs="Times New Roman"/>
          <w:sz w:val="24"/>
          <w:szCs w:val="24"/>
          <w:lang w:val="uk-UA"/>
        </w:rPr>
        <w:t>В проєкті бюджету Чорноморської міської територіальної громади на 202</w:t>
      </w:r>
      <w:r>
        <w:rPr>
          <w:rFonts w:ascii="Times New Roman" w:hAnsi="Times New Roman" w:cs="Times New Roman"/>
          <w:sz w:val="24"/>
          <w:szCs w:val="24"/>
          <w:lang w:val="uk-UA"/>
        </w:rPr>
        <w:t>4</w:t>
      </w:r>
      <w:r w:rsidRPr="00DE78D9">
        <w:rPr>
          <w:rFonts w:ascii="Times New Roman" w:hAnsi="Times New Roman" w:cs="Times New Roman"/>
          <w:sz w:val="24"/>
          <w:szCs w:val="24"/>
          <w:lang w:val="uk-UA"/>
        </w:rPr>
        <w:t xml:space="preserve"> </w:t>
      </w:r>
      <w:r w:rsidRPr="00BD49B5">
        <w:rPr>
          <w:rFonts w:ascii="Times New Roman" w:hAnsi="Times New Roman" w:cs="Times New Roman"/>
          <w:sz w:val="24"/>
          <w:szCs w:val="24"/>
          <w:lang w:val="uk-UA"/>
        </w:rPr>
        <w:t xml:space="preserve">рік </w:t>
      </w:r>
      <w:r>
        <w:rPr>
          <w:rFonts w:ascii="Times New Roman" w:hAnsi="Times New Roman" w:cs="Times New Roman"/>
          <w:sz w:val="24"/>
          <w:szCs w:val="24"/>
          <w:lang w:val="uk-UA"/>
        </w:rPr>
        <w:t>с</w:t>
      </w:r>
      <w:r w:rsidRPr="00BD49B5">
        <w:rPr>
          <w:rFonts w:ascii="Times New Roman" w:hAnsi="Times New Roman" w:cs="Times New Roman"/>
          <w:sz w:val="24"/>
          <w:szCs w:val="24"/>
          <w:lang w:val="uk-UA"/>
        </w:rPr>
        <w:t>лужбі у справах дітей Чорноморської міської ради Одеського району Одеської області,</w:t>
      </w:r>
      <w:r w:rsidRPr="001A54B2">
        <w:rPr>
          <w:rFonts w:ascii="Times New Roman" w:hAnsi="Times New Roman" w:cs="Times New Roman"/>
          <w:b/>
          <w:sz w:val="24"/>
          <w:szCs w:val="24"/>
          <w:lang w:val="uk-UA"/>
        </w:rPr>
        <w:t xml:space="preserve"> </w:t>
      </w:r>
      <w:r w:rsidRPr="001A54B2">
        <w:rPr>
          <w:rFonts w:ascii="Times New Roman" w:hAnsi="Times New Roman" w:cs="Times New Roman"/>
          <w:sz w:val="24"/>
          <w:szCs w:val="24"/>
          <w:lang w:val="uk-UA"/>
        </w:rPr>
        <w:t>яка</w:t>
      </w:r>
      <w:r w:rsidRPr="001A54B2">
        <w:rPr>
          <w:rFonts w:ascii="Times New Roman" w:hAnsi="Times New Roman" w:cs="Times New Roman"/>
          <w:b/>
          <w:sz w:val="24"/>
          <w:szCs w:val="24"/>
          <w:lang w:val="uk-UA"/>
        </w:rPr>
        <w:t xml:space="preserve"> </w:t>
      </w:r>
      <w:r w:rsidRPr="001A54B2">
        <w:rPr>
          <w:rFonts w:ascii="Times New Roman" w:hAnsi="Times New Roman" w:cs="Times New Roman"/>
          <w:sz w:val="24"/>
          <w:szCs w:val="24"/>
          <w:lang w:val="uk-UA"/>
        </w:rPr>
        <w:t>створен</w:t>
      </w:r>
      <w:r>
        <w:rPr>
          <w:rFonts w:ascii="Times New Roman" w:hAnsi="Times New Roman" w:cs="Times New Roman"/>
          <w:sz w:val="24"/>
          <w:szCs w:val="24"/>
          <w:lang w:val="uk-UA"/>
        </w:rPr>
        <w:t>а</w:t>
      </w:r>
      <w:r w:rsidRPr="001A54B2">
        <w:rPr>
          <w:rFonts w:ascii="Times New Roman" w:hAnsi="Times New Roman" w:cs="Times New Roman"/>
          <w:sz w:val="24"/>
          <w:szCs w:val="24"/>
          <w:lang w:val="uk-UA"/>
        </w:rPr>
        <w:t xml:space="preserve"> відповідно до рішення Чорноморської міської ради Одеського району Одеської області від 23.06.2023 № 411-VIII,</w:t>
      </w:r>
      <w:r w:rsidRPr="001A54B2">
        <w:rPr>
          <w:rFonts w:ascii="Times New Roman" w:hAnsi="Times New Roman" w:cs="Times New Roman"/>
          <w:b/>
          <w:sz w:val="24"/>
          <w:szCs w:val="24"/>
          <w:lang w:val="uk-UA"/>
        </w:rPr>
        <w:t xml:space="preserve"> </w:t>
      </w:r>
      <w:r w:rsidRPr="00C841BA">
        <w:rPr>
          <w:rFonts w:ascii="Times New Roman" w:hAnsi="Times New Roman" w:cs="Times New Roman"/>
          <w:sz w:val="24"/>
          <w:szCs w:val="24"/>
          <w:lang w:val="uk-UA"/>
        </w:rPr>
        <w:t>визначені бюджетні призначення</w:t>
      </w:r>
      <w:r w:rsidRPr="001A54B2">
        <w:rPr>
          <w:rFonts w:ascii="Times New Roman" w:hAnsi="Times New Roman" w:cs="Times New Roman"/>
          <w:b/>
          <w:sz w:val="24"/>
          <w:szCs w:val="24"/>
          <w:lang w:val="uk-UA"/>
        </w:rPr>
        <w:t xml:space="preserve"> </w:t>
      </w:r>
      <w:r>
        <w:rPr>
          <w:rFonts w:ascii="Times New Roman" w:hAnsi="Times New Roman" w:cs="Times New Roman"/>
          <w:sz w:val="24"/>
          <w:szCs w:val="24"/>
          <w:lang w:val="uk-UA"/>
        </w:rPr>
        <w:t>у</w:t>
      </w:r>
      <w:r w:rsidRPr="00BF2FDF">
        <w:rPr>
          <w:rFonts w:ascii="Times New Roman" w:hAnsi="Times New Roman" w:cs="Times New Roman"/>
          <w:sz w:val="24"/>
          <w:szCs w:val="24"/>
          <w:lang w:val="uk-UA"/>
        </w:rPr>
        <w:t xml:space="preserve"> сумі</w:t>
      </w:r>
      <w:r>
        <w:rPr>
          <w:rFonts w:ascii="Times New Roman" w:hAnsi="Times New Roman" w:cs="Times New Roman"/>
          <w:b/>
          <w:sz w:val="24"/>
          <w:szCs w:val="24"/>
          <w:lang w:val="uk-UA"/>
        </w:rPr>
        <w:t xml:space="preserve"> </w:t>
      </w:r>
      <w:r w:rsidRPr="00BD49B5">
        <w:rPr>
          <w:rFonts w:ascii="Times New Roman" w:hAnsi="Times New Roman" w:cs="Times New Roman"/>
          <w:sz w:val="24"/>
          <w:szCs w:val="24"/>
          <w:lang w:val="uk-UA"/>
        </w:rPr>
        <w:t>2 530,5 тис. грн.</w:t>
      </w:r>
    </w:p>
    <w:p w:rsidR="008A22EE" w:rsidRPr="001A54B2" w:rsidRDefault="008A22EE" w:rsidP="008A22EE">
      <w:pPr>
        <w:pStyle w:val="a9"/>
        <w:ind w:left="14" w:firstLine="567"/>
        <w:jc w:val="both"/>
        <w:rPr>
          <w:lang w:val="uk-UA"/>
        </w:rPr>
      </w:pPr>
      <w:r w:rsidRPr="001A54B2">
        <w:rPr>
          <w:lang w:val="uk-UA"/>
        </w:rPr>
        <w:t xml:space="preserve">Найбільшу частку видатків </w:t>
      </w:r>
      <w:r>
        <w:rPr>
          <w:lang w:val="uk-UA"/>
        </w:rPr>
        <w:t>–</w:t>
      </w:r>
      <w:r w:rsidRPr="001A54B2">
        <w:rPr>
          <w:lang w:val="uk-UA"/>
        </w:rPr>
        <w:t xml:space="preserve"> </w:t>
      </w:r>
      <w:r>
        <w:rPr>
          <w:lang w:val="uk-UA"/>
        </w:rPr>
        <w:t>83,6</w:t>
      </w:r>
      <w:r w:rsidRPr="001A54B2">
        <w:rPr>
          <w:lang w:val="uk-UA"/>
        </w:rPr>
        <w:t xml:space="preserve">% або </w:t>
      </w:r>
      <w:r>
        <w:rPr>
          <w:lang w:val="uk-UA"/>
        </w:rPr>
        <w:t xml:space="preserve">2 115,0 тис. </w:t>
      </w:r>
      <w:r w:rsidRPr="001A54B2">
        <w:rPr>
          <w:lang w:val="uk-UA"/>
        </w:rPr>
        <w:t>грн від загальної суми видатків загального фонду головного розпорядника складають видатки на оплату праці з нарахуваннями.</w:t>
      </w:r>
    </w:p>
    <w:p w:rsidR="008A22EE" w:rsidRPr="00776D59" w:rsidRDefault="008A22EE" w:rsidP="008A22EE">
      <w:pPr>
        <w:pStyle w:val="a9"/>
        <w:ind w:firstLine="567"/>
        <w:jc w:val="both"/>
        <w:rPr>
          <w:highlight w:val="yellow"/>
          <w:lang w:val="uk-UA"/>
        </w:rPr>
      </w:pPr>
      <w:r w:rsidRPr="002957CD">
        <w:rPr>
          <w:lang w:val="uk-UA"/>
        </w:rPr>
        <w:t>Штатна чисельність</w:t>
      </w:r>
      <w:r>
        <w:rPr>
          <w:lang w:val="uk-UA"/>
        </w:rPr>
        <w:t xml:space="preserve"> служби у справах дітей</w:t>
      </w:r>
      <w:r w:rsidRPr="002957CD">
        <w:rPr>
          <w:lang w:val="uk-UA"/>
        </w:rPr>
        <w:t xml:space="preserve">, фінансування яких здійснюється за рахунок коштів загального фонду бюджету Чорноморської міської територіальної громади, складає </w:t>
      </w:r>
      <w:r>
        <w:rPr>
          <w:lang w:val="uk-UA"/>
        </w:rPr>
        <w:t xml:space="preserve">6 </w:t>
      </w:r>
      <w:r w:rsidRPr="002957CD">
        <w:rPr>
          <w:lang w:val="uk-UA"/>
        </w:rPr>
        <w:t>одиниць</w:t>
      </w:r>
      <w:r>
        <w:rPr>
          <w:lang w:val="uk-UA"/>
        </w:rPr>
        <w:t>.</w:t>
      </w:r>
      <w:r w:rsidRPr="002957CD">
        <w:rPr>
          <w:lang w:val="uk-UA"/>
        </w:rPr>
        <w:t xml:space="preserve"> </w:t>
      </w:r>
    </w:p>
    <w:p w:rsidR="008A22EE" w:rsidRPr="00A460FE" w:rsidRDefault="008A22EE" w:rsidP="008A22EE">
      <w:pPr>
        <w:pStyle w:val="a9"/>
        <w:ind w:right="28" w:firstLine="567"/>
        <w:jc w:val="both"/>
        <w:rPr>
          <w:lang w:val="uk-UA"/>
        </w:rPr>
      </w:pPr>
      <w:r w:rsidRPr="00A460FE">
        <w:rPr>
          <w:lang w:val="uk-UA"/>
        </w:rPr>
        <w:t>Видатки на заходи державної політики з питань дітей та їх соціального захисту складають 205</w:t>
      </w:r>
      <w:r>
        <w:rPr>
          <w:lang w:val="uk-UA"/>
        </w:rPr>
        <w:t xml:space="preserve">,0 тис. </w:t>
      </w:r>
      <w:r w:rsidRPr="00A460FE">
        <w:rPr>
          <w:lang w:val="uk-UA"/>
        </w:rPr>
        <w:t>грн.</w:t>
      </w:r>
    </w:p>
    <w:p w:rsidR="008A22EE" w:rsidRPr="00776D59" w:rsidRDefault="008A22EE" w:rsidP="008A22EE">
      <w:pPr>
        <w:pStyle w:val="a9"/>
        <w:ind w:right="28" w:firstLine="567"/>
        <w:jc w:val="both"/>
        <w:rPr>
          <w:highlight w:val="yellow"/>
          <w:lang w:val="uk-UA"/>
        </w:rPr>
      </w:pPr>
    </w:p>
    <w:p w:rsidR="008A22EE" w:rsidRPr="00D06BB0" w:rsidRDefault="008A22EE" w:rsidP="008A22EE">
      <w:pPr>
        <w:pStyle w:val="a9"/>
        <w:ind w:left="14" w:right="28" w:firstLine="567"/>
        <w:jc w:val="center"/>
        <w:rPr>
          <w:b/>
          <w:lang w:val="uk-UA"/>
        </w:rPr>
      </w:pPr>
      <w:r w:rsidRPr="00D06BB0">
        <w:rPr>
          <w:b/>
          <w:lang w:val="uk-UA"/>
        </w:rPr>
        <w:t xml:space="preserve">ВІДДІЛ КУЛЬТУРИ ЧОРНОМОРСЬКОЇ МІСЬКОЇ РАДИ </w:t>
      </w:r>
    </w:p>
    <w:p w:rsidR="008A22EE" w:rsidRPr="00D06BB0" w:rsidRDefault="008A22EE" w:rsidP="008A22EE">
      <w:pPr>
        <w:pStyle w:val="a9"/>
        <w:ind w:left="14" w:right="28" w:firstLine="567"/>
        <w:jc w:val="center"/>
        <w:rPr>
          <w:b/>
          <w:lang w:val="uk-UA"/>
        </w:rPr>
      </w:pPr>
      <w:r w:rsidRPr="00D06BB0">
        <w:rPr>
          <w:b/>
          <w:lang w:val="uk-UA"/>
        </w:rPr>
        <w:t>ОДЕСЬКОГО РАЙОНУ ОДЕСЬКОЇ ОБЛАСТІ</w:t>
      </w:r>
    </w:p>
    <w:p w:rsidR="008A22EE" w:rsidRPr="00D06BB0" w:rsidRDefault="008A22EE" w:rsidP="008A22EE">
      <w:pPr>
        <w:pStyle w:val="a9"/>
        <w:ind w:left="14" w:right="28" w:firstLine="567"/>
        <w:jc w:val="both"/>
        <w:rPr>
          <w:u w:val="single"/>
          <w:lang w:val="uk-UA"/>
        </w:rPr>
      </w:pPr>
    </w:p>
    <w:p w:rsidR="008A22EE" w:rsidRPr="00D06BB0" w:rsidRDefault="008A22EE" w:rsidP="008A22EE">
      <w:pPr>
        <w:pStyle w:val="a9"/>
        <w:ind w:left="14" w:right="28" w:firstLine="567"/>
        <w:jc w:val="both"/>
        <w:rPr>
          <w:lang w:val="uk-UA"/>
        </w:rPr>
      </w:pPr>
      <w:r w:rsidRPr="00D06BB0">
        <w:rPr>
          <w:lang w:val="uk-UA"/>
        </w:rPr>
        <w:t xml:space="preserve">В проєкті бюджету Чорноморської міської територіальної громади на 2024 рік </w:t>
      </w:r>
      <w:r>
        <w:rPr>
          <w:lang w:val="uk-UA"/>
        </w:rPr>
        <w:t>В</w:t>
      </w:r>
      <w:r w:rsidRPr="00D06BB0">
        <w:rPr>
          <w:lang w:val="uk-UA"/>
        </w:rPr>
        <w:t xml:space="preserve">ідділу культури Чорноморської міської ради Одеського району Одеської області визначені бюджетні призначення у сумі </w:t>
      </w:r>
      <w:r w:rsidRPr="009F05DF">
        <w:rPr>
          <w:lang w:val="uk-UA"/>
        </w:rPr>
        <w:t>57 736,3 тис.</w:t>
      </w:r>
      <w:r>
        <w:rPr>
          <w:b/>
          <w:lang w:val="uk-UA"/>
        </w:rPr>
        <w:t xml:space="preserve"> </w:t>
      </w:r>
      <w:r w:rsidRPr="00D06BB0">
        <w:rPr>
          <w:lang w:val="uk-UA"/>
        </w:rPr>
        <w:t>грн, із яких за загальним фондом –56</w:t>
      </w:r>
      <w:r>
        <w:rPr>
          <w:lang w:val="uk-UA"/>
        </w:rPr>
        <w:t> </w:t>
      </w:r>
      <w:r w:rsidRPr="00D06BB0">
        <w:rPr>
          <w:lang w:val="uk-UA"/>
        </w:rPr>
        <w:t>431</w:t>
      </w:r>
      <w:r>
        <w:rPr>
          <w:lang w:val="uk-UA"/>
        </w:rPr>
        <w:t xml:space="preserve">,3                       тис. </w:t>
      </w:r>
      <w:r w:rsidRPr="00D06BB0">
        <w:rPr>
          <w:lang w:val="uk-UA"/>
        </w:rPr>
        <w:t xml:space="preserve"> грн та спеціальним фондом – 1</w:t>
      </w:r>
      <w:r>
        <w:rPr>
          <w:lang w:val="uk-UA"/>
        </w:rPr>
        <w:t> </w:t>
      </w:r>
      <w:r w:rsidRPr="00D06BB0">
        <w:rPr>
          <w:lang w:val="uk-UA"/>
        </w:rPr>
        <w:t>305</w:t>
      </w:r>
      <w:r>
        <w:rPr>
          <w:lang w:val="uk-UA"/>
        </w:rPr>
        <w:t xml:space="preserve">,0 тис. </w:t>
      </w:r>
      <w:r w:rsidRPr="00D06BB0">
        <w:rPr>
          <w:lang w:val="uk-UA"/>
        </w:rPr>
        <w:t xml:space="preserve">грн за рахунок власних надходжень установ культури. </w:t>
      </w:r>
    </w:p>
    <w:p w:rsidR="008A22EE" w:rsidRPr="00F9650A" w:rsidRDefault="008A22EE" w:rsidP="008A22EE">
      <w:pPr>
        <w:pStyle w:val="a9"/>
        <w:ind w:firstLine="567"/>
        <w:jc w:val="both"/>
        <w:rPr>
          <w:lang w:val="uk-UA"/>
        </w:rPr>
      </w:pPr>
      <w:r w:rsidRPr="00F9650A">
        <w:rPr>
          <w:lang w:val="uk-UA"/>
        </w:rPr>
        <w:t>Відділу культури Чорноморської міської ради Одеського району Одеської області передбачені кошти на утримання 12 установ та закладів культури та мистецтва, а саме:</w:t>
      </w:r>
    </w:p>
    <w:p w:rsidR="008A22EE" w:rsidRPr="00F9650A" w:rsidRDefault="008A22EE" w:rsidP="008A22EE">
      <w:pPr>
        <w:pStyle w:val="a9"/>
        <w:ind w:left="14" w:firstLine="567"/>
        <w:jc w:val="both"/>
        <w:rPr>
          <w:lang w:val="uk-UA"/>
        </w:rPr>
      </w:pPr>
      <w:r w:rsidRPr="00F9650A">
        <w:rPr>
          <w:lang w:val="uk-UA"/>
        </w:rPr>
        <w:t>- комунальний заклад "Школа мистецтв ім.</w:t>
      </w:r>
      <w:r>
        <w:rPr>
          <w:lang w:val="uk-UA"/>
        </w:rPr>
        <w:t xml:space="preserve"> </w:t>
      </w:r>
      <w:proofErr w:type="spellStart"/>
      <w:r w:rsidRPr="00F9650A">
        <w:rPr>
          <w:lang w:val="uk-UA"/>
        </w:rPr>
        <w:t>Л.М.Нагаєва</w:t>
      </w:r>
      <w:proofErr w:type="spellEnd"/>
      <w:r w:rsidRPr="00F9650A">
        <w:rPr>
          <w:lang w:val="uk-UA"/>
        </w:rPr>
        <w:t xml:space="preserve"> м.</w:t>
      </w:r>
      <w:r>
        <w:rPr>
          <w:lang w:val="uk-UA"/>
        </w:rPr>
        <w:t xml:space="preserve"> </w:t>
      </w:r>
      <w:r w:rsidRPr="00F9650A">
        <w:rPr>
          <w:lang w:val="uk-UA"/>
        </w:rPr>
        <w:t>Чорноморська Одеського району Одеської області";</w:t>
      </w:r>
    </w:p>
    <w:p w:rsidR="008A22EE" w:rsidRPr="00F9650A" w:rsidRDefault="008A22EE" w:rsidP="008A22EE">
      <w:pPr>
        <w:pStyle w:val="a9"/>
        <w:ind w:left="14" w:firstLine="567"/>
        <w:jc w:val="both"/>
        <w:rPr>
          <w:lang w:val="uk-UA"/>
        </w:rPr>
      </w:pPr>
      <w:r w:rsidRPr="00F9650A">
        <w:rPr>
          <w:lang w:val="uk-UA"/>
        </w:rPr>
        <w:t>- централізована бібліотечна система м.</w:t>
      </w:r>
      <w:r>
        <w:rPr>
          <w:lang w:val="uk-UA"/>
        </w:rPr>
        <w:t xml:space="preserve"> </w:t>
      </w:r>
      <w:r w:rsidRPr="00F9650A">
        <w:rPr>
          <w:lang w:val="uk-UA"/>
        </w:rPr>
        <w:t>Чорноморська Одеського району Одеської області у складі 5 закладів:</w:t>
      </w:r>
    </w:p>
    <w:p w:rsidR="008A22EE" w:rsidRPr="00F9650A" w:rsidRDefault="008A22EE" w:rsidP="00E67FF2">
      <w:pPr>
        <w:pStyle w:val="a9"/>
        <w:numPr>
          <w:ilvl w:val="2"/>
          <w:numId w:val="16"/>
        </w:numPr>
        <w:ind w:left="14" w:firstLine="567"/>
        <w:jc w:val="both"/>
        <w:rPr>
          <w:lang w:val="uk-UA"/>
        </w:rPr>
      </w:pPr>
      <w:r w:rsidRPr="00F9650A">
        <w:rPr>
          <w:lang w:val="uk-UA"/>
        </w:rPr>
        <w:t xml:space="preserve"> Централізована міська бібліотека ім. І.</w:t>
      </w:r>
      <w:r>
        <w:rPr>
          <w:lang w:val="uk-UA"/>
        </w:rPr>
        <w:t xml:space="preserve"> </w:t>
      </w:r>
      <w:proofErr w:type="spellStart"/>
      <w:r w:rsidRPr="00F9650A">
        <w:rPr>
          <w:lang w:val="uk-UA"/>
        </w:rPr>
        <w:t>Рядченка</w:t>
      </w:r>
      <w:proofErr w:type="spellEnd"/>
      <w:r w:rsidRPr="00F9650A">
        <w:rPr>
          <w:lang w:val="uk-UA"/>
        </w:rPr>
        <w:t xml:space="preserve"> м. Чорноморська Одеського району Одеської області</w:t>
      </w:r>
    </w:p>
    <w:p w:rsidR="008A22EE" w:rsidRPr="00F9650A" w:rsidRDefault="008A22EE" w:rsidP="00E67FF2">
      <w:pPr>
        <w:pStyle w:val="a9"/>
        <w:numPr>
          <w:ilvl w:val="2"/>
          <w:numId w:val="16"/>
        </w:numPr>
        <w:tabs>
          <w:tab w:val="left" w:pos="709"/>
        </w:tabs>
        <w:ind w:left="14" w:firstLine="567"/>
        <w:jc w:val="both"/>
        <w:rPr>
          <w:lang w:val="uk-UA"/>
        </w:rPr>
      </w:pPr>
      <w:r w:rsidRPr="00F9650A">
        <w:rPr>
          <w:lang w:val="uk-UA"/>
        </w:rPr>
        <w:t>Дитяча міська бібліотека м. Чорноморська Одеського району Одеської області;</w:t>
      </w:r>
    </w:p>
    <w:p w:rsidR="008A22EE" w:rsidRPr="00F9650A" w:rsidRDefault="008A22EE" w:rsidP="00E67FF2">
      <w:pPr>
        <w:pStyle w:val="a9"/>
        <w:numPr>
          <w:ilvl w:val="2"/>
          <w:numId w:val="16"/>
        </w:numPr>
        <w:ind w:left="14" w:firstLine="567"/>
        <w:jc w:val="both"/>
        <w:rPr>
          <w:lang w:val="uk-UA"/>
        </w:rPr>
      </w:pPr>
      <w:r w:rsidRPr="00F9650A">
        <w:rPr>
          <w:lang w:val="uk-UA"/>
        </w:rPr>
        <w:t xml:space="preserve"> Бібліотека-філія № 2 </w:t>
      </w:r>
      <w:proofErr w:type="spellStart"/>
      <w:r w:rsidRPr="00F9650A">
        <w:rPr>
          <w:lang w:val="uk-UA"/>
        </w:rPr>
        <w:t>сел</w:t>
      </w:r>
      <w:proofErr w:type="spellEnd"/>
      <w:r w:rsidRPr="00F9650A">
        <w:rPr>
          <w:lang w:val="uk-UA"/>
        </w:rPr>
        <w:t>. Олександрівка;</w:t>
      </w:r>
    </w:p>
    <w:p w:rsidR="008A22EE" w:rsidRPr="00F9650A" w:rsidRDefault="008A22EE" w:rsidP="00E67FF2">
      <w:pPr>
        <w:pStyle w:val="a9"/>
        <w:numPr>
          <w:ilvl w:val="2"/>
          <w:numId w:val="16"/>
        </w:numPr>
        <w:ind w:left="14" w:firstLine="567"/>
        <w:jc w:val="both"/>
        <w:rPr>
          <w:lang w:val="uk-UA"/>
        </w:rPr>
      </w:pPr>
      <w:r w:rsidRPr="00F9650A">
        <w:rPr>
          <w:lang w:val="uk-UA"/>
        </w:rPr>
        <w:t xml:space="preserve"> Бібліотека-філія № 3 с. </w:t>
      </w:r>
      <w:proofErr w:type="spellStart"/>
      <w:r w:rsidRPr="00F9650A">
        <w:rPr>
          <w:lang w:val="uk-UA"/>
        </w:rPr>
        <w:t>Малодолинське</w:t>
      </w:r>
      <w:proofErr w:type="spellEnd"/>
      <w:r w:rsidRPr="00F9650A">
        <w:rPr>
          <w:lang w:val="uk-UA"/>
        </w:rPr>
        <w:t>;</w:t>
      </w:r>
    </w:p>
    <w:p w:rsidR="008A22EE" w:rsidRPr="00F9650A" w:rsidRDefault="008A22EE" w:rsidP="00E67FF2">
      <w:pPr>
        <w:pStyle w:val="a9"/>
        <w:numPr>
          <w:ilvl w:val="2"/>
          <w:numId w:val="16"/>
        </w:numPr>
        <w:ind w:left="14" w:firstLine="567"/>
        <w:jc w:val="both"/>
        <w:rPr>
          <w:lang w:val="uk-UA"/>
        </w:rPr>
      </w:pPr>
      <w:r w:rsidRPr="00F9650A">
        <w:rPr>
          <w:lang w:val="uk-UA"/>
        </w:rPr>
        <w:t xml:space="preserve"> Бібліотека-філія № 4 с. </w:t>
      </w:r>
      <w:proofErr w:type="spellStart"/>
      <w:r w:rsidRPr="00F9650A">
        <w:rPr>
          <w:lang w:val="uk-UA"/>
        </w:rPr>
        <w:t>Бурлача</w:t>
      </w:r>
      <w:proofErr w:type="spellEnd"/>
      <w:r w:rsidRPr="00F9650A">
        <w:rPr>
          <w:lang w:val="uk-UA"/>
        </w:rPr>
        <w:t xml:space="preserve"> Балка.</w:t>
      </w:r>
    </w:p>
    <w:p w:rsidR="008A22EE" w:rsidRPr="00776D59" w:rsidRDefault="008A22EE" w:rsidP="008A22EE">
      <w:pPr>
        <w:pStyle w:val="a9"/>
        <w:ind w:left="14" w:firstLine="567"/>
        <w:jc w:val="both"/>
        <w:rPr>
          <w:highlight w:val="yellow"/>
          <w:lang w:val="uk-UA"/>
        </w:rPr>
      </w:pPr>
      <w:r w:rsidRPr="00D06BB0">
        <w:rPr>
          <w:lang w:val="uk-UA"/>
        </w:rPr>
        <w:lastRenderedPageBreak/>
        <w:t>- клубні заклади у складі 4 закладів:</w:t>
      </w:r>
    </w:p>
    <w:p w:rsidR="008A22EE" w:rsidRPr="00D06BB0" w:rsidRDefault="008A22EE" w:rsidP="00E67FF2">
      <w:pPr>
        <w:pStyle w:val="a9"/>
        <w:numPr>
          <w:ilvl w:val="2"/>
          <w:numId w:val="17"/>
        </w:numPr>
        <w:ind w:left="14" w:firstLine="567"/>
        <w:jc w:val="both"/>
        <w:rPr>
          <w:lang w:val="uk-UA"/>
        </w:rPr>
      </w:pPr>
      <w:r w:rsidRPr="00D06BB0">
        <w:rPr>
          <w:lang w:val="uk-UA"/>
        </w:rPr>
        <w:t xml:space="preserve"> Палацу культури м. Чорноморська Одеського району Одеської області;</w:t>
      </w:r>
    </w:p>
    <w:p w:rsidR="008A22EE" w:rsidRPr="00D06BB0" w:rsidRDefault="008A22EE" w:rsidP="00E67FF2">
      <w:pPr>
        <w:pStyle w:val="a9"/>
        <w:numPr>
          <w:ilvl w:val="2"/>
          <w:numId w:val="17"/>
        </w:numPr>
        <w:ind w:left="14" w:firstLine="567"/>
        <w:jc w:val="both"/>
        <w:rPr>
          <w:lang w:val="uk-UA"/>
        </w:rPr>
      </w:pPr>
      <w:r w:rsidRPr="00D06BB0">
        <w:rPr>
          <w:lang w:val="uk-UA"/>
        </w:rPr>
        <w:t xml:space="preserve"> Олександрівський будинок культури м. Чорноморська Одеського району Одеської області;</w:t>
      </w:r>
    </w:p>
    <w:p w:rsidR="008A22EE" w:rsidRPr="00D06BB0" w:rsidRDefault="008A22EE" w:rsidP="00E67FF2">
      <w:pPr>
        <w:pStyle w:val="a9"/>
        <w:numPr>
          <w:ilvl w:val="2"/>
          <w:numId w:val="17"/>
        </w:numPr>
        <w:ind w:left="14" w:firstLine="567"/>
        <w:jc w:val="both"/>
        <w:rPr>
          <w:lang w:val="uk-UA"/>
        </w:rPr>
      </w:pPr>
      <w:r w:rsidRPr="00D06BB0">
        <w:rPr>
          <w:lang w:val="uk-UA"/>
        </w:rPr>
        <w:t xml:space="preserve"> Малодолинський будинок культури м. Чорноморська Одеського району Одеської області;</w:t>
      </w:r>
    </w:p>
    <w:p w:rsidR="008A22EE" w:rsidRPr="00D06BB0" w:rsidRDefault="008A22EE" w:rsidP="00E67FF2">
      <w:pPr>
        <w:pStyle w:val="a9"/>
        <w:numPr>
          <w:ilvl w:val="2"/>
          <w:numId w:val="17"/>
        </w:numPr>
        <w:ind w:left="14" w:firstLine="567"/>
        <w:jc w:val="both"/>
        <w:rPr>
          <w:lang w:val="uk-UA"/>
        </w:rPr>
      </w:pPr>
      <w:r w:rsidRPr="00D06BB0">
        <w:rPr>
          <w:lang w:val="uk-UA"/>
        </w:rPr>
        <w:t xml:space="preserve"> </w:t>
      </w:r>
      <w:proofErr w:type="spellStart"/>
      <w:r w:rsidRPr="00D06BB0">
        <w:rPr>
          <w:lang w:val="uk-UA"/>
        </w:rPr>
        <w:t>Бурлачобалківський</w:t>
      </w:r>
      <w:proofErr w:type="spellEnd"/>
      <w:r w:rsidRPr="00D06BB0">
        <w:rPr>
          <w:lang w:val="uk-UA"/>
        </w:rPr>
        <w:t xml:space="preserve"> клуб м. Чорноморська Одеського району Одеської області.</w:t>
      </w:r>
    </w:p>
    <w:p w:rsidR="008A22EE" w:rsidRPr="00D06BB0" w:rsidRDefault="008A22EE" w:rsidP="008A22EE">
      <w:pPr>
        <w:pStyle w:val="a9"/>
        <w:ind w:left="14" w:firstLine="567"/>
        <w:jc w:val="both"/>
        <w:rPr>
          <w:lang w:val="uk-UA"/>
        </w:rPr>
      </w:pPr>
      <w:r w:rsidRPr="00D06BB0">
        <w:rPr>
          <w:lang w:val="uk-UA"/>
        </w:rPr>
        <w:t>- музей образотворчих мистецтв ім. О. Білого м. Чорноморська Одеського району Одеської області;</w:t>
      </w:r>
    </w:p>
    <w:p w:rsidR="008A22EE" w:rsidRPr="00D06BB0" w:rsidRDefault="008A22EE" w:rsidP="008A22EE">
      <w:pPr>
        <w:pStyle w:val="a9"/>
        <w:ind w:left="14" w:firstLine="567"/>
        <w:jc w:val="both"/>
        <w:rPr>
          <w:lang w:val="uk-UA"/>
        </w:rPr>
      </w:pPr>
      <w:r w:rsidRPr="00D06BB0">
        <w:rPr>
          <w:lang w:val="uk-UA"/>
        </w:rPr>
        <w:t>- централізована бухгалтерія відділу культури Чорноморської міської ради Одеського району Одеської області.</w:t>
      </w:r>
    </w:p>
    <w:p w:rsidR="008A22EE" w:rsidRPr="00776D59" w:rsidRDefault="008A22EE" w:rsidP="008A22EE">
      <w:pPr>
        <w:pStyle w:val="a9"/>
        <w:ind w:left="14" w:firstLine="567"/>
        <w:jc w:val="both"/>
        <w:rPr>
          <w:highlight w:val="yellow"/>
          <w:lang w:val="uk-UA"/>
        </w:rPr>
      </w:pPr>
    </w:p>
    <w:p w:rsidR="008A22EE" w:rsidRPr="002957CD" w:rsidRDefault="008A22EE" w:rsidP="008A22EE">
      <w:pPr>
        <w:pStyle w:val="a9"/>
        <w:ind w:left="14" w:right="28" w:firstLine="567"/>
        <w:jc w:val="both"/>
        <w:rPr>
          <w:lang w:val="uk-UA"/>
        </w:rPr>
      </w:pPr>
      <w:r w:rsidRPr="002957CD">
        <w:rPr>
          <w:lang w:val="uk-UA"/>
        </w:rPr>
        <w:t>Найбільшу питому вагу у видатках загального фонду бюджету головного розпорядника займають видатки на оплату праці з нарахуваннями – 50</w:t>
      </w:r>
      <w:r>
        <w:rPr>
          <w:lang w:val="uk-UA"/>
        </w:rPr>
        <w:t> </w:t>
      </w:r>
      <w:r w:rsidRPr="002957CD">
        <w:rPr>
          <w:lang w:val="uk-UA"/>
        </w:rPr>
        <w:t>609</w:t>
      </w:r>
      <w:r>
        <w:rPr>
          <w:lang w:val="uk-UA"/>
        </w:rPr>
        <w:t>,6 тис. грн</w:t>
      </w:r>
      <w:r w:rsidRPr="002957CD">
        <w:rPr>
          <w:lang w:val="uk-UA"/>
        </w:rPr>
        <w:t>, або 89,7 % видатків загального фонду розпорядника.</w:t>
      </w:r>
    </w:p>
    <w:p w:rsidR="008A22EE" w:rsidRPr="00776D59" w:rsidRDefault="008A22EE" w:rsidP="008A22EE">
      <w:pPr>
        <w:pStyle w:val="a9"/>
        <w:ind w:firstLine="567"/>
        <w:jc w:val="both"/>
        <w:rPr>
          <w:highlight w:val="yellow"/>
          <w:lang w:val="uk-UA"/>
        </w:rPr>
      </w:pPr>
      <w:r w:rsidRPr="002957CD">
        <w:rPr>
          <w:lang w:val="uk-UA"/>
        </w:rPr>
        <w:t>Штатна чисельність установ культури та мистецтва, фінансування яких здійснюється за рахунок коштів загального фонду бюджету Чорноморської міської територіальної громади, складає 259,75 одиниць, в тому числі педагогічний персонал</w:t>
      </w:r>
      <w:r>
        <w:rPr>
          <w:lang w:val="uk-UA"/>
        </w:rPr>
        <w:t xml:space="preserve"> </w:t>
      </w:r>
      <w:r w:rsidRPr="002957CD">
        <w:rPr>
          <w:lang w:val="uk-UA"/>
        </w:rPr>
        <w:t xml:space="preserve">– 110,0 одиниць. </w:t>
      </w:r>
    </w:p>
    <w:p w:rsidR="008A22EE" w:rsidRPr="002957CD" w:rsidRDefault="008A22EE" w:rsidP="008A22EE">
      <w:pPr>
        <w:pStyle w:val="a9"/>
        <w:ind w:left="14" w:right="28" w:firstLine="567"/>
        <w:jc w:val="both"/>
        <w:rPr>
          <w:lang w:val="uk-UA"/>
        </w:rPr>
      </w:pPr>
      <w:r w:rsidRPr="002957CD">
        <w:rPr>
          <w:lang w:val="uk-UA"/>
        </w:rPr>
        <w:t xml:space="preserve">Видатки на оплату комунальних послуг та енергоносіїв розраховані в обсязі </w:t>
      </w:r>
      <w:r>
        <w:rPr>
          <w:lang w:val="uk-UA"/>
        </w:rPr>
        <w:t xml:space="preserve">                        </w:t>
      </w:r>
      <w:r w:rsidRPr="002957CD">
        <w:rPr>
          <w:lang w:val="uk-UA"/>
        </w:rPr>
        <w:t>3</w:t>
      </w:r>
      <w:r>
        <w:rPr>
          <w:lang w:val="uk-UA"/>
        </w:rPr>
        <w:t> </w:t>
      </w:r>
      <w:r w:rsidRPr="002957CD">
        <w:rPr>
          <w:lang w:val="uk-UA"/>
        </w:rPr>
        <w:t>196</w:t>
      </w:r>
      <w:r>
        <w:rPr>
          <w:lang w:val="uk-UA"/>
        </w:rPr>
        <w:t xml:space="preserve">,0 тис. </w:t>
      </w:r>
      <w:r w:rsidRPr="002957CD">
        <w:rPr>
          <w:lang w:val="uk-UA"/>
        </w:rPr>
        <w:t xml:space="preserve"> грн, або 5,7 </w:t>
      </w:r>
      <w:r w:rsidRPr="002957CD">
        <w:rPr>
          <w:i/>
          <w:lang w:val="uk-UA"/>
        </w:rPr>
        <w:t>%</w:t>
      </w:r>
      <w:r w:rsidRPr="002957CD">
        <w:rPr>
          <w:lang w:val="uk-UA"/>
        </w:rPr>
        <w:t xml:space="preserve"> від загального обсягу видатків загального фонду, передбачених на утримання установ культури.</w:t>
      </w:r>
    </w:p>
    <w:p w:rsidR="008A22EE" w:rsidRPr="002957CD" w:rsidRDefault="008A22EE" w:rsidP="008A22EE">
      <w:pPr>
        <w:pStyle w:val="a9"/>
        <w:ind w:left="14" w:right="28" w:firstLine="567"/>
        <w:jc w:val="both"/>
        <w:rPr>
          <w:lang w:val="uk-UA"/>
        </w:rPr>
      </w:pPr>
      <w:r w:rsidRPr="002957CD">
        <w:rPr>
          <w:lang w:val="uk-UA"/>
        </w:rPr>
        <w:t>На проведення культурних заходів на території громади визначені видатки в загальній сумі 600</w:t>
      </w:r>
      <w:r>
        <w:rPr>
          <w:lang w:val="uk-UA"/>
        </w:rPr>
        <w:t xml:space="preserve">,0 тис. </w:t>
      </w:r>
      <w:r w:rsidRPr="002957CD">
        <w:rPr>
          <w:lang w:val="uk-UA"/>
        </w:rPr>
        <w:t>грн.</w:t>
      </w:r>
    </w:p>
    <w:p w:rsidR="008A22EE" w:rsidRPr="001B3A13" w:rsidRDefault="008A22EE" w:rsidP="008A22EE">
      <w:pPr>
        <w:pStyle w:val="a9"/>
        <w:ind w:left="14" w:right="28" w:firstLine="567"/>
        <w:jc w:val="both"/>
        <w:rPr>
          <w:lang w:val="uk-UA"/>
        </w:rPr>
      </w:pPr>
      <w:r w:rsidRPr="001B3A13">
        <w:rPr>
          <w:lang w:val="uk-UA"/>
        </w:rPr>
        <w:t>Інші видатки загального фонду бюджету на утримання установ культури обраховані з урахуванням надзвичайно жорсткої економії та забезпечення першочергових потреб та складають 2</w:t>
      </w:r>
      <w:r>
        <w:rPr>
          <w:lang w:val="uk-UA"/>
        </w:rPr>
        <w:t> </w:t>
      </w:r>
      <w:r w:rsidRPr="001B3A13">
        <w:rPr>
          <w:lang w:val="uk-UA"/>
        </w:rPr>
        <w:t>025</w:t>
      </w:r>
      <w:r>
        <w:rPr>
          <w:lang w:val="uk-UA"/>
        </w:rPr>
        <w:t xml:space="preserve">,7 тис. </w:t>
      </w:r>
      <w:r w:rsidRPr="001B3A13">
        <w:rPr>
          <w:lang w:val="uk-UA"/>
        </w:rPr>
        <w:t>грн.</w:t>
      </w:r>
    </w:p>
    <w:p w:rsidR="008A22EE" w:rsidRPr="00776D59" w:rsidRDefault="008A22EE" w:rsidP="008A22EE">
      <w:pPr>
        <w:shd w:val="clear" w:color="auto" w:fill="FFFFFF" w:themeFill="background1"/>
        <w:tabs>
          <w:tab w:val="left" w:pos="-5245"/>
        </w:tabs>
        <w:spacing w:after="0" w:line="240" w:lineRule="auto"/>
        <w:ind w:right="-2" w:firstLine="567"/>
        <w:contextualSpacing/>
        <w:jc w:val="both"/>
        <w:rPr>
          <w:rFonts w:ascii="Times New Roman" w:hAnsi="Times New Roman" w:cs="Times New Roman"/>
          <w:b/>
          <w:sz w:val="24"/>
          <w:szCs w:val="24"/>
          <w:highlight w:val="yellow"/>
          <w:lang w:val="uk-UA"/>
        </w:rPr>
      </w:pPr>
    </w:p>
    <w:p w:rsidR="008A22EE" w:rsidRPr="00776D59" w:rsidRDefault="008A22EE" w:rsidP="008A22EE">
      <w:pPr>
        <w:pStyle w:val="a9"/>
        <w:ind w:left="14" w:right="28" w:firstLine="567"/>
        <w:jc w:val="both"/>
        <w:rPr>
          <w:highlight w:val="yellow"/>
          <w:lang w:val="uk-UA"/>
        </w:rPr>
      </w:pPr>
      <w:r w:rsidRPr="001B3A13">
        <w:rPr>
          <w:lang w:val="uk-UA"/>
        </w:rPr>
        <w:t>Власні надходження установ культури на 2024 рік розраховані в обсязі</w:t>
      </w:r>
      <w:r>
        <w:rPr>
          <w:lang w:val="uk-UA"/>
        </w:rPr>
        <w:t xml:space="preserve"> </w:t>
      </w:r>
      <w:r w:rsidRPr="001B3A13">
        <w:rPr>
          <w:lang w:val="uk-UA"/>
        </w:rPr>
        <w:t>1</w:t>
      </w:r>
      <w:r>
        <w:rPr>
          <w:lang w:val="uk-UA"/>
        </w:rPr>
        <w:t> </w:t>
      </w:r>
      <w:r w:rsidRPr="001B3A13">
        <w:rPr>
          <w:lang w:val="uk-UA"/>
        </w:rPr>
        <w:t>305</w:t>
      </w:r>
      <w:r>
        <w:rPr>
          <w:lang w:val="uk-UA"/>
        </w:rPr>
        <w:t xml:space="preserve">,0 тис. </w:t>
      </w:r>
      <w:r w:rsidRPr="001B3A13">
        <w:rPr>
          <w:lang w:val="uk-UA"/>
        </w:rPr>
        <w:t xml:space="preserve">грн, які </w:t>
      </w:r>
      <w:r w:rsidRPr="00431262">
        <w:rPr>
          <w:lang w:val="uk-UA"/>
        </w:rPr>
        <w:t>планується направити на поточне утримання закладів та покращення матеріально-технічної бази установ</w:t>
      </w:r>
      <w:r>
        <w:rPr>
          <w:lang w:val="uk-UA"/>
        </w:rPr>
        <w:t xml:space="preserve"> та</w:t>
      </w:r>
      <w:r w:rsidRPr="00431262">
        <w:rPr>
          <w:lang w:val="uk-UA"/>
        </w:rPr>
        <w:t xml:space="preserve"> оплат</w:t>
      </w:r>
      <w:r>
        <w:rPr>
          <w:lang w:val="uk-UA"/>
        </w:rPr>
        <w:t>у</w:t>
      </w:r>
      <w:r w:rsidRPr="00431262">
        <w:rPr>
          <w:lang w:val="uk-UA"/>
        </w:rPr>
        <w:t xml:space="preserve"> заробітної плати з нарахуваннями працівників, фінансування яких здійснюється за рахунок власних надходжень установи. </w:t>
      </w:r>
    </w:p>
    <w:p w:rsidR="008A22EE" w:rsidRPr="0041337B" w:rsidRDefault="008A22EE" w:rsidP="008A22EE">
      <w:pPr>
        <w:pStyle w:val="a9"/>
        <w:ind w:left="14" w:right="28" w:firstLine="567"/>
        <w:jc w:val="center"/>
        <w:rPr>
          <w:b/>
          <w:lang w:val="uk-UA"/>
        </w:rPr>
      </w:pPr>
    </w:p>
    <w:p w:rsidR="008A22EE" w:rsidRPr="0041337B" w:rsidRDefault="008A22EE" w:rsidP="008A22EE">
      <w:pPr>
        <w:pStyle w:val="a9"/>
        <w:ind w:left="14" w:right="28" w:firstLine="567"/>
        <w:jc w:val="center"/>
        <w:rPr>
          <w:b/>
          <w:lang w:val="uk-UA"/>
        </w:rPr>
      </w:pPr>
      <w:r w:rsidRPr="0041337B">
        <w:rPr>
          <w:b/>
          <w:lang w:val="uk-UA"/>
        </w:rPr>
        <w:t>ВІДДІЛ МОЛОДІ ТА СПОРТУ ЧОРНОМОРСЬКОЇ МІСЬКОЇ РАДИ ОДЕСЬКОГО РАЙОНУ ОДЕСЬКОЇ ОБЛАСТІ</w:t>
      </w:r>
    </w:p>
    <w:p w:rsidR="008A22EE" w:rsidRPr="0041337B" w:rsidRDefault="008A22EE" w:rsidP="008A22EE">
      <w:pPr>
        <w:pStyle w:val="a9"/>
        <w:ind w:left="14" w:right="28" w:firstLine="567"/>
        <w:rPr>
          <w:lang w:val="uk-UA"/>
        </w:rPr>
      </w:pPr>
    </w:p>
    <w:p w:rsidR="008A22EE" w:rsidRPr="0041337B" w:rsidRDefault="008A22EE" w:rsidP="008A22EE">
      <w:pPr>
        <w:pStyle w:val="a9"/>
        <w:ind w:left="14" w:right="28" w:firstLine="567"/>
        <w:jc w:val="both"/>
        <w:rPr>
          <w:lang w:val="uk-UA"/>
        </w:rPr>
      </w:pPr>
      <w:r w:rsidRPr="0041337B">
        <w:rPr>
          <w:lang w:val="uk-UA"/>
        </w:rPr>
        <w:t>В проєкті бюджету Чорноморської міської територіальної громади на 202</w:t>
      </w:r>
      <w:r>
        <w:rPr>
          <w:lang w:val="uk-UA"/>
        </w:rPr>
        <w:t>4</w:t>
      </w:r>
      <w:r w:rsidRPr="0041337B">
        <w:rPr>
          <w:lang w:val="uk-UA"/>
        </w:rPr>
        <w:t xml:space="preserve"> рік </w:t>
      </w:r>
      <w:r>
        <w:rPr>
          <w:lang w:val="uk-UA"/>
        </w:rPr>
        <w:t>в</w:t>
      </w:r>
      <w:r w:rsidRPr="0041337B">
        <w:rPr>
          <w:lang w:val="uk-UA"/>
        </w:rPr>
        <w:t xml:space="preserve">ідділу  молоді та спорту Чорноморської міської ради Одеського району Одеської області визначені бюджетні призначення у сумі обсязі </w:t>
      </w:r>
      <w:r w:rsidRPr="003702B6">
        <w:rPr>
          <w:lang w:val="uk-UA"/>
        </w:rPr>
        <w:t>7 078,2 тис. грн,</w:t>
      </w:r>
      <w:r w:rsidRPr="0041337B">
        <w:rPr>
          <w:lang w:val="uk-UA"/>
        </w:rPr>
        <w:t xml:space="preserve"> зокрема:</w:t>
      </w:r>
    </w:p>
    <w:p w:rsidR="008A22EE" w:rsidRPr="0041337B" w:rsidRDefault="008A22EE" w:rsidP="008A22EE">
      <w:pPr>
        <w:pStyle w:val="a9"/>
        <w:ind w:left="14" w:right="28" w:firstLine="567"/>
        <w:jc w:val="both"/>
        <w:rPr>
          <w:lang w:val="uk-UA"/>
        </w:rPr>
      </w:pPr>
      <w:r w:rsidRPr="0041337B">
        <w:rPr>
          <w:lang w:val="uk-UA"/>
        </w:rPr>
        <w:t xml:space="preserve">- на утримання відділу – </w:t>
      </w:r>
      <w:r w:rsidRPr="003702B6">
        <w:rPr>
          <w:lang w:val="uk-UA"/>
        </w:rPr>
        <w:t>2 042,1 тис.</w:t>
      </w:r>
      <w:r>
        <w:rPr>
          <w:b/>
          <w:lang w:val="uk-UA"/>
        </w:rPr>
        <w:t xml:space="preserve"> </w:t>
      </w:r>
      <w:r w:rsidRPr="0041337B">
        <w:rPr>
          <w:lang w:val="uk-UA"/>
        </w:rPr>
        <w:t>грн;</w:t>
      </w:r>
    </w:p>
    <w:p w:rsidR="008A22EE" w:rsidRPr="0041337B" w:rsidRDefault="008A22EE" w:rsidP="008A22EE">
      <w:pPr>
        <w:pStyle w:val="a9"/>
        <w:ind w:left="14" w:right="28" w:firstLine="567"/>
        <w:jc w:val="both"/>
        <w:rPr>
          <w:lang w:val="uk-UA"/>
        </w:rPr>
      </w:pPr>
      <w:r w:rsidRPr="0041337B">
        <w:rPr>
          <w:lang w:val="uk-UA"/>
        </w:rPr>
        <w:t>- на заходи молодіжної політики – 1</w:t>
      </w:r>
      <w:r>
        <w:rPr>
          <w:lang w:val="uk-UA"/>
        </w:rPr>
        <w:t> </w:t>
      </w:r>
      <w:r w:rsidRPr="0041337B">
        <w:rPr>
          <w:lang w:val="uk-UA"/>
        </w:rPr>
        <w:t>880</w:t>
      </w:r>
      <w:r>
        <w:rPr>
          <w:lang w:val="uk-UA"/>
        </w:rPr>
        <w:t>,4 тис.</w:t>
      </w:r>
      <w:r w:rsidRPr="0041337B">
        <w:rPr>
          <w:lang w:val="uk-UA"/>
        </w:rPr>
        <w:t xml:space="preserve"> грн, зокрема: </w:t>
      </w:r>
    </w:p>
    <w:p w:rsidR="008A22EE" w:rsidRPr="0041337B" w:rsidRDefault="008A22EE" w:rsidP="00E67FF2">
      <w:pPr>
        <w:pStyle w:val="a9"/>
        <w:numPr>
          <w:ilvl w:val="0"/>
          <w:numId w:val="18"/>
        </w:numPr>
        <w:ind w:right="28"/>
        <w:jc w:val="both"/>
        <w:rPr>
          <w:i/>
          <w:lang w:val="uk-UA"/>
        </w:rPr>
      </w:pPr>
      <w:r w:rsidRPr="0041337B">
        <w:rPr>
          <w:i/>
          <w:lang w:val="uk-UA"/>
        </w:rPr>
        <w:t>316</w:t>
      </w:r>
      <w:r>
        <w:rPr>
          <w:i/>
          <w:lang w:val="uk-UA"/>
        </w:rPr>
        <w:t xml:space="preserve">,8 тис. </w:t>
      </w:r>
      <w:r w:rsidRPr="0041337B">
        <w:rPr>
          <w:i/>
          <w:lang w:val="uk-UA"/>
        </w:rPr>
        <w:t xml:space="preserve"> грн - компенсація студентській молоді вартості проїзду до місця їх навчання;</w:t>
      </w:r>
    </w:p>
    <w:p w:rsidR="008A22EE" w:rsidRPr="0041337B" w:rsidRDefault="008A22EE" w:rsidP="00E67FF2">
      <w:pPr>
        <w:pStyle w:val="a9"/>
        <w:numPr>
          <w:ilvl w:val="0"/>
          <w:numId w:val="18"/>
        </w:numPr>
        <w:ind w:right="28"/>
        <w:jc w:val="both"/>
        <w:rPr>
          <w:i/>
          <w:lang w:val="uk-UA"/>
        </w:rPr>
      </w:pPr>
      <w:r w:rsidRPr="0041337B">
        <w:rPr>
          <w:i/>
          <w:lang w:val="uk-UA"/>
        </w:rPr>
        <w:t>283</w:t>
      </w:r>
      <w:r>
        <w:rPr>
          <w:i/>
          <w:lang w:val="uk-UA"/>
        </w:rPr>
        <w:t>,2 тис.</w:t>
      </w:r>
      <w:r w:rsidRPr="0041337B">
        <w:rPr>
          <w:i/>
          <w:lang w:val="uk-UA"/>
        </w:rPr>
        <w:t xml:space="preserve"> грн - премія та стипендія міського голови талановитій молоді громади, нагородження переможців фестивалю.</w:t>
      </w:r>
    </w:p>
    <w:p w:rsidR="008A22EE" w:rsidRPr="0041337B" w:rsidRDefault="008A22EE" w:rsidP="008A22EE">
      <w:pPr>
        <w:pStyle w:val="a9"/>
        <w:ind w:left="14" w:right="28" w:firstLine="567"/>
        <w:jc w:val="both"/>
        <w:rPr>
          <w:lang w:val="uk-UA"/>
        </w:rPr>
      </w:pPr>
      <w:r w:rsidRPr="0041337B">
        <w:rPr>
          <w:lang w:val="uk-UA"/>
        </w:rPr>
        <w:t>- на проведення навчально-тренувальних зборів і змагань з олімпійських та не олімпійських видів спорту – 1</w:t>
      </w:r>
      <w:r>
        <w:rPr>
          <w:lang w:val="uk-UA"/>
        </w:rPr>
        <w:t> </w:t>
      </w:r>
      <w:r w:rsidRPr="0041337B">
        <w:rPr>
          <w:lang w:val="uk-UA"/>
        </w:rPr>
        <w:t>270</w:t>
      </w:r>
      <w:r>
        <w:rPr>
          <w:lang w:val="uk-UA"/>
        </w:rPr>
        <w:t xml:space="preserve">,0 тис. </w:t>
      </w:r>
      <w:r w:rsidRPr="0041337B">
        <w:rPr>
          <w:lang w:val="uk-UA"/>
        </w:rPr>
        <w:t>грн;</w:t>
      </w:r>
    </w:p>
    <w:p w:rsidR="008A22EE" w:rsidRPr="0041337B" w:rsidRDefault="008A22EE" w:rsidP="008A22EE">
      <w:pPr>
        <w:pStyle w:val="a9"/>
        <w:ind w:left="14" w:right="28" w:firstLine="567"/>
        <w:jc w:val="both"/>
        <w:rPr>
          <w:lang w:val="uk-UA"/>
        </w:rPr>
      </w:pPr>
      <w:r w:rsidRPr="0041337B">
        <w:rPr>
          <w:lang w:val="uk-UA"/>
        </w:rPr>
        <w:t>- на проведення фізкультурно-масових заходів серед населення громади – 1</w:t>
      </w:r>
      <w:r>
        <w:rPr>
          <w:lang w:val="uk-UA"/>
        </w:rPr>
        <w:t> </w:t>
      </w:r>
      <w:r w:rsidRPr="0041337B">
        <w:rPr>
          <w:lang w:val="uk-UA"/>
        </w:rPr>
        <w:t>786</w:t>
      </w:r>
      <w:r>
        <w:rPr>
          <w:lang w:val="uk-UA"/>
        </w:rPr>
        <w:t xml:space="preserve">,7 тис. </w:t>
      </w:r>
      <w:r w:rsidRPr="0041337B">
        <w:rPr>
          <w:lang w:val="uk-UA"/>
        </w:rPr>
        <w:t>грн, зокрема:</w:t>
      </w:r>
    </w:p>
    <w:p w:rsidR="008A22EE" w:rsidRPr="0041337B" w:rsidRDefault="008A22EE" w:rsidP="00E67FF2">
      <w:pPr>
        <w:pStyle w:val="a9"/>
        <w:numPr>
          <w:ilvl w:val="0"/>
          <w:numId w:val="19"/>
        </w:numPr>
        <w:jc w:val="both"/>
        <w:rPr>
          <w:i/>
          <w:lang w:val="uk-UA"/>
        </w:rPr>
      </w:pPr>
      <w:r w:rsidRPr="0041337B">
        <w:rPr>
          <w:i/>
          <w:lang w:val="uk-UA"/>
        </w:rPr>
        <w:t>806</w:t>
      </w:r>
      <w:r>
        <w:rPr>
          <w:i/>
          <w:lang w:val="uk-UA"/>
        </w:rPr>
        <w:t>,7 тис.</w:t>
      </w:r>
      <w:r w:rsidRPr="0041337B">
        <w:rPr>
          <w:i/>
          <w:lang w:val="uk-UA"/>
        </w:rPr>
        <w:t xml:space="preserve"> грн - оплата праці з нарахуваннями інструкторів з фізичної культури;</w:t>
      </w:r>
    </w:p>
    <w:p w:rsidR="008A22EE" w:rsidRPr="0041337B" w:rsidRDefault="008A22EE" w:rsidP="00E67FF2">
      <w:pPr>
        <w:pStyle w:val="a9"/>
        <w:numPr>
          <w:ilvl w:val="0"/>
          <w:numId w:val="19"/>
        </w:numPr>
        <w:jc w:val="both"/>
        <w:rPr>
          <w:i/>
          <w:lang w:val="uk-UA"/>
        </w:rPr>
      </w:pPr>
      <w:r w:rsidRPr="0041337B">
        <w:rPr>
          <w:i/>
          <w:lang w:val="uk-UA"/>
        </w:rPr>
        <w:t>420</w:t>
      </w:r>
      <w:r>
        <w:rPr>
          <w:i/>
          <w:lang w:val="uk-UA"/>
        </w:rPr>
        <w:t xml:space="preserve">,0 тис. </w:t>
      </w:r>
      <w:r w:rsidRPr="0041337B">
        <w:rPr>
          <w:i/>
          <w:lang w:val="uk-UA"/>
        </w:rPr>
        <w:t>грн - на виплату щомісячної стипендії спортсменам за високі досягнення у спорті;</w:t>
      </w:r>
    </w:p>
    <w:p w:rsidR="008A22EE" w:rsidRDefault="008A22EE" w:rsidP="00E67FF2">
      <w:pPr>
        <w:pStyle w:val="a9"/>
        <w:numPr>
          <w:ilvl w:val="0"/>
          <w:numId w:val="19"/>
        </w:numPr>
        <w:jc w:val="both"/>
        <w:rPr>
          <w:i/>
          <w:lang w:val="uk-UA"/>
        </w:rPr>
      </w:pPr>
      <w:r w:rsidRPr="0041337B">
        <w:rPr>
          <w:i/>
          <w:lang w:val="uk-UA"/>
        </w:rPr>
        <w:t>400</w:t>
      </w:r>
      <w:r>
        <w:rPr>
          <w:i/>
          <w:lang w:val="uk-UA"/>
        </w:rPr>
        <w:t>,0 тис. грн</w:t>
      </w:r>
      <w:r w:rsidRPr="0041337B">
        <w:rPr>
          <w:i/>
          <w:lang w:val="uk-UA"/>
        </w:rPr>
        <w:t xml:space="preserve"> - на матеріальне заохочення кращих спортсменів, тренерів, спортивних організацій за підсумками року.</w:t>
      </w:r>
    </w:p>
    <w:p w:rsidR="008A22EE" w:rsidRPr="00DB6836" w:rsidRDefault="008A22EE" w:rsidP="008A22EE">
      <w:pPr>
        <w:pStyle w:val="a4"/>
        <w:spacing w:line="240" w:lineRule="auto"/>
        <w:ind w:left="0" w:firstLine="567"/>
        <w:jc w:val="both"/>
        <w:rPr>
          <w:rFonts w:ascii="Times New Roman" w:hAnsi="Times New Roman" w:cs="Times New Roman"/>
          <w:sz w:val="24"/>
          <w:szCs w:val="24"/>
          <w:lang w:val="uk-UA"/>
        </w:rPr>
      </w:pPr>
      <w:r w:rsidRPr="00DB6836">
        <w:rPr>
          <w:rFonts w:ascii="Times New Roman" w:hAnsi="Times New Roman" w:cs="Times New Roman"/>
          <w:sz w:val="24"/>
          <w:szCs w:val="24"/>
          <w:lang w:val="uk-UA"/>
        </w:rPr>
        <w:t xml:space="preserve">На утримання </w:t>
      </w:r>
      <w:r>
        <w:rPr>
          <w:rFonts w:ascii="Times New Roman" w:hAnsi="Times New Roman" w:cs="Times New Roman"/>
          <w:sz w:val="24"/>
          <w:szCs w:val="24"/>
          <w:lang w:val="uk-UA"/>
        </w:rPr>
        <w:t>к</w:t>
      </w:r>
      <w:r w:rsidRPr="00DB6836">
        <w:rPr>
          <w:rFonts w:ascii="Times New Roman" w:hAnsi="Times New Roman" w:cs="Times New Roman"/>
          <w:sz w:val="24"/>
          <w:szCs w:val="24"/>
          <w:lang w:val="uk-UA"/>
        </w:rPr>
        <w:t>омунальної установи «Молодіжний центр міста Чорноморська»</w:t>
      </w:r>
      <w:r w:rsidRPr="00DB6836">
        <w:rPr>
          <w:rFonts w:ascii="Times New Roman" w:hAnsi="Times New Roman" w:cs="Times New Roman"/>
          <w:b/>
          <w:sz w:val="24"/>
          <w:szCs w:val="24"/>
          <w:lang w:val="uk-UA"/>
        </w:rPr>
        <w:t xml:space="preserve"> </w:t>
      </w:r>
      <w:r w:rsidRPr="00DB6836">
        <w:rPr>
          <w:rFonts w:ascii="Times New Roman" w:hAnsi="Times New Roman" w:cs="Times New Roman"/>
          <w:sz w:val="24"/>
          <w:szCs w:val="24"/>
          <w:lang w:val="uk-UA"/>
        </w:rPr>
        <w:t xml:space="preserve">Чорноморської міської ради Одеського району Одеської області, яка створена відповідно до </w:t>
      </w:r>
      <w:r w:rsidRPr="00DB6836">
        <w:rPr>
          <w:rFonts w:ascii="Times New Roman" w:hAnsi="Times New Roman" w:cs="Times New Roman"/>
          <w:sz w:val="24"/>
          <w:szCs w:val="24"/>
          <w:lang w:val="uk-UA"/>
        </w:rPr>
        <w:lastRenderedPageBreak/>
        <w:t xml:space="preserve">рішення Чорноморської міської ради Одеського району Одеської області від 20.12.2022  </w:t>
      </w:r>
      <w:r>
        <w:rPr>
          <w:rFonts w:ascii="Times New Roman" w:hAnsi="Times New Roman" w:cs="Times New Roman"/>
          <w:sz w:val="24"/>
          <w:szCs w:val="24"/>
          <w:lang w:val="uk-UA"/>
        </w:rPr>
        <w:t xml:space="preserve">                      </w:t>
      </w:r>
      <w:r w:rsidRPr="00DB6836">
        <w:rPr>
          <w:rFonts w:ascii="Times New Roman" w:hAnsi="Times New Roman" w:cs="Times New Roman"/>
          <w:sz w:val="24"/>
          <w:szCs w:val="24"/>
          <w:lang w:val="uk-UA"/>
        </w:rPr>
        <w:t xml:space="preserve">№ 286-VIII,  </w:t>
      </w:r>
      <w:r>
        <w:rPr>
          <w:rFonts w:ascii="Times New Roman" w:hAnsi="Times New Roman" w:cs="Times New Roman"/>
          <w:sz w:val="24"/>
          <w:szCs w:val="24"/>
          <w:lang w:val="uk-UA"/>
        </w:rPr>
        <w:t xml:space="preserve">визначені бюджетні призначення у сумі 967,4 тис. </w:t>
      </w:r>
      <w:r w:rsidRPr="00DB6836">
        <w:rPr>
          <w:rFonts w:ascii="Times New Roman" w:hAnsi="Times New Roman" w:cs="Times New Roman"/>
          <w:sz w:val="24"/>
          <w:szCs w:val="24"/>
          <w:lang w:val="uk-UA"/>
        </w:rPr>
        <w:t xml:space="preserve"> грн, із них видатки на оплату праці з нарахуваннями склали </w:t>
      </w:r>
      <w:r>
        <w:rPr>
          <w:rFonts w:ascii="Times New Roman" w:hAnsi="Times New Roman" w:cs="Times New Roman"/>
          <w:sz w:val="24"/>
          <w:szCs w:val="24"/>
          <w:lang w:val="uk-UA"/>
        </w:rPr>
        <w:t>633,9 тис. г</w:t>
      </w:r>
      <w:r w:rsidRPr="00DB6836">
        <w:rPr>
          <w:rFonts w:ascii="Times New Roman" w:hAnsi="Times New Roman" w:cs="Times New Roman"/>
          <w:sz w:val="24"/>
          <w:szCs w:val="24"/>
          <w:lang w:val="uk-UA"/>
        </w:rPr>
        <w:t xml:space="preserve">рн </w:t>
      </w:r>
      <w:r>
        <w:rPr>
          <w:rFonts w:ascii="Times New Roman" w:hAnsi="Times New Roman" w:cs="Times New Roman"/>
          <w:sz w:val="24"/>
          <w:szCs w:val="24"/>
          <w:lang w:val="uk-UA"/>
        </w:rPr>
        <w:t>(</w:t>
      </w:r>
      <w:r w:rsidRPr="00DB6836">
        <w:rPr>
          <w:rFonts w:ascii="Times New Roman" w:hAnsi="Times New Roman" w:cs="Times New Roman"/>
          <w:sz w:val="24"/>
          <w:szCs w:val="24"/>
          <w:lang w:val="uk-UA"/>
        </w:rPr>
        <w:t xml:space="preserve">65,5 % від </w:t>
      </w:r>
      <w:r>
        <w:rPr>
          <w:rFonts w:ascii="Times New Roman" w:hAnsi="Times New Roman" w:cs="Times New Roman"/>
          <w:sz w:val="24"/>
          <w:szCs w:val="24"/>
          <w:lang w:val="uk-UA"/>
        </w:rPr>
        <w:t xml:space="preserve">запланованих </w:t>
      </w:r>
      <w:r w:rsidRPr="00DB6836">
        <w:rPr>
          <w:rFonts w:ascii="Times New Roman" w:hAnsi="Times New Roman" w:cs="Times New Roman"/>
          <w:sz w:val="24"/>
          <w:szCs w:val="24"/>
          <w:lang w:val="uk-UA"/>
        </w:rPr>
        <w:t xml:space="preserve">видатків на утримання установи). </w:t>
      </w:r>
    </w:p>
    <w:p w:rsidR="008A22EE" w:rsidRPr="000A5CD1" w:rsidRDefault="008A22EE" w:rsidP="008A22EE">
      <w:pPr>
        <w:pStyle w:val="a9"/>
        <w:ind w:left="14" w:right="28" w:firstLine="388"/>
        <w:jc w:val="center"/>
        <w:rPr>
          <w:b/>
          <w:lang w:val="uk-UA"/>
        </w:rPr>
      </w:pPr>
      <w:r w:rsidRPr="000A5CD1">
        <w:rPr>
          <w:b/>
          <w:lang w:val="uk-UA"/>
        </w:rPr>
        <w:t>ВІДДІЛ КОМУНАЛЬНОГО ГОСПОДАРСТВА ТА БЛАГОУСТРОЮ ЧОРНОМОРСЬКОЇ МІСЬКОЇ РАДИ ОДЕСЬКОГО РАЙОНУ ОДЕСЬКОЇ ОБЛАСТІ</w:t>
      </w:r>
    </w:p>
    <w:p w:rsidR="008A22EE" w:rsidRPr="000A5CD1" w:rsidRDefault="008A22EE" w:rsidP="008A22EE">
      <w:pPr>
        <w:pStyle w:val="a9"/>
        <w:ind w:left="14" w:right="28" w:firstLine="388"/>
        <w:jc w:val="center"/>
        <w:rPr>
          <w:b/>
          <w:lang w:val="uk-UA"/>
        </w:rPr>
      </w:pPr>
    </w:p>
    <w:p w:rsidR="008A22EE" w:rsidRPr="000A5CD1" w:rsidRDefault="008A22EE" w:rsidP="008A22EE">
      <w:pPr>
        <w:pStyle w:val="a9"/>
        <w:ind w:left="14" w:right="28" w:firstLine="556"/>
        <w:jc w:val="both"/>
        <w:rPr>
          <w:lang w:val="uk-UA"/>
        </w:rPr>
      </w:pPr>
      <w:r w:rsidRPr="000A5CD1">
        <w:rPr>
          <w:lang w:val="uk-UA"/>
        </w:rPr>
        <w:t xml:space="preserve">В проєкті бюджету Чорноморської міської територіальної громади на 2024 рік </w:t>
      </w:r>
      <w:r>
        <w:rPr>
          <w:lang w:val="uk-UA"/>
        </w:rPr>
        <w:t>в</w:t>
      </w:r>
      <w:r w:rsidRPr="000A5CD1">
        <w:rPr>
          <w:lang w:val="uk-UA"/>
        </w:rPr>
        <w:t xml:space="preserve">ідділу комунального господарства та благоустрою Чорноморської міської ради Одеського району Одеської області визначені бюджетні призначення у сумі </w:t>
      </w:r>
      <w:r w:rsidRPr="00FE7442">
        <w:rPr>
          <w:lang w:val="uk-UA"/>
        </w:rPr>
        <w:t>137 836,7 тис. грн,</w:t>
      </w:r>
      <w:r w:rsidRPr="000A5CD1">
        <w:rPr>
          <w:lang w:val="uk-UA"/>
        </w:rPr>
        <w:t xml:space="preserve"> із яких за загальним фондом – 137</w:t>
      </w:r>
      <w:r>
        <w:rPr>
          <w:lang w:val="uk-UA"/>
        </w:rPr>
        <w:t> </w:t>
      </w:r>
      <w:r w:rsidRPr="000A5CD1">
        <w:rPr>
          <w:lang w:val="uk-UA"/>
        </w:rPr>
        <w:t>586</w:t>
      </w:r>
      <w:r>
        <w:rPr>
          <w:lang w:val="uk-UA"/>
        </w:rPr>
        <w:t>,7 тис.</w:t>
      </w:r>
      <w:r w:rsidRPr="000A5CD1">
        <w:rPr>
          <w:lang w:val="uk-UA"/>
        </w:rPr>
        <w:t xml:space="preserve"> грн  та спеціальним фондом – 250</w:t>
      </w:r>
      <w:r>
        <w:rPr>
          <w:lang w:val="uk-UA"/>
        </w:rPr>
        <w:t>,0 тис. грн.</w:t>
      </w:r>
    </w:p>
    <w:p w:rsidR="008A22EE" w:rsidRPr="000A5CD1" w:rsidRDefault="008A22EE" w:rsidP="008A22EE">
      <w:pPr>
        <w:tabs>
          <w:tab w:val="num" w:pos="0"/>
          <w:tab w:val="num" w:pos="1287"/>
          <w:tab w:val="num" w:pos="1579"/>
        </w:tabs>
        <w:spacing w:after="0" w:line="240" w:lineRule="auto"/>
        <w:ind w:right="-5" w:firstLine="556"/>
        <w:jc w:val="both"/>
        <w:rPr>
          <w:rFonts w:ascii="Times New Roman" w:hAnsi="Times New Roman" w:cs="Times New Roman"/>
          <w:sz w:val="24"/>
          <w:szCs w:val="24"/>
          <w:lang w:val="uk-UA"/>
        </w:rPr>
      </w:pPr>
      <w:r w:rsidRPr="000A5CD1">
        <w:rPr>
          <w:rFonts w:ascii="Times New Roman" w:hAnsi="Times New Roman" w:cs="Times New Roman"/>
          <w:sz w:val="24"/>
          <w:szCs w:val="24"/>
          <w:lang w:val="uk-UA"/>
        </w:rPr>
        <w:t>На утримання відділу видатки визначені у сумі 3</w:t>
      </w:r>
      <w:r>
        <w:rPr>
          <w:rFonts w:ascii="Times New Roman" w:hAnsi="Times New Roman" w:cs="Times New Roman"/>
          <w:sz w:val="24"/>
          <w:szCs w:val="24"/>
          <w:lang w:val="uk-UA"/>
        </w:rPr>
        <w:t> </w:t>
      </w:r>
      <w:r w:rsidRPr="000A5CD1">
        <w:rPr>
          <w:rFonts w:ascii="Times New Roman" w:hAnsi="Times New Roman" w:cs="Times New Roman"/>
          <w:sz w:val="24"/>
          <w:szCs w:val="24"/>
          <w:lang w:val="uk-UA"/>
        </w:rPr>
        <w:t>8</w:t>
      </w:r>
      <w:r>
        <w:rPr>
          <w:rFonts w:ascii="Times New Roman" w:hAnsi="Times New Roman" w:cs="Times New Roman"/>
          <w:sz w:val="24"/>
          <w:szCs w:val="24"/>
          <w:lang w:val="uk-UA"/>
        </w:rPr>
        <w:t xml:space="preserve">54,7 тис. </w:t>
      </w:r>
      <w:r w:rsidRPr="000A5CD1">
        <w:rPr>
          <w:rFonts w:ascii="Times New Roman" w:hAnsi="Times New Roman" w:cs="Times New Roman"/>
          <w:sz w:val="24"/>
          <w:szCs w:val="24"/>
          <w:lang w:val="uk-UA"/>
        </w:rPr>
        <w:t>гр</w:t>
      </w:r>
      <w:r>
        <w:rPr>
          <w:rFonts w:ascii="Times New Roman" w:hAnsi="Times New Roman" w:cs="Times New Roman"/>
          <w:sz w:val="24"/>
          <w:szCs w:val="24"/>
          <w:lang w:val="uk-UA"/>
        </w:rPr>
        <w:t>н.</w:t>
      </w:r>
    </w:p>
    <w:p w:rsidR="008A22EE" w:rsidRPr="00BC2039" w:rsidRDefault="008A22EE" w:rsidP="008A22EE">
      <w:pPr>
        <w:shd w:val="clear" w:color="auto" w:fill="FFFFFF" w:themeFill="background1"/>
        <w:tabs>
          <w:tab w:val="left" w:pos="-5245"/>
        </w:tabs>
        <w:spacing w:after="0" w:line="240" w:lineRule="auto"/>
        <w:ind w:right="-2" w:firstLine="556"/>
        <w:contextualSpacing/>
        <w:jc w:val="both"/>
        <w:rPr>
          <w:rFonts w:ascii="Times New Roman" w:hAnsi="Times New Roman" w:cs="Times New Roman"/>
          <w:b/>
          <w:sz w:val="24"/>
          <w:szCs w:val="24"/>
          <w:lang w:val="uk-UA"/>
        </w:rPr>
      </w:pPr>
      <w:r w:rsidRPr="00BC2039">
        <w:rPr>
          <w:rFonts w:ascii="Times New Roman" w:hAnsi="Times New Roman" w:cs="Times New Roman"/>
          <w:sz w:val="24"/>
          <w:szCs w:val="24"/>
          <w:lang w:val="uk-UA"/>
        </w:rPr>
        <w:t>Видатки на утримання благоустрою та житлово-комунального сектору обраховані з урахуванням мінімальної потреби та складають 75</w:t>
      </w:r>
      <w:r>
        <w:rPr>
          <w:rFonts w:ascii="Times New Roman" w:hAnsi="Times New Roman" w:cs="Times New Roman"/>
          <w:sz w:val="24"/>
          <w:szCs w:val="24"/>
          <w:lang w:val="uk-UA"/>
        </w:rPr>
        <w:t> </w:t>
      </w:r>
      <w:r w:rsidRPr="00BC2039">
        <w:rPr>
          <w:rFonts w:ascii="Times New Roman" w:hAnsi="Times New Roman" w:cs="Times New Roman"/>
          <w:sz w:val="24"/>
          <w:szCs w:val="24"/>
          <w:lang w:val="uk-UA"/>
        </w:rPr>
        <w:t>853</w:t>
      </w:r>
      <w:r>
        <w:rPr>
          <w:rFonts w:ascii="Times New Roman" w:hAnsi="Times New Roman" w:cs="Times New Roman"/>
          <w:sz w:val="24"/>
          <w:szCs w:val="24"/>
          <w:lang w:val="uk-UA"/>
        </w:rPr>
        <w:t>,0 тис. грн</w:t>
      </w:r>
      <w:r w:rsidRPr="00BC2039">
        <w:rPr>
          <w:rFonts w:ascii="Times New Roman" w:hAnsi="Times New Roman" w:cs="Times New Roman"/>
          <w:sz w:val="24"/>
          <w:szCs w:val="24"/>
          <w:lang w:val="uk-UA"/>
        </w:rPr>
        <w:t xml:space="preserve">, із яких: </w:t>
      </w:r>
    </w:p>
    <w:p w:rsidR="008A22EE" w:rsidRPr="00BC2039" w:rsidRDefault="008A22EE" w:rsidP="00E67FF2">
      <w:pPr>
        <w:pStyle w:val="a9"/>
        <w:numPr>
          <w:ilvl w:val="0"/>
          <w:numId w:val="15"/>
        </w:numPr>
        <w:tabs>
          <w:tab w:val="left" w:pos="709"/>
          <w:tab w:val="left" w:pos="851"/>
        </w:tabs>
        <w:ind w:left="0" w:right="28" w:firstLine="556"/>
        <w:jc w:val="both"/>
        <w:rPr>
          <w:lang w:val="uk-UA"/>
        </w:rPr>
      </w:pPr>
      <w:r w:rsidRPr="00BC2039">
        <w:rPr>
          <w:lang w:val="uk-UA"/>
        </w:rPr>
        <w:t>300</w:t>
      </w:r>
      <w:r>
        <w:rPr>
          <w:lang w:val="uk-UA"/>
        </w:rPr>
        <w:t>,0 тис. грн</w:t>
      </w:r>
      <w:r w:rsidRPr="00BC2039">
        <w:rPr>
          <w:lang w:val="uk-UA"/>
        </w:rPr>
        <w:t xml:space="preserve"> – на забезпечення надійної та безперебійної експлуатації ліфтів;</w:t>
      </w:r>
    </w:p>
    <w:p w:rsidR="008A22EE" w:rsidRPr="00BC2039" w:rsidRDefault="008A22EE" w:rsidP="00E67FF2">
      <w:pPr>
        <w:pStyle w:val="a9"/>
        <w:numPr>
          <w:ilvl w:val="0"/>
          <w:numId w:val="15"/>
        </w:numPr>
        <w:tabs>
          <w:tab w:val="left" w:pos="709"/>
          <w:tab w:val="left" w:pos="851"/>
        </w:tabs>
        <w:ind w:left="0" w:right="28" w:firstLine="556"/>
        <w:jc w:val="both"/>
        <w:rPr>
          <w:lang w:val="uk-UA"/>
        </w:rPr>
      </w:pPr>
      <w:r w:rsidRPr="00BC2039">
        <w:rPr>
          <w:lang w:val="uk-UA"/>
        </w:rPr>
        <w:t>1</w:t>
      </w:r>
      <w:r>
        <w:rPr>
          <w:lang w:val="uk-UA"/>
        </w:rPr>
        <w:t> </w:t>
      </w:r>
      <w:r w:rsidRPr="00BC2039">
        <w:rPr>
          <w:lang w:val="uk-UA"/>
        </w:rPr>
        <w:t>493</w:t>
      </w:r>
      <w:r>
        <w:rPr>
          <w:lang w:val="uk-UA"/>
        </w:rPr>
        <w:t xml:space="preserve">,0 тис. </w:t>
      </w:r>
      <w:r w:rsidRPr="00BC2039">
        <w:rPr>
          <w:lang w:val="uk-UA"/>
        </w:rPr>
        <w:t>грн - на у</w:t>
      </w:r>
      <w:r w:rsidRPr="00BC2039">
        <w:rPr>
          <w:color w:val="000000"/>
          <w:lang w:val="uk-UA"/>
        </w:rPr>
        <w:t>тримання, ремонт артезіанських свердловин, фонтанів;</w:t>
      </w:r>
    </w:p>
    <w:p w:rsidR="008A22EE" w:rsidRPr="00BC2039" w:rsidRDefault="008A22EE" w:rsidP="00E67FF2">
      <w:pPr>
        <w:pStyle w:val="a9"/>
        <w:numPr>
          <w:ilvl w:val="0"/>
          <w:numId w:val="15"/>
        </w:numPr>
        <w:tabs>
          <w:tab w:val="left" w:pos="567"/>
          <w:tab w:val="left" w:pos="851"/>
        </w:tabs>
        <w:ind w:left="0" w:right="28" w:firstLine="567"/>
        <w:jc w:val="both"/>
        <w:rPr>
          <w:lang w:val="uk-UA"/>
        </w:rPr>
      </w:pPr>
      <w:r w:rsidRPr="00BC2039">
        <w:rPr>
          <w:color w:val="000000"/>
          <w:lang w:val="uk-UA"/>
        </w:rPr>
        <w:t>74</w:t>
      </w:r>
      <w:r>
        <w:rPr>
          <w:color w:val="000000"/>
          <w:lang w:val="uk-UA"/>
        </w:rPr>
        <w:t> </w:t>
      </w:r>
      <w:r w:rsidRPr="00BC2039">
        <w:rPr>
          <w:color w:val="000000"/>
          <w:lang w:val="uk-UA"/>
        </w:rPr>
        <w:t>060</w:t>
      </w:r>
      <w:r>
        <w:rPr>
          <w:color w:val="000000"/>
          <w:lang w:val="uk-UA"/>
        </w:rPr>
        <w:t>,0 тис. грн</w:t>
      </w:r>
      <w:r w:rsidRPr="00BC2039">
        <w:rPr>
          <w:lang w:val="uk-UA"/>
        </w:rPr>
        <w:t xml:space="preserve"> - на поточне утримання об'єктів благоустрою (утримання зовнішнього освітлення та ілюмінацій, зливової каналізації </w:t>
      </w:r>
      <w:proofErr w:type="spellStart"/>
      <w:r w:rsidRPr="00BC2039">
        <w:rPr>
          <w:lang w:val="uk-UA"/>
        </w:rPr>
        <w:t>вулично</w:t>
      </w:r>
      <w:proofErr w:type="spellEnd"/>
      <w:r w:rsidRPr="00BC2039">
        <w:rPr>
          <w:lang w:val="uk-UA"/>
        </w:rPr>
        <w:t xml:space="preserve">-дорожньої мережі, загальноміських територій, міського пляжу та рятувальної служби, технічних засобів регулювання дорожнього руху, загальноміських </w:t>
      </w:r>
      <w:proofErr w:type="spellStart"/>
      <w:r w:rsidRPr="00BC2039">
        <w:rPr>
          <w:lang w:val="uk-UA"/>
        </w:rPr>
        <w:t>вбиралень</w:t>
      </w:r>
      <w:proofErr w:type="spellEnd"/>
      <w:r w:rsidRPr="00BC2039">
        <w:rPr>
          <w:lang w:val="uk-UA"/>
        </w:rPr>
        <w:t>, міських цвинтарів, в т.</w:t>
      </w:r>
      <w:r>
        <w:rPr>
          <w:lang w:val="uk-UA"/>
        </w:rPr>
        <w:t xml:space="preserve"> </w:t>
      </w:r>
      <w:r w:rsidRPr="00BC2039">
        <w:rPr>
          <w:lang w:val="uk-UA"/>
        </w:rPr>
        <w:t>ч. дольова участь с.</w:t>
      </w:r>
      <w:r>
        <w:rPr>
          <w:lang w:val="uk-UA"/>
        </w:rPr>
        <w:t xml:space="preserve"> </w:t>
      </w:r>
      <w:r w:rsidRPr="00BC2039">
        <w:rPr>
          <w:lang w:val="uk-UA"/>
        </w:rPr>
        <w:t>Молодіжне, зеленої зони, теплиці, комплексні роботи з озеленення та інші).</w:t>
      </w:r>
    </w:p>
    <w:p w:rsidR="008A22EE" w:rsidRPr="002C1823" w:rsidRDefault="008A22EE" w:rsidP="008A22EE">
      <w:pPr>
        <w:pStyle w:val="a9"/>
        <w:tabs>
          <w:tab w:val="left" w:pos="709"/>
          <w:tab w:val="left" w:pos="851"/>
        </w:tabs>
        <w:ind w:right="28" w:firstLine="567"/>
        <w:jc w:val="both"/>
        <w:rPr>
          <w:lang w:val="uk-UA"/>
        </w:rPr>
      </w:pPr>
      <w:r w:rsidRPr="002C1823">
        <w:rPr>
          <w:lang w:val="uk-UA"/>
        </w:rPr>
        <w:t xml:space="preserve">Видатки на утримання </w:t>
      </w:r>
      <w:proofErr w:type="spellStart"/>
      <w:r w:rsidRPr="002C1823">
        <w:rPr>
          <w:lang w:val="uk-UA"/>
        </w:rPr>
        <w:t>вулично</w:t>
      </w:r>
      <w:proofErr w:type="spellEnd"/>
      <w:r w:rsidRPr="002C1823">
        <w:rPr>
          <w:lang w:val="uk-UA"/>
        </w:rPr>
        <w:t>-дорожньої мережі – 25</w:t>
      </w:r>
      <w:r>
        <w:rPr>
          <w:lang w:val="uk-UA"/>
        </w:rPr>
        <w:t> </w:t>
      </w:r>
      <w:r w:rsidRPr="002C1823">
        <w:rPr>
          <w:lang w:val="uk-UA"/>
        </w:rPr>
        <w:t>700</w:t>
      </w:r>
      <w:r>
        <w:rPr>
          <w:lang w:val="uk-UA"/>
        </w:rPr>
        <w:t xml:space="preserve">,0 тис. грн. </w:t>
      </w:r>
    </w:p>
    <w:p w:rsidR="008A22EE" w:rsidRPr="00BC2039" w:rsidRDefault="008A22EE" w:rsidP="008A22EE">
      <w:pPr>
        <w:pStyle w:val="a9"/>
        <w:tabs>
          <w:tab w:val="left" w:pos="709"/>
          <w:tab w:val="left" w:pos="851"/>
        </w:tabs>
        <w:ind w:right="28" w:firstLine="567"/>
        <w:jc w:val="both"/>
        <w:rPr>
          <w:lang w:val="uk-UA"/>
        </w:rPr>
      </w:pPr>
      <w:r w:rsidRPr="00BC2039">
        <w:rPr>
          <w:lang w:val="uk-UA"/>
        </w:rPr>
        <w:t xml:space="preserve">Фінансова підтримка на </w:t>
      </w:r>
      <w:r>
        <w:rPr>
          <w:lang w:val="uk-UA"/>
        </w:rPr>
        <w:t>поповнення обігових коштів комунальним підприємствам</w:t>
      </w:r>
      <w:r w:rsidRPr="00BC2039">
        <w:rPr>
          <w:lang w:val="uk-UA"/>
        </w:rPr>
        <w:t xml:space="preserve"> у  сумі 31</w:t>
      </w:r>
      <w:r>
        <w:rPr>
          <w:lang w:val="uk-UA"/>
        </w:rPr>
        <w:t> </w:t>
      </w:r>
      <w:r w:rsidRPr="00BC2039">
        <w:rPr>
          <w:lang w:val="uk-UA"/>
        </w:rPr>
        <w:t>215</w:t>
      </w:r>
      <w:r>
        <w:rPr>
          <w:lang w:val="uk-UA"/>
        </w:rPr>
        <w:t>,0 тис. грн</w:t>
      </w:r>
      <w:r w:rsidRPr="00BC2039">
        <w:rPr>
          <w:lang w:val="uk-UA"/>
        </w:rPr>
        <w:t>,</w:t>
      </w:r>
      <w:r>
        <w:rPr>
          <w:lang w:val="uk-UA"/>
        </w:rPr>
        <w:t xml:space="preserve"> </w:t>
      </w:r>
      <w:r w:rsidRPr="00BC2039">
        <w:rPr>
          <w:lang w:val="uk-UA"/>
        </w:rPr>
        <w:t>у т.</w:t>
      </w:r>
      <w:r>
        <w:rPr>
          <w:lang w:val="uk-UA"/>
        </w:rPr>
        <w:t xml:space="preserve"> </w:t>
      </w:r>
      <w:r w:rsidRPr="00BC2039">
        <w:rPr>
          <w:lang w:val="uk-UA"/>
        </w:rPr>
        <w:t>ч.:</w:t>
      </w:r>
    </w:p>
    <w:p w:rsidR="008A22EE" w:rsidRPr="00BC2039" w:rsidRDefault="008A22EE" w:rsidP="00E67FF2">
      <w:pPr>
        <w:pStyle w:val="a9"/>
        <w:numPr>
          <w:ilvl w:val="0"/>
          <w:numId w:val="15"/>
        </w:numPr>
        <w:tabs>
          <w:tab w:val="left" w:pos="709"/>
          <w:tab w:val="left" w:pos="851"/>
        </w:tabs>
        <w:ind w:left="0" w:right="28" w:firstLine="556"/>
        <w:jc w:val="both"/>
        <w:rPr>
          <w:lang w:val="uk-UA"/>
        </w:rPr>
      </w:pPr>
      <w:r>
        <w:rPr>
          <w:lang w:val="uk-UA"/>
        </w:rPr>
        <w:t>3 115,0 тис. грн – КП «МУЖКГ»</w:t>
      </w:r>
      <w:r w:rsidRPr="00BC2039">
        <w:rPr>
          <w:lang w:val="uk-UA"/>
        </w:rPr>
        <w:t>;</w:t>
      </w:r>
    </w:p>
    <w:p w:rsidR="008A22EE" w:rsidRPr="00BC2039" w:rsidRDefault="008A22EE" w:rsidP="00E67FF2">
      <w:pPr>
        <w:pStyle w:val="a9"/>
        <w:numPr>
          <w:ilvl w:val="0"/>
          <w:numId w:val="15"/>
        </w:numPr>
        <w:tabs>
          <w:tab w:val="left" w:pos="709"/>
          <w:tab w:val="left" w:pos="851"/>
        </w:tabs>
        <w:ind w:left="0" w:right="28" w:firstLine="556"/>
        <w:jc w:val="both"/>
        <w:rPr>
          <w:lang w:val="uk-UA"/>
        </w:rPr>
      </w:pPr>
      <w:r w:rsidRPr="00BC2039">
        <w:rPr>
          <w:lang w:val="uk-UA"/>
        </w:rPr>
        <w:t>10</w:t>
      </w:r>
      <w:r>
        <w:rPr>
          <w:lang w:val="uk-UA"/>
        </w:rPr>
        <w:t> </w:t>
      </w:r>
      <w:r w:rsidRPr="00BC2039">
        <w:rPr>
          <w:lang w:val="uk-UA"/>
        </w:rPr>
        <w:t>100</w:t>
      </w:r>
      <w:r>
        <w:rPr>
          <w:lang w:val="uk-UA"/>
        </w:rPr>
        <w:t xml:space="preserve">,0 тис. </w:t>
      </w:r>
      <w:r w:rsidRPr="00BC2039">
        <w:rPr>
          <w:lang w:val="uk-UA"/>
        </w:rPr>
        <w:t>грн – КП «ЧВК»;</w:t>
      </w:r>
    </w:p>
    <w:p w:rsidR="008A22EE" w:rsidRDefault="008A22EE" w:rsidP="00E67FF2">
      <w:pPr>
        <w:pStyle w:val="a9"/>
        <w:numPr>
          <w:ilvl w:val="0"/>
          <w:numId w:val="15"/>
        </w:numPr>
        <w:tabs>
          <w:tab w:val="left" w:pos="709"/>
          <w:tab w:val="left" w:pos="851"/>
        </w:tabs>
        <w:ind w:left="0" w:right="28" w:firstLine="556"/>
        <w:jc w:val="both"/>
        <w:rPr>
          <w:lang w:val="uk-UA"/>
        </w:rPr>
      </w:pPr>
      <w:r w:rsidRPr="00BC2039">
        <w:rPr>
          <w:lang w:val="uk-UA"/>
        </w:rPr>
        <w:t>18</w:t>
      </w:r>
      <w:r>
        <w:rPr>
          <w:lang w:val="uk-UA"/>
        </w:rPr>
        <w:t> </w:t>
      </w:r>
      <w:r w:rsidRPr="00BC2039">
        <w:rPr>
          <w:lang w:val="uk-UA"/>
        </w:rPr>
        <w:t>000</w:t>
      </w:r>
      <w:r>
        <w:rPr>
          <w:lang w:val="uk-UA"/>
        </w:rPr>
        <w:t xml:space="preserve">,0 тис. </w:t>
      </w:r>
      <w:r w:rsidRPr="00BC2039">
        <w:rPr>
          <w:lang w:val="uk-UA"/>
        </w:rPr>
        <w:t>грн – КП «ЧТЕ».</w:t>
      </w:r>
    </w:p>
    <w:p w:rsidR="008A22EE" w:rsidRPr="00BC2039" w:rsidRDefault="008A22EE" w:rsidP="008A22EE">
      <w:pPr>
        <w:pStyle w:val="a9"/>
        <w:tabs>
          <w:tab w:val="left" w:pos="709"/>
          <w:tab w:val="left" w:pos="851"/>
        </w:tabs>
        <w:ind w:left="556" w:right="28"/>
        <w:jc w:val="both"/>
        <w:rPr>
          <w:lang w:val="uk-UA"/>
        </w:rPr>
      </w:pPr>
      <w:r>
        <w:rPr>
          <w:lang w:val="uk-UA"/>
        </w:rPr>
        <w:t>Заходи із запобігання та ліквідація надзвичайних ситуації та наслідків стихійного лиха – 835,0 тис. грн, із них:</w:t>
      </w:r>
    </w:p>
    <w:p w:rsidR="008A22EE" w:rsidRDefault="008A22EE" w:rsidP="00E67FF2">
      <w:pPr>
        <w:pStyle w:val="a9"/>
        <w:numPr>
          <w:ilvl w:val="0"/>
          <w:numId w:val="15"/>
        </w:numPr>
        <w:tabs>
          <w:tab w:val="left" w:pos="709"/>
          <w:tab w:val="left" w:pos="851"/>
        </w:tabs>
        <w:ind w:left="0" w:right="28" w:firstLine="556"/>
        <w:jc w:val="both"/>
        <w:rPr>
          <w:lang w:val="uk-UA"/>
        </w:rPr>
      </w:pPr>
      <w:r w:rsidRPr="00486BF6">
        <w:rPr>
          <w:lang w:val="uk-UA"/>
        </w:rPr>
        <w:t>КП «М</w:t>
      </w:r>
      <w:r>
        <w:rPr>
          <w:lang w:val="uk-UA"/>
        </w:rPr>
        <w:t>іське управління житлово-комунального господарства</w:t>
      </w:r>
      <w:r w:rsidRPr="00486BF6">
        <w:rPr>
          <w:lang w:val="uk-UA"/>
        </w:rPr>
        <w:t>»</w:t>
      </w:r>
      <w:r>
        <w:rPr>
          <w:lang w:val="uk-UA"/>
        </w:rPr>
        <w:t xml:space="preserve"> на утримання найпростіших укриттів  – 554,0 тис. грн;</w:t>
      </w:r>
    </w:p>
    <w:p w:rsidR="008A22EE" w:rsidRDefault="008A22EE" w:rsidP="00E67FF2">
      <w:pPr>
        <w:pStyle w:val="a9"/>
        <w:numPr>
          <w:ilvl w:val="0"/>
          <w:numId w:val="15"/>
        </w:numPr>
        <w:tabs>
          <w:tab w:val="left" w:pos="709"/>
          <w:tab w:val="left" w:pos="851"/>
        </w:tabs>
        <w:ind w:left="0" w:right="28" w:firstLine="556"/>
        <w:jc w:val="both"/>
        <w:rPr>
          <w:lang w:val="uk-UA"/>
        </w:rPr>
      </w:pPr>
      <w:r>
        <w:rPr>
          <w:lang w:val="uk-UA"/>
        </w:rPr>
        <w:t>КП «</w:t>
      </w:r>
      <w:r w:rsidRPr="00486BF6">
        <w:rPr>
          <w:lang w:val="uk-UA"/>
        </w:rPr>
        <w:t>М</w:t>
      </w:r>
      <w:r>
        <w:rPr>
          <w:lang w:val="uk-UA"/>
        </w:rPr>
        <w:t>іське управління житлово-комунального господарства</w:t>
      </w:r>
      <w:r w:rsidRPr="00486BF6">
        <w:rPr>
          <w:lang w:val="uk-UA"/>
        </w:rPr>
        <w:t>»</w:t>
      </w:r>
      <w:r>
        <w:rPr>
          <w:lang w:val="uk-UA"/>
        </w:rPr>
        <w:t xml:space="preserve">  на утримання Пунктів Незламності – 125,5 тис. грн; </w:t>
      </w:r>
    </w:p>
    <w:p w:rsidR="008A22EE" w:rsidRPr="00486BF6" w:rsidRDefault="008A22EE" w:rsidP="00E67FF2">
      <w:pPr>
        <w:pStyle w:val="a9"/>
        <w:numPr>
          <w:ilvl w:val="0"/>
          <w:numId w:val="15"/>
        </w:numPr>
        <w:tabs>
          <w:tab w:val="left" w:pos="709"/>
          <w:tab w:val="left" w:pos="851"/>
        </w:tabs>
        <w:ind w:left="0" w:right="28" w:firstLine="556"/>
        <w:jc w:val="both"/>
        <w:rPr>
          <w:lang w:val="uk-UA"/>
        </w:rPr>
      </w:pPr>
      <w:r>
        <w:rPr>
          <w:lang w:val="uk-UA"/>
        </w:rPr>
        <w:t>КП «</w:t>
      </w:r>
      <w:proofErr w:type="spellStart"/>
      <w:r>
        <w:rPr>
          <w:lang w:val="uk-UA"/>
        </w:rPr>
        <w:t>Чорноморськтеплоенерго</w:t>
      </w:r>
      <w:proofErr w:type="spellEnd"/>
      <w:r>
        <w:rPr>
          <w:lang w:val="uk-UA"/>
        </w:rPr>
        <w:t>» на утримання Пунктів Незламності – 155,5 тис. грн.</w:t>
      </w:r>
    </w:p>
    <w:p w:rsidR="008A22EE" w:rsidRPr="002C1823" w:rsidRDefault="008A22EE" w:rsidP="008A22EE">
      <w:pPr>
        <w:pStyle w:val="a9"/>
        <w:tabs>
          <w:tab w:val="left" w:pos="709"/>
          <w:tab w:val="left" w:pos="851"/>
        </w:tabs>
        <w:ind w:right="28" w:firstLine="567"/>
        <w:jc w:val="both"/>
        <w:rPr>
          <w:lang w:val="uk-UA"/>
        </w:rPr>
      </w:pPr>
      <w:r w:rsidRPr="00486BF6">
        <w:rPr>
          <w:lang w:val="uk-UA"/>
        </w:rPr>
        <w:t>Видатки на природоохоронні заходи (капітальний ремонт зеленої зони</w:t>
      </w:r>
      <w:r>
        <w:rPr>
          <w:lang w:val="uk-UA"/>
        </w:rPr>
        <w:t xml:space="preserve">, ліквідація </w:t>
      </w:r>
      <w:r w:rsidRPr="007922EF">
        <w:rPr>
          <w:lang w:val="uk-UA"/>
        </w:rPr>
        <w:t>несанкціонованих сміттєзвалищ</w:t>
      </w:r>
      <w:r w:rsidRPr="00486BF6">
        <w:rPr>
          <w:lang w:val="uk-UA"/>
        </w:rPr>
        <w:t>) за</w:t>
      </w:r>
      <w:r w:rsidRPr="002C1823">
        <w:rPr>
          <w:lang w:val="uk-UA"/>
        </w:rPr>
        <w:t xml:space="preserve"> рахунок надходжень до фонду охорони навколишнього природного середовища  складають 250</w:t>
      </w:r>
      <w:r>
        <w:rPr>
          <w:lang w:val="uk-UA"/>
        </w:rPr>
        <w:t xml:space="preserve">,0 тис. грн. </w:t>
      </w:r>
    </w:p>
    <w:p w:rsidR="008A22EE" w:rsidRPr="002C1823" w:rsidRDefault="008A22EE" w:rsidP="008A22EE">
      <w:pPr>
        <w:pStyle w:val="a9"/>
        <w:tabs>
          <w:tab w:val="left" w:pos="709"/>
          <w:tab w:val="left" w:pos="851"/>
        </w:tabs>
        <w:ind w:right="28" w:firstLine="567"/>
        <w:jc w:val="both"/>
        <w:rPr>
          <w:lang w:val="uk-UA"/>
        </w:rPr>
      </w:pPr>
      <w:r w:rsidRPr="002C1823">
        <w:rPr>
          <w:lang w:val="uk-UA"/>
        </w:rPr>
        <w:t>Видатки на організацію і проведення громадських робіт враховані у сумі                            30</w:t>
      </w:r>
      <w:r>
        <w:rPr>
          <w:lang w:val="uk-UA"/>
        </w:rPr>
        <w:t xml:space="preserve">,0 тис. </w:t>
      </w:r>
      <w:r w:rsidRPr="002C1823">
        <w:rPr>
          <w:lang w:val="uk-UA"/>
        </w:rPr>
        <w:t>гривень.</w:t>
      </w:r>
    </w:p>
    <w:p w:rsidR="008A22EE" w:rsidRPr="00776D59" w:rsidRDefault="008A22EE" w:rsidP="008A22EE">
      <w:pPr>
        <w:pStyle w:val="a9"/>
        <w:tabs>
          <w:tab w:val="left" w:pos="709"/>
          <w:tab w:val="left" w:pos="851"/>
        </w:tabs>
        <w:ind w:left="567" w:right="28"/>
        <w:jc w:val="both"/>
        <w:rPr>
          <w:highlight w:val="yellow"/>
          <w:lang w:val="uk-UA"/>
        </w:rPr>
      </w:pPr>
    </w:p>
    <w:p w:rsidR="008A22EE" w:rsidRPr="005E0605" w:rsidRDefault="008A22EE" w:rsidP="008A22EE">
      <w:pPr>
        <w:pStyle w:val="a9"/>
        <w:ind w:left="14" w:right="28" w:firstLine="388"/>
        <w:jc w:val="center"/>
        <w:rPr>
          <w:b/>
          <w:lang w:val="uk-UA"/>
        </w:rPr>
      </w:pPr>
      <w:r w:rsidRPr="005E0605">
        <w:rPr>
          <w:b/>
          <w:lang w:val="uk-UA"/>
        </w:rPr>
        <w:t xml:space="preserve">УПРАВЛІННЯ КАПІТАЛЬНОГО БУДІВНИЦТВА </w:t>
      </w:r>
    </w:p>
    <w:p w:rsidR="008A22EE" w:rsidRPr="005E0605" w:rsidRDefault="008A22EE" w:rsidP="008A22EE">
      <w:pPr>
        <w:pStyle w:val="a9"/>
        <w:ind w:left="14" w:right="28" w:firstLine="388"/>
        <w:jc w:val="center"/>
        <w:rPr>
          <w:b/>
          <w:lang w:val="uk-UA"/>
        </w:rPr>
      </w:pPr>
      <w:r w:rsidRPr="005E0605">
        <w:rPr>
          <w:b/>
          <w:lang w:val="uk-UA"/>
        </w:rPr>
        <w:t xml:space="preserve">ЧОРНОМОРСЬКОЇ МІСЬКОЇ РАДИ  ОДЕСЬКОГО РАЙОНУ </w:t>
      </w:r>
    </w:p>
    <w:p w:rsidR="008A22EE" w:rsidRPr="005E0605" w:rsidRDefault="008A22EE" w:rsidP="008A22EE">
      <w:pPr>
        <w:pStyle w:val="a9"/>
        <w:ind w:left="14" w:right="28" w:firstLine="388"/>
        <w:jc w:val="center"/>
        <w:rPr>
          <w:b/>
          <w:lang w:val="uk-UA"/>
        </w:rPr>
      </w:pPr>
      <w:r w:rsidRPr="005E0605">
        <w:rPr>
          <w:b/>
          <w:lang w:val="uk-UA"/>
        </w:rPr>
        <w:t>ОДЕСЬКОЇ ОБЛАСТІ</w:t>
      </w:r>
    </w:p>
    <w:p w:rsidR="008A22EE" w:rsidRPr="005E0605" w:rsidRDefault="008A22EE" w:rsidP="008A22EE">
      <w:pPr>
        <w:pStyle w:val="a9"/>
        <w:ind w:left="14" w:right="28" w:firstLine="553"/>
        <w:jc w:val="both"/>
        <w:rPr>
          <w:lang w:val="uk-UA"/>
        </w:rPr>
      </w:pPr>
    </w:p>
    <w:p w:rsidR="008A22EE" w:rsidRPr="005E0605" w:rsidRDefault="008A22EE" w:rsidP="008A22EE">
      <w:pPr>
        <w:pStyle w:val="a9"/>
        <w:ind w:left="14" w:right="28" w:firstLine="553"/>
        <w:jc w:val="both"/>
        <w:rPr>
          <w:lang w:val="uk-UA"/>
        </w:rPr>
      </w:pPr>
      <w:r w:rsidRPr="005E0605">
        <w:rPr>
          <w:lang w:val="uk-UA"/>
        </w:rPr>
        <w:t xml:space="preserve">В проєкті бюджету Чорноморської міської територіальної громади на 2024 рік </w:t>
      </w:r>
      <w:r>
        <w:rPr>
          <w:lang w:val="uk-UA"/>
        </w:rPr>
        <w:t>у</w:t>
      </w:r>
      <w:r w:rsidRPr="005E0605">
        <w:rPr>
          <w:lang w:val="uk-UA"/>
        </w:rPr>
        <w:t xml:space="preserve">правлінню капітального будівництва Чорноморської міської ради Одеського району Одеської області визначені бюджетні призначення у сумі </w:t>
      </w:r>
      <w:r w:rsidRPr="005210BE">
        <w:rPr>
          <w:lang w:val="uk-UA"/>
        </w:rPr>
        <w:t>4 485,0 тис. грн</w:t>
      </w:r>
      <w:r w:rsidRPr="005E0605">
        <w:rPr>
          <w:lang w:val="uk-UA"/>
        </w:rPr>
        <w:t>, із яких</w:t>
      </w:r>
      <w:r>
        <w:rPr>
          <w:lang w:val="uk-UA"/>
        </w:rPr>
        <w:t xml:space="preserve"> </w:t>
      </w:r>
      <w:r w:rsidRPr="005E0605">
        <w:rPr>
          <w:lang w:val="uk-UA"/>
        </w:rPr>
        <w:t>на утримання управління – 4</w:t>
      </w:r>
      <w:r>
        <w:rPr>
          <w:lang w:val="uk-UA"/>
        </w:rPr>
        <w:t> </w:t>
      </w:r>
      <w:r w:rsidRPr="005E0605">
        <w:rPr>
          <w:lang w:val="uk-UA"/>
        </w:rPr>
        <w:t>386</w:t>
      </w:r>
      <w:r>
        <w:rPr>
          <w:lang w:val="uk-UA"/>
        </w:rPr>
        <w:t>,0 тис. грн.</w:t>
      </w:r>
    </w:p>
    <w:p w:rsidR="008A22EE" w:rsidRDefault="008A22EE" w:rsidP="008A22EE">
      <w:pPr>
        <w:pStyle w:val="a9"/>
        <w:ind w:left="14" w:right="28" w:firstLine="553"/>
        <w:jc w:val="both"/>
        <w:rPr>
          <w:highlight w:val="yellow"/>
          <w:lang w:val="uk-UA"/>
        </w:rPr>
      </w:pPr>
    </w:p>
    <w:p w:rsidR="008A22EE" w:rsidRPr="00CB05B6" w:rsidRDefault="008A22EE" w:rsidP="008A22EE">
      <w:pPr>
        <w:spacing w:after="0"/>
        <w:jc w:val="center"/>
        <w:rPr>
          <w:rFonts w:ascii="Times New Roman" w:hAnsi="Times New Roman" w:cs="Times New Roman"/>
          <w:b/>
          <w:sz w:val="24"/>
          <w:szCs w:val="24"/>
          <w:lang w:val="uk-UA"/>
        </w:rPr>
      </w:pPr>
      <w:r w:rsidRPr="00CB05B6">
        <w:rPr>
          <w:rFonts w:ascii="Times New Roman" w:hAnsi="Times New Roman" w:cs="Times New Roman"/>
          <w:b/>
          <w:sz w:val="24"/>
          <w:szCs w:val="24"/>
          <w:lang w:val="uk-UA"/>
        </w:rPr>
        <w:t>УПРАВЛІННЯ КОМУНАЛЬНОЇ ВЛАСНОСТІ ТА ЗЕМЕЛЬНИХ ВІДНОСИН  ЧОРНОМОРСЬКОЇ МІСЬКОЇ РАДИ ОДЕСЬКОГО РАЙОНУ ОДЕСЬКОЇ ОБЛАСТІ</w:t>
      </w:r>
    </w:p>
    <w:p w:rsidR="008A22EE" w:rsidRPr="00CB05B6" w:rsidRDefault="008A22EE" w:rsidP="008A22EE">
      <w:pPr>
        <w:spacing w:after="0"/>
        <w:jc w:val="center"/>
        <w:rPr>
          <w:rFonts w:ascii="Times New Roman" w:hAnsi="Times New Roman" w:cs="Times New Roman"/>
          <w:b/>
          <w:sz w:val="24"/>
          <w:szCs w:val="24"/>
          <w:lang w:val="uk-UA"/>
        </w:rPr>
      </w:pPr>
    </w:p>
    <w:p w:rsidR="008A22EE" w:rsidRPr="00CB05B6" w:rsidRDefault="008A22EE" w:rsidP="008A22EE">
      <w:pPr>
        <w:spacing w:after="0" w:line="240" w:lineRule="auto"/>
        <w:ind w:right="-6" w:firstLine="567"/>
        <w:jc w:val="both"/>
        <w:rPr>
          <w:rFonts w:ascii="Times New Roman" w:hAnsi="Times New Roman" w:cs="Times New Roman"/>
          <w:sz w:val="24"/>
          <w:szCs w:val="24"/>
          <w:lang w:val="uk-UA"/>
        </w:rPr>
      </w:pPr>
      <w:r w:rsidRPr="00CB05B6">
        <w:rPr>
          <w:rFonts w:ascii="Times New Roman" w:hAnsi="Times New Roman" w:cs="Times New Roman"/>
          <w:sz w:val="24"/>
          <w:szCs w:val="24"/>
          <w:lang w:val="uk-UA"/>
        </w:rPr>
        <w:t xml:space="preserve">В проєкті бюджету Чорноморської міської територіальної громади на 2024 рік </w:t>
      </w:r>
      <w:r>
        <w:rPr>
          <w:rFonts w:ascii="Times New Roman" w:hAnsi="Times New Roman" w:cs="Times New Roman"/>
          <w:sz w:val="24"/>
          <w:szCs w:val="24"/>
          <w:lang w:val="uk-UA"/>
        </w:rPr>
        <w:t>у</w:t>
      </w:r>
      <w:r w:rsidRPr="00CB05B6">
        <w:rPr>
          <w:rFonts w:ascii="Times New Roman" w:hAnsi="Times New Roman" w:cs="Times New Roman"/>
          <w:sz w:val="24"/>
          <w:szCs w:val="24"/>
          <w:lang w:val="uk-UA"/>
        </w:rPr>
        <w:t xml:space="preserve">правлінню комунальної власності та земельних відносин Чорноморської міської ради </w:t>
      </w:r>
      <w:r w:rsidRPr="00CB05B6">
        <w:rPr>
          <w:rFonts w:ascii="Times New Roman" w:hAnsi="Times New Roman" w:cs="Times New Roman"/>
          <w:sz w:val="24"/>
          <w:szCs w:val="24"/>
          <w:lang w:val="uk-UA"/>
        </w:rPr>
        <w:lastRenderedPageBreak/>
        <w:t>Одеського району Одеської області</w:t>
      </w:r>
      <w:r w:rsidRPr="00CB05B6">
        <w:rPr>
          <w:rFonts w:ascii="Times New Roman" w:hAnsi="Times New Roman" w:cs="Times New Roman"/>
          <w:b/>
          <w:sz w:val="24"/>
          <w:szCs w:val="24"/>
          <w:lang w:val="uk-UA"/>
        </w:rPr>
        <w:t xml:space="preserve"> </w:t>
      </w:r>
      <w:r w:rsidRPr="00CB05B6">
        <w:rPr>
          <w:rFonts w:ascii="Times New Roman" w:hAnsi="Times New Roman" w:cs="Times New Roman"/>
          <w:sz w:val="24"/>
          <w:szCs w:val="24"/>
          <w:lang w:val="uk-UA"/>
        </w:rPr>
        <w:t>визначені бюджетні призначення у сумі</w:t>
      </w:r>
      <w:r w:rsidRPr="00CB05B6">
        <w:rPr>
          <w:rFonts w:ascii="Times New Roman" w:hAnsi="Times New Roman" w:cs="Times New Roman"/>
          <w:b/>
          <w:sz w:val="24"/>
          <w:szCs w:val="24"/>
          <w:lang w:val="uk-UA"/>
        </w:rPr>
        <w:t xml:space="preserve"> </w:t>
      </w:r>
      <w:r w:rsidRPr="00C96294">
        <w:rPr>
          <w:rFonts w:ascii="Times New Roman" w:hAnsi="Times New Roman" w:cs="Times New Roman"/>
          <w:sz w:val="24"/>
          <w:szCs w:val="24"/>
          <w:lang w:val="uk-UA"/>
        </w:rPr>
        <w:t xml:space="preserve">24 199,1 тис.  грн, </w:t>
      </w:r>
      <w:r w:rsidRPr="00CB05B6">
        <w:rPr>
          <w:rFonts w:ascii="Times New Roman" w:hAnsi="Times New Roman" w:cs="Times New Roman"/>
          <w:sz w:val="24"/>
          <w:szCs w:val="24"/>
          <w:lang w:val="uk-UA"/>
        </w:rPr>
        <w:t>зокрема на:</w:t>
      </w:r>
    </w:p>
    <w:p w:rsidR="008A22EE" w:rsidRPr="00CB05B6" w:rsidRDefault="008A22EE" w:rsidP="008A22EE">
      <w:pPr>
        <w:spacing w:after="0" w:line="240" w:lineRule="auto"/>
        <w:ind w:right="-6" w:firstLine="567"/>
        <w:jc w:val="both"/>
        <w:rPr>
          <w:rFonts w:ascii="Times New Roman" w:hAnsi="Times New Roman" w:cs="Times New Roman"/>
          <w:sz w:val="24"/>
          <w:szCs w:val="24"/>
          <w:lang w:val="uk-UA"/>
        </w:rPr>
      </w:pPr>
      <w:r w:rsidRPr="00CB05B6">
        <w:rPr>
          <w:rFonts w:ascii="Times New Roman" w:hAnsi="Times New Roman" w:cs="Times New Roman"/>
          <w:sz w:val="24"/>
          <w:szCs w:val="24"/>
          <w:lang w:val="uk-UA"/>
        </w:rPr>
        <w:t>- утримання управління – 3</w:t>
      </w:r>
      <w:r>
        <w:rPr>
          <w:rFonts w:ascii="Times New Roman" w:hAnsi="Times New Roman" w:cs="Times New Roman"/>
          <w:sz w:val="24"/>
          <w:szCs w:val="24"/>
          <w:lang w:val="uk-UA"/>
        </w:rPr>
        <w:t> </w:t>
      </w:r>
      <w:r w:rsidRPr="00CB05B6">
        <w:rPr>
          <w:rFonts w:ascii="Times New Roman" w:hAnsi="Times New Roman" w:cs="Times New Roman"/>
          <w:sz w:val="24"/>
          <w:szCs w:val="24"/>
          <w:lang w:val="uk-UA"/>
        </w:rPr>
        <w:t>762</w:t>
      </w:r>
      <w:r>
        <w:rPr>
          <w:rFonts w:ascii="Times New Roman" w:hAnsi="Times New Roman" w:cs="Times New Roman"/>
          <w:sz w:val="24"/>
          <w:szCs w:val="24"/>
          <w:lang w:val="uk-UA"/>
        </w:rPr>
        <w:t xml:space="preserve">,8 тис. </w:t>
      </w:r>
      <w:r w:rsidRPr="00CB05B6">
        <w:rPr>
          <w:rFonts w:ascii="Times New Roman" w:hAnsi="Times New Roman" w:cs="Times New Roman"/>
          <w:sz w:val="24"/>
          <w:szCs w:val="24"/>
          <w:lang w:val="uk-UA"/>
        </w:rPr>
        <w:t>грн;</w:t>
      </w:r>
    </w:p>
    <w:p w:rsidR="008A22EE" w:rsidRPr="00CB05B6" w:rsidRDefault="008A22EE" w:rsidP="008A22EE">
      <w:pPr>
        <w:spacing w:after="0" w:line="240" w:lineRule="auto"/>
        <w:ind w:right="-6" w:firstLine="567"/>
        <w:jc w:val="both"/>
        <w:rPr>
          <w:rFonts w:ascii="Times New Roman" w:hAnsi="Times New Roman" w:cs="Times New Roman"/>
          <w:sz w:val="24"/>
          <w:szCs w:val="24"/>
          <w:lang w:val="uk-UA"/>
        </w:rPr>
      </w:pPr>
      <w:r w:rsidRPr="00CB05B6">
        <w:rPr>
          <w:rFonts w:ascii="Times New Roman" w:hAnsi="Times New Roman" w:cs="Times New Roman"/>
          <w:sz w:val="24"/>
          <w:szCs w:val="24"/>
          <w:lang w:val="uk-UA"/>
        </w:rPr>
        <w:t>- інша діяльність – 159</w:t>
      </w:r>
      <w:r>
        <w:rPr>
          <w:rFonts w:ascii="Times New Roman" w:hAnsi="Times New Roman" w:cs="Times New Roman"/>
          <w:sz w:val="24"/>
          <w:szCs w:val="24"/>
          <w:lang w:val="uk-UA"/>
        </w:rPr>
        <w:t xml:space="preserve">,0 тис. </w:t>
      </w:r>
      <w:r w:rsidRPr="00CB05B6">
        <w:rPr>
          <w:rFonts w:ascii="Times New Roman" w:hAnsi="Times New Roman" w:cs="Times New Roman"/>
          <w:sz w:val="24"/>
          <w:szCs w:val="24"/>
          <w:lang w:val="uk-UA"/>
        </w:rPr>
        <w:t>грн;</w:t>
      </w:r>
    </w:p>
    <w:p w:rsidR="008A22EE" w:rsidRPr="00776D59" w:rsidRDefault="008A22EE" w:rsidP="008A22EE">
      <w:pPr>
        <w:spacing w:after="0" w:line="240" w:lineRule="auto"/>
        <w:ind w:right="-6" w:firstLine="567"/>
        <w:jc w:val="both"/>
        <w:rPr>
          <w:rFonts w:ascii="Times New Roman" w:hAnsi="Times New Roman" w:cs="Times New Roman"/>
          <w:sz w:val="24"/>
          <w:szCs w:val="24"/>
          <w:highlight w:val="yellow"/>
          <w:lang w:val="uk-UA"/>
        </w:rPr>
      </w:pPr>
      <w:r w:rsidRPr="00CB05B6">
        <w:rPr>
          <w:rFonts w:ascii="Times New Roman" w:hAnsi="Times New Roman" w:cs="Times New Roman"/>
          <w:sz w:val="24"/>
          <w:szCs w:val="24"/>
          <w:lang w:val="uk-UA"/>
        </w:rPr>
        <w:t xml:space="preserve">- оплату послуг з теплопостачання за об’єктом комунальної власності </w:t>
      </w:r>
      <w:r>
        <w:rPr>
          <w:rFonts w:ascii="Times New Roman" w:hAnsi="Times New Roman" w:cs="Times New Roman"/>
          <w:sz w:val="24"/>
          <w:szCs w:val="24"/>
          <w:lang w:val="uk-UA"/>
        </w:rPr>
        <w:t>–</w:t>
      </w:r>
      <w:r w:rsidRPr="00CB05B6">
        <w:rPr>
          <w:rFonts w:ascii="Times New Roman" w:hAnsi="Times New Roman" w:cs="Times New Roman"/>
          <w:sz w:val="24"/>
          <w:szCs w:val="24"/>
          <w:lang w:val="uk-UA"/>
        </w:rPr>
        <w:t xml:space="preserve"> 146</w:t>
      </w:r>
      <w:r>
        <w:rPr>
          <w:rFonts w:ascii="Times New Roman" w:hAnsi="Times New Roman" w:cs="Times New Roman"/>
          <w:sz w:val="24"/>
          <w:szCs w:val="24"/>
          <w:lang w:val="uk-UA"/>
        </w:rPr>
        <w:t xml:space="preserve">,0 тис. </w:t>
      </w:r>
      <w:r w:rsidRPr="00CB05B6">
        <w:rPr>
          <w:rFonts w:ascii="Times New Roman" w:hAnsi="Times New Roman" w:cs="Times New Roman"/>
          <w:sz w:val="24"/>
          <w:szCs w:val="24"/>
          <w:lang w:val="uk-UA"/>
        </w:rPr>
        <w:t>грн;</w:t>
      </w:r>
    </w:p>
    <w:p w:rsidR="008A22EE" w:rsidRDefault="008A22EE" w:rsidP="008A22EE">
      <w:pPr>
        <w:spacing w:after="0" w:line="240" w:lineRule="auto"/>
        <w:ind w:right="-6" w:firstLine="567"/>
        <w:jc w:val="both"/>
        <w:rPr>
          <w:rFonts w:ascii="Times New Roman" w:hAnsi="Times New Roman" w:cs="Times New Roman"/>
          <w:sz w:val="24"/>
          <w:szCs w:val="24"/>
          <w:lang w:val="uk-UA"/>
        </w:rPr>
      </w:pPr>
      <w:r w:rsidRPr="00CB05B6">
        <w:rPr>
          <w:rFonts w:ascii="Times New Roman" w:hAnsi="Times New Roman" w:cs="Times New Roman"/>
          <w:sz w:val="24"/>
          <w:szCs w:val="24"/>
          <w:lang w:val="uk-UA"/>
        </w:rPr>
        <w:t xml:space="preserve">- розробка проєкту землеустрою земельних ділянок, які знаходяться на території Чорноморської міської територіальної громади </w:t>
      </w:r>
      <w:r>
        <w:rPr>
          <w:rFonts w:ascii="Times New Roman" w:hAnsi="Times New Roman" w:cs="Times New Roman"/>
          <w:sz w:val="24"/>
          <w:szCs w:val="24"/>
          <w:lang w:val="uk-UA"/>
        </w:rPr>
        <w:t>–</w:t>
      </w:r>
      <w:r w:rsidRPr="00CB05B6">
        <w:rPr>
          <w:rFonts w:ascii="Times New Roman" w:hAnsi="Times New Roman" w:cs="Times New Roman"/>
          <w:sz w:val="24"/>
          <w:szCs w:val="24"/>
          <w:lang w:val="uk-UA"/>
        </w:rPr>
        <w:t xml:space="preserve"> 200</w:t>
      </w:r>
      <w:r>
        <w:rPr>
          <w:rFonts w:ascii="Times New Roman" w:hAnsi="Times New Roman" w:cs="Times New Roman"/>
          <w:sz w:val="24"/>
          <w:szCs w:val="24"/>
          <w:lang w:val="uk-UA"/>
        </w:rPr>
        <w:t xml:space="preserve">,0 тис. </w:t>
      </w:r>
      <w:r w:rsidRPr="00CB05B6">
        <w:rPr>
          <w:rFonts w:ascii="Times New Roman" w:hAnsi="Times New Roman" w:cs="Times New Roman"/>
          <w:sz w:val="24"/>
          <w:szCs w:val="24"/>
          <w:lang w:val="uk-UA"/>
        </w:rPr>
        <w:t>грн;</w:t>
      </w:r>
    </w:p>
    <w:p w:rsidR="008A22EE" w:rsidRPr="0012733C" w:rsidRDefault="008A22EE" w:rsidP="008A22EE">
      <w:pPr>
        <w:ind w:firstLine="567"/>
        <w:contextualSpacing/>
        <w:jc w:val="both"/>
        <w:rPr>
          <w:rFonts w:ascii="Times New Roman" w:hAnsi="Times New Roman" w:cs="Times New Roman"/>
          <w:sz w:val="24"/>
          <w:szCs w:val="24"/>
          <w:lang w:val="uk-UA"/>
        </w:rPr>
      </w:pPr>
      <w:r w:rsidRPr="0012733C">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12733C">
        <w:rPr>
          <w:rFonts w:ascii="Times New Roman" w:hAnsi="Times New Roman" w:cs="Times New Roman"/>
          <w:sz w:val="24"/>
          <w:szCs w:val="24"/>
          <w:lang w:val="uk-UA"/>
        </w:rPr>
        <w:t xml:space="preserve">заходи Міської цільової програми проведення технічної інвентаризації та виготовлення технічних паспортів багатоквартирних житлових будинків, які розташовані на території Чорноморської міської ради Одеського району Одеської області та знаходяться в управлінні комунального підприємства "Міське управління житлово-комунального господарства", на 2023-2025 роки", затвердженої рішенням Чорноморської міської ради Одеського району Одеської області від 19.05.2023 року №368-VIII – </w:t>
      </w:r>
      <w:r>
        <w:rPr>
          <w:rFonts w:ascii="Times New Roman" w:hAnsi="Times New Roman" w:cs="Times New Roman"/>
          <w:sz w:val="24"/>
          <w:szCs w:val="24"/>
          <w:lang w:val="uk-UA"/>
        </w:rPr>
        <w:t>1 500,0 тис. грн</w:t>
      </w:r>
      <w:r w:rsidRPr="0012733C">
        <w:rPr>
          <w:rFonts w:ascii="Times New Roman" w:hAnsi="Times New Roman" w:cs="Times New Roman"/>
          <w:sz w:val="24"/>
          <w:szCs w:val="24"/>
          <w:lang w:val="uk-UA"/>
        </w:rPr>
        <w:t xml:space="preserve">; </w:t>
      </w:r>
    </w:p>
    <w:p w:rsidR="008A22EE" w:rsidRPr="00394447" w:rsidRDefault="008A22EE" w:rsidP="008A22EE">
      <w:pPr>
        <w:spacing w:after="0" w:line="240" w:lineRule="auto"/>
        <w:ind w:right="-6" w:firstLine="567"/>
        <w:contextualSpacing/>
        <w:jc w:val="both"/>
        <w:rPr>
          <w:rFonts w:ascii="Times New Roman" w:hAnsi="Times New Roman" w:cs="Times New Roman"/>
          <w:sz w:val="24"/>
          <w:szCs w:val="24"/>
          <w:lang w:val="uk-UA"/>
        </w:rPr>
      </w:pPr>
      <w:r w:rsidRPr="00394447">
        <w:rPr>
          <w:rFonts w:ascii="Times New Roman" w:hAnsi="Times New Roman" w:cs="Times New Roman"/>
          <w:sz w:val="24"/>
          <w:szCs w:val="24"/>
          <w:lang w:val="uk-UA"/>
        </w:rPr>
        <w:t>- надання фінансової підтримки :</w:t>
      </w:r>
    </w:p>
    <w:p w:rsidR="008A22EE" w:rsidRPr="00394447" w:rsidRDefault="008A22EE" w:rsidP="00E67FF2">
      <w:pPr>
        <w:pStyle w:val="a4"/>
        <w:numPr>
          <w:ilvl w:val="0"/>
          <w:numId w:val="24"/>
        </w:numPr>
        <w:spacing w:after="0" w:line="240" w:lineRule="auto"/>
        <w:ind w:right="-6"/>
        <w:jc w:val="both"/>
        <w:rPr>
          <w:rFonts w:ascii="Times New Roman" w:hAnsi="Times New Roman" w:cs="Times New Roman"/>
          <w:sz w:val="24"/>
          <w:szCs w:val="24"/>
          <w:lang w:val="uk-UA"/>
        </w:rPr>
      </w:pPr>
      <w:r>
        <w:rPr>
          <w:rFonts w:ascii="Times New Roman" w:hAnsi="Times New Roman" w:cs="Times New Roman"/>
          <w:sz w:val="24"/>
          <w:szCs w:val="24"/>
          <w:lang w:val="uk-UA"/>
        </w:rPr>
        <w:t>к</w:t>
      </w:r>
      <w:r w:rsidRPr="00394447">
        <w:rPr>
          <w:rFonts w:ascii="Times New Roman" w:hAnsi="Times New Roman" w:cs="Times New Roman"/>
          <w:sz w:val="24"/>
          <w:szCs w:val="24"/>
          <w:lang w:val="uk-UA"/>
        </w:rPr>
        <w:t>омунальному підприємству «Палац спорту "Юність"» Чорноморської міської ради Одеського району Одеської області – 16</w:t>
      </w:r>
      <w:r>
        <w:rPr>
          <w:rFonts w:ascii="Times New Roman" w:hAnsi="Times New Roman" w:cs="Times New Roman"/>
          <w:sz w:val="24"/>
          <w:szCs w:val="24"/>
          <w:lang w:val="uk-UA"/>
        </w:rPr>
        <w:t> </w:t>
      </w:r>
      <w:r w:rsidRPr="00394447">
        <w:rPr>
          <w:rFonts w:ascii="Times New Roman" w:hAnsi="Times New Roman" w:cs="Times New Roman"/>
          <w:sz w:val="24"/>
          <w:szCs w:val="24"/>
          <w:lang w:val="uk-UA"/>
        </w:rPr>
        <w:t>599</w:t>
      </w:r>
      <w:r>
        <w:rPr>
          <w:rFonts w:ascii="Times New Roman" w:hAnsi="Times New Roman" w:cs="Times New Roman"/>
          <w:sz w:val="24"/>
          <w:szCs w:val="24"/>
          <w:lang w:val="uk-UA"/>
        </w:rPr>
        <w:t xml:space="preserve">,0 тис. </w:t>
      </w:r>
      <w:r w:rsidRPr="00394447">
        <w:rPr>
          <w:rFonts w:ascii="Times New Roman" w:hAnsi="Times New Roman" w:cs="Times New Roman"/>
          <w:sz w:val="24"/>
          <w:szCs w:val="24"/>
          <w:lang w:val="uk-UA"/>
        </w:rPr>
        <w:t>грн;</w:t>
      </w:r>
    </w:p>
    <w:p w:rsidR="008A22EE" w:rsidRPr="00394447" w:rsidRDefault="008A22EE" w:rsidP="00E67FF2">
      <w:pPr>
        <w:pStyle w:val="a4"/>
        <w:numPr>
          <w:ilvl w:val="0"/>
          <w:numId w:val="24"/>
        </w:numPr>
        <w:spacing w:after="0" w:line="240" w:lineRule="auto"/>
        <w:ind w:right="-6"/>
        <w:jc w:val="both"/>
        <w:rPr>
          <w:rFonts w:ascii="Times New Roman" w:hAnsi="Times New Roman" w:cs="Times New Roman"/>
          <w:sz w:val="24"/>
          <w:szCs w:val="24"/>
          <w:lang w:val="uk-UA"/>
        </w:rPr>
      </w:pPr>
      <w:r>
        <w:rPr>
          <w:rFonts w:ascii="Times New Roman" w:hAnsi="Times New Roman" w:cs="Times New Roman"/>
          <w:sz w:val="24"/>
          <w:szCs w:val="24"/>
          <w:lang w:val="uk-UA"/>
        </w:rPr>
        <w:t>к</w:t>
      </w:r>
      <w:r w:rsidRPr="00394447">
        <w:rPr>
          <w:rFonts w:ascii="Times New Roman" w:hAnsi="Times New Roman" w:cs="Times New Roman"/>
          <w:sz w:val="24"/>
          <w:szCs w:val="24"/>
          <w:lang w:val="uk-UA"/>
        </w:rPr>
        <w:t>омунальному підприємству «Чорноморський аквапарк» Чорноморської міської ради Одеського району Одеської області – 187</w:t>
      </w:r>
      <w:r>
        <w:rPr>
          <w:rFonts w:ascii="Times New Roman" w:hAnsi="Times New Roman" w:cs="Times New Roman"/>
          <w:sz w:val="24"/>
          <w:szCs w:val="24"/>
          <w:lang w:val="uk-UA"/>
        </w:rPr>
        <w:t xml:space="preserve">,0 тис. </w:t>
      </w:r>
      <w:r w:rsidRPr="00394447">
        <w:rPr>
          <w:rFonts w:ascii="Times New Roman" w:hAnsi="Times New Roman" w:cs="Times New Roman"/>
          <w:sz w:val="24"/>
          <w:szCs w:val="24"/>
          <w:lang w:val="uk-UA"/>
        </w:rPr>
        <w:t>грн;</w:t>
      </w:r>
    </w:p>
    <w:p w:rsidR="008A22EE" w:rsidRPr="00394447" w:rsidRDefault="008A22EE" w:rsidP="00E67FF2">
      <w:pPr>
        <w:pStyle w:val="a4"/>
        <w:numPr>
          <w:ilvl w:val="0"/>
          <w:numId w:val="24"/>
        </w:numPr>
        <w:spacing w:after="0" w:line="240" w:lineRule="auto"/>
        <w:ind w:right="-6"/>
        <w:jc w:val="both"/>
        <w:rPr>
          <w:rFonts w:ascii="Times New Roman" w:hAnsi="Times New Roman" w:cs="Times New Roman"/>
          <w:sz w:val="24"/>
          <w:szCs w:val="24"/>
          <w:lang w:val="uk-UA"/>
        </w:rPr>
      </w:pPr>
      <w:r>
        <w:rPr>
          <w:rFonts w:ascii="Times New Roman" w:hAnsi="Times New Roman" w:cs="Times New Roman"/>
          <w:sz w:val="24"/>
          <w:szCs w:val="24"/>
          <w:lang w:val="uk-UA"/>
        </w:rPr>
        <w:t>к</w:t>
      </w:r>
      <w:r w:rsidRPr="00394447">
        <w:rPr>
          <w:rFonts w:ascii="Times New Roman" w:hAnsi="Times New Roman" w:cs="Times New Roman"/>
          <w:sz w:val="24"/>
          <w:szCs w:val="24"/>
          <w:lang w:val="uk-UA"/>
        </w:rPr>
        <w:t>омунальному підприємству  - Фірмі «Райдуга» – 1</w:t>
      </w:r>
      <w:r>
        <w:rPr>
          <w:rFonts w:ascii="Times New Roman" w:hAnsi="Times New Roman" w:cs="Times New Roman"/>
          <w:sz w:val="24"/>
          <w:szCs w:val="24"/>
          <w:lang w:val="uk-UA"/>
        </w:rPr>
        <w:t> </w:t>
      </w:r>
      <w:r w:rsidRPr="00394447">
        <w:rPr>
          <w:rFonts w:ascii="Times New Roman" w:hAnsi="Times New Roman" w:cs="Times New Roman"/>
          <w:sz w:val="24"/>
          <w:szCs w:val="24"/>
          <w:lang w:val="uk-UA"/>
        </w:rPr>
        <w:t>495</w:t>
      </w:r>
      <w:r>
        <w:rPr>
          <w:rFonts w:ascii="Times New Roman" w:hAnsi="Times New Roman" w:cs="Times New Roman"/>
          <w:sz w:val="24"/>
          <w:szCs w:val="24"/>
          <w:lang w:val="uk-UA"/>
        </w:rPr>
        <w:t xml:space="preserve">,3 тис. </w:t>
      </w:r>
      <w:r w:rsidRPr="00394447">
        <w:rPr>
          <w:rFonts w:ascii="Times New Roman" w:hAnsi="Times New Roman" w:cs="Times New Roman"/>
          <w:sz w:val="24"/>
          <w:szCs w:val="24"/>
          <w:lang w:val="uk-UA"/>
        </w:rPr>
        <w:t>грн.</w:t>
      </w:r>
    </w:p>
    <w:p w:rsidR="008A22EE" w:rsidRPr="00394447" w:rsidRDefault="008A22EE" w:rsidP="008A22EE">
      <w:pPr>
        <w:spacing w:after="0" w:line="240" w:lineRule="auto"/>
        <w:ind w:right="-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394447">
        <w:rPr>
          <w:rFonts w:ascii="Times New Roman" w:hAnsi="Times New Roman" w:cs="Times New Roman"/>
          <w:sz w:val="24"/>
          <w:szCs w:val="24"/>
          <w:lang w:val="uk-UA"/>
        </w:rPr>
        <w:t xml:space="preserve">- </w:t>
      </w:r>
      <w:r>
        <w:rPr>
          <w:rFonts w:ascii="Times New Roman" w:hAnsi="Times New Roman" w:cs="Times New Roman"/>
          <w:sz w:val="24"/>
          <w:szCs w:val="24"/>
          <w:lang w:val="uk-UA"/>
        </w:rPr>
        <w:t>інші видатки</w:t>
      </w:r>
      <w:r w:rsidRPr="00394447">
        <w:rPr>
          <w:rFonts w:ascii="Times New Roman" w:hAnsi="Times New Roman" w:cs="Times New Roman"/>
          <w:sz w:val="24"/>
          <w:szCs w:val="24"/>
          <w:lang w:val="uk-UA"/>
        </w:rPr>
        <w:t xml:space="preserve"> – </w:t>
      </w:r>
      <w:r>
        <w:rPr>
          <w:rFonts w:ascii="Times New Roman" w:hAnsi="Times New Roman" w:cs="Times New Roman"/>
          <w:sz w:val="24"/>
          <w:szCs w:val="24"/>
          <w:lang w:val="uk-UA"/>
        </w:rPr>
        <w:t>150,0 тис. грн.</w:t>
      </w:r>
    </w:p>
    <w:p w:rsidR="008A22EE" w:rsidRPr="00776D59" w:rsidRDefault="008A22EE" w:rsidP="008A22EE">
      <w:pPr>
        <w:spacing w:after="0" w:line="240" w:lineRule="auto"/>
        <w:jc w:val="center"/>
        <w:rPr>
          <w:rFonts w:ascii="Times New Roman" w:hAnsi="Times New Roman" w:cs="Times New Roman"/>
          <w:b/>
          <w:sz w:val="24"/>
          <w:szCs w:val="24"/>
          <w:highlight w:val="yellow"/>
          <w:lang w:val="uk-UA"/>
        </w:rPr>
      </w:pPr>
    </w:p>
    <w:p w:rsidR="008A22EE" w:rsidRPr="005E0605" w:rsidRDefault="008A22EE" w:rsidP="008A22EE">
      <w:pPr>
        <w:spacing w:after="0" w:line="240" w:lineRule="auto"/>
        <w:jc w:val="center"/>
        <w:rPr>
          <w:rFonts w:ascii="Times New Roman" w:hAnsi="Times New Roman" w:cs="Times New Roman"/>
          <w:b/>
          <w:sz w:val="24"/>
          <w:szCs w:val="24"/>
          <w:lang w:val="uk-UA"/>
        </w:rPr>
      </w:pPr>
      <w:r w:rsidRPr="005E0605">
        <w:rPr>
          <w:rFonts w:ascii="Times New Roman" w:hAnsi="Times New Roman" w:cs="Times New Roman"/>
          <w:b/>
          <w:sz w:val="24"/>
          <w:szCs w:val="24"/>
          <w:lang w:val="uk-UA"/>
        </w:rPr>
        <w:t>ФІНАНСОВЕ УПРАВЛІННЯ ЧОРНОМОРСЬКОЇ МІСЬКОЇ РАДИ ОДЕСЬКОГО РАЙОНУ ОДЕСЬКОЇ ОБЛАСТІ</w:t>
      </w:r>
    </w:p>
    <w:p w:rsidR="008A22EE" w:rsidRPr="005E0605" w:rsidRDefault="008A22EE" w:rsidP="008A22EE">
      <w:pPr>
        <w:spacing w:after="0" w:line="240" w:lineRule="auto"/>
        <w:rPr>
          <w:rFonts w:ascii="Times New Roman" w:hAnsi="Times New Roman" w:cs="Times New Roman"/>
          <w:sz w:val="12"/>
          <w:szCs w:val="12"/>
          <w:lang w:val="uk-UA"/>
        </w:rPr>
      </w:pPr>
    </w:p>
    <w:p w:rsidR="008A22EE" w:rsidRPr="00970206" w:rsidRDefault="008A22EE" w:rsidP="008A22EE">
      <w:pPr>
        <w:spacing w:after="0" w:line="240" w:lineRule="auto"/>
        <w:ind w:right="-5" w:firstLine="567"/>
        <w:jc w:val="both"/>
        <w:rPr>
          <w:rFonts w:ascii="Times New Roman" w:hAnsi="Times New Roman" w:cs="Times New Roman"/>
          <w:sz w:val="24"/>
          <w:szCs w:val="24"/>
          <w:lang w:val="uk-UA"/>
        </w:rPr>
      </w:pPr>
      <w:r w:rsidRPr="005E0605">
        <w:rPr>
          <w:rFonts w:ascii="Times New Roman" w:hAnsi="Times New Roman" w:cs="Times New Roman"/>
          <w:sz w:val="24"/>
          <w:szCs w:val="24"/>
          <w:lang w:val="uk-UA"/>
        </w:rPr>
        <w:t xml:space="preserve">В проєкті бюджету Чорноморської міської територіальної громади на 2024 рік </w:t>
      </w:r>
      <w:r>
        <w:rPr>
          <w:rFonts w:ascii="Times New Roman" w:hAnsi="Times New Roman" w:cs="Times New Roman"/>
          <w:sz w:val="24"/>
          <w:szCs w:val="24"/>
          <w:lang w:val="uk-UA"/>
        </w:rPr>
        <w:t>ф</w:t>
      </w:r>
      <w:r w:rsidRPr="00970206">
        <w:rPr>
          <w:rFonts w:ascii="Times New Roman" w:hAnsi="Times New Roman" w:cs="Times New Roman"/>
          <w:sz w:val="24"/>
          <w:szCs w:val="24"/>
          <w:lang w:val="uk-UA"/>
        </w:rPr>
        <w:t>інансовому управлінню Чорноморської міської ради Одеського району Одеської області</w:t>
      </w:r>
      <w:r w:rsidRPr="005E0605">
        <w:rPr>
          <w:rFonts w:ascii="Times New Roman" w:hAnsi="Times New Roman" w:cs="Times New Roman"/>
          <w:b/>
          <w:sz w:val="24"/>
          <w:szCs w:val="24"/>
          <w:lang w:val="uk-UA"/>
        </w:rPr>
        <w:t xml:space="preserve"> </w:t>
      </w:r>
      <w:r w:rsidRPr="005E0605">
        <w:rPr>
          <w:rFonts w:ascii="Times New Roman" w:hAnsi="Times New Roman" w:cs="Times New Roman"/>
          <w:sz w:val="24"/>
          <w:szCs w:val="24"/>
          <w:lang w:val="uk-UA"/>
        </w:rPr>
        <w:t xml:space="preserve">визначені бюджетні призначення у сумі </w:t>
      </w:r>
      <w:r w:rsidRPr="00970206">
        <w:rPr>
          <w:rFonts w:ascii="Times New Roman" w:hAnsi="Times New Roman" w:cs="Times New Roman"/>
          <w:sz w:val="24"/>
          <w:szCs w:val="24"/>
          <w:lang w:val="uk-UA"/>
        </w:rPr>
        <w:t>17 790,1 тис. грн.</w:t>
      </w:r>
    </w:p>
    <w:p w:rsidR="008A22EE" w:rsidRPr="005E0605" w:rsidRDefault="008A22EE" w:rsidP="008A22EE">
      <w:pPr>
        <w:spacing w:after="0" w:line="240" w:lineRule="auto"/>
        <w:ind w:right="-5" w:firstLine="567"/>
        <w:jc w:val="both"/>
        <w:rPr>
          <w:rFonts w:ascii="Times New Roman" w:hAnsi="Times New Roman" w:cs="Times New Roman"/>
          <w:sz w:val="24"/>
          <w:szCs w:val="24"/>
          <w:lang w:val="uk-UA"/>
        </w:rPr>
      </w:pPr>
      <w:r w:rsidRPr="005E0605">
        <w:rPr>
          <w:rFonts w:ascii="Times New Roman" w:hAnsi="Times New Roman" w:cs="Times New Roman"/>
          <w:sz w:val="24"/>
          <w:szCs w:val="24"/>
          <w:lang w:val="uk-UA"/>
        </w:rPr>
        <w:t>Визначені видатки розподілені наступним чином:</w:t>
      </w:r>
    </w:p>
    <w:p w:rsidR="008A22EE" w:rsidRPr="005E0605" w:rsidRDefault="008A22EE" w:rsidP="008A22EE">
      <w:pPr>
        <w:spacing w:after="0" w:line="240" w:lineRule="auto"/>
        <w:ind w:right="-5" w:firstLine="567"/>
        <w:jc w:val="both"/>
        <w:rPr>
          <w:rFonts w:ascii="Times New Roman" w:hAnsi="Times New Roman" w:cs="Times New Roman"/>
          <w:sz w:val="24"/>
          <w:szCs w:val="24"/>
          <w:u w:val="single"/>
          <w:lang w:val="uk-UA"/>
        </w:rPr>
      </w:pPr>
      <w:r w:rsidRPr="005E0605">
        <w:rPr>
          <w:rFonts w:ascii="Times New Roman" w:hAnsi="Times New Roman" w:cs="Times New Roman"/>
          <w:sz w:val="24"/>
          <w:szCs w:val="24"/>
          <w:lang w:val="uk-UA"/>
        </w:rPr>
        <w:t>- на утримання фінансового управління Чорноморської міської ради Одеського району Одеської області – 5</w:t>
      </w:r>
      <w:r>
        <w:rPr>
          <w:rFonts w:ascii="Times New Roman" w:hAnsi="Times New Roman" w:cs="Times New Roman"/>
          <w:sz w:val="24"/>
          <w:szCs w:val="24"/>
          <w:lang w:val="uk-UA"/>
        </w:rPr>
        <w:t> </w:t>
      </w:r>
      <w:r w:rsidRPr="005E0605">
        <w:rPr>
          <w:rFonts w:ascii="Times New Roman" w:hAnsi="Times New Roman" w:cs="Times New Roman"/>
          <w:sz w:val="24"/>
          <w:szCs w:val="24"/>
          <w:lang w:val="uk-UA"/>
        </w:rPr>
        <w:t>938</w:t>
      </w:r>
      <w:r>
        <w:rPr>
          <w:rFonts w:ascii="Times New Roman" w:hAnsi="Times New Roman" w:cs="Times New Roman"/>
          <w:sz w:val="24"/>
          <w:szCs w:val="24"/>
          <w:lang w:val="uk-UA"/>
        </w:rPr>
        <w:t>,7 тис. грн</w:t>
      </w:r>
      <w:r w:rsidRPr="005E0605">
        <w:rPr>
          <w:rFonts w:ascii="Times New Roman" w:hAnsi="Times New Roman" w:cs="Times New Roman"/>
          <w:sz w:val="24"/>
          <w:szCs w:val="24"/>
          <w:lang w:val="uk-UA"/>
        </w:rPr>
        <w:t>;</w:t>
      </w:r>
    </w:p>
    <w:p w:rsidR="008A22EE" w:rsidRPr="005E0605" w:rsidRDefault="008A22EE" w:rsidP="008A22EE">
      <w:pPr>
        <w:spacing w:after="0" w:line="240" w:lineRule="auto"/>
        <w:ind w:right="-5" w:firstLine="567"/>
        <w:jc w:val="both"/>
        <w:rPr>
          <w:rFonts w:ascii="Times New Roman" w:hAnsi="Times New Roman" w:cs="Times New Roman"/>
          <w:sz w:val="24"/>
          <w:szCs w:val="24"/>
          <w:lang w:val="uk-UA"/>
        </w:rPr>
      </w:pPr>
      <w:r w:rsidRPr="005E0605">
        <w:rPr>
          <w:rFonts w:ascii="Times New Roman" w:hAnsi="Times New Roman" w:cs="Times New Roman"/>
          <w:sz w:val="24"/>
          <w:szCs w:val="24"/>
          <w:lang w:val="uk-UA"/>
        </w:rPr>
        <w:t>- резервний фонд – 8</w:t>
      </w:r>
      <w:r>
        <w:rPr>
          <w:rFonts w:ascii="Times New Roman" w:hAnsi="Times New Roman" w:cs="Times New Roman"/>
          <w:sz w:val="24"/>
          <w:szCs w:val="24"/>
          <w:lang w:val="uk-UA"/>
        </w:rPr>
        <w:t> </w:t>
      </w:r>
      <w:r w:rsidRPr="005E0605">
        <w:rPr>
          <w:rFonts w:ascii="Times New Roman" w:hAnsi="Times New Roman" w:cs="Times New Roman"/>
          <w:sz w:val="24"/>
          <w:szCs w:val="24"/>
          <w:lang w:val="uk-UA"/>
        </w:rPr>
        <w:t>000</w:t>
      </w:r>
      <w:r>
        <w:rPr>
          <w:rFonts w:ascii="Times New Roman" w:hAnsi="Times New Roman" w:cs="Times New Roman"/>
          <w:sz w:val="24"/>
          <w:szCs w:val="24"/>
          <w:lang w:val="uk-UA"/>
        </w:rPr>
        <w:t>,0 тис. грн</w:t>
      </w:r>
      <w:r w:rsidRPr="005E0605">
        <w:rPr>
          <w:rFonts w:ascii="Times New Roman" w:hAnsi="Times New Roman" w:cs="Times New Roman"/>
          <w:sz w:val="24"/>
          <w:szCs w:val="24"/>
          <w:lang w:val="uk-UA"/>
        </w:rPr>
        <w:t>;</w:t>
      </w:r>
    </w:p>
    <w:p w:rsidR="008A22EE" w:rsidRPr="005E0605" w:rsidRDefault="008A22EE" w:rsidP="008A22EE">
      <w:pPr>
        <w:spacing w:after="0" w:line="240" w:lineRule="auto"/>
        <w:ind w:right="-5" w:firstLine="567"/>
        <w:jc w:val="both"/>
        <w:rPr>
          <w:rFonts w:ascii="Times New Roman" w:hAnsi="Times New Roman" w:cs="Times New Roman"/>
          <w:sz w:val="24"/>
          <w:szCs w:val="24"/>
          <w:lang w:val="uk-UA"/>
        </w:rPr>
      </w:pPr>
      <w:r w:rsidRPr="005E0605">
        <w:rPr>
          <w:rFonts w:ascii="Times New Roman" w:hAnsi="Times New Roman" w:cs="Times New Roman"/>
          <w:sz w:val="24"/>
          <w:szCs w:val="24"/>
          <w:lang w:val="uk-UA"/>
        </w:rPr>
        <w:t>- інша діяльність у сфери державного управління – 52</w:t>
      </w:r>
      <w:r>
        <w:rPr>
          <w:rFonts w:ascii="Times New Roman" w:hAnsi="Times New Roman" w:cs="Times New Roman"/>
          <w:sz w:val="24"/>
          <w:szCs w:val="24"/>
          <w:lang w:val="uk-UA"/>
        </w:rPr>
        <w:t>,9 тис. грн</w:t>
      </w:r>
      <w:r w:rsidRPr="005E0605">
        <w:rPr>
          <w:rFonts w:ascii="Times New Roman" w:hAnsi="Times New Roman" w:cs="Times New Roman"/>
          <w:sz w:val="24"/>
          <w:szCs w:val="24"/>
          <w:lang w:val="uk-UA"/>
        </w:rPr>
        <w:t>;</w:t>
      </w:r>
    </w:p>
    <w:p w:rsidR="008A22EE" w:rsidRDefault="008A22EE" w:rsidP="008A22EE">
      <w:pPr>
        <w:spacing w:after="0" w:line="240" w:lineRule="auto"/>
        <w:ind w:right="-5" w:firstLine="567"/>
        <w:jc w:val="both"/>
        <w:rPr>
          <w:rFonts w:ascii="Times New Roman" w:hAnsi="Times New Roman" w:cs="Times New Roman"/>
          <w:sz w:val="24"/>
          <w:szCs w:val="24"/>
          <w:lang w:val="uk-UA"/>
        </w:rPr>
      </w:pPr>
      <w:r w:rsidRPr="005E0605">
        <w:rPr>
          <w:rFonts w:ascii="Times New Roman" w:hAnsi="Times New Roman" w:cs="Times New Roman"/>
          <w:sz w:val="24"/>
          <w:szCs w:val="24"/>
          <w:lang w:val="uk-UA"/>
        </w:rPr>
        <w:t>- інші субвенції с місцевого бюджету – 3</w:t>
      </w:r>
      <w:r>
        <w:rPr>
          <w:rFonts w:ascii="Times New Roman" w:hAnsi="Times New Roman" w:cs="Times New Roman"/>
          <w:sz w:val="24"/>
          <w:szCs w:val="24"/>
          <w:lang w:val="uk-UA"/>
        </w:rPr>
        <w:t> </w:t>
      </w:r>
      <w:r w:rsidRPr="005E0605">
        <w:rPr>
          <w:rFonts w:ascii="Times New Roman" w:hAnsi="Times New Roman" w:cs="Times New Roman"/>
          <w:sz w:val="24"/>
          <w:szCs w:val="24"/>
          <w:lang w:val="uk-UA"/>
        </w:rPr>
        <w:t>798</w:t>
      </w:r>
      <w:r>
        <w:rPr>
          <w:rFonts w:ascii="Times New Roman" w:hAnsi="Times New Roman" w:cs="Times New Roman"/>
          <w:sz w:val="24"/>
          <w:szCs w:val="24"/>
          <w:lang w:val="uk-UA"/>
        </w:rPr>
        <w:t>,5 тис. грн,</w:t>
      </w:r>
      <w:r w:rsidRPr="005E0605">
        <w:rPr>
          <w:rFonts w:ascii="Times New Roman" w:hAnsi="Times New Roman" w:cs="Times New Roman"/>
          <w:sz w:val="24"/>
          <w:szCs w:val="24"/>
          <w:lang w:val="uk-UA"/>
        </w:rPr>
        <w:t xml:space="preserve"> у т ч :</w:t>
      </w:r>
    </w:p>
    <w:p w:rsidR="008A22EE" w:rsidRDefault="008A22EE" w:rsidP="008A22EE">
      <w:pPr>
        <w:spacing w:after="0" w:line="240" w:lineRule="auto"/>
        <w:ind w:right="-5" w:firstLine="567"/>
        <w:jc w:val="both"/>
        <w:rPr>
          <w:rFonts w:ascii="Times New Roman" w:hAnsi="Times New Roman" w:cs="Times New Roman"/>
          <w:sz w:val="24"/>
          <w:szCs w:val="24"/>
          <w:lang w:val="uk-UA"/>
        </w:rPr>
      </w:pPr>
      <w:r>
        <w:rPr>
          <w:rFonts w:ascii="Times New Roman" w:hAnsi="Times New Roman" w:cs="Times New Roman"/>
          <w:sz w:val="24"/>
          <w:szCs w:val="24"/>
          <w:lang w:val="uk-UA"/>
        </w:rPr>
        <w:t>- субвенція обласному бюджету Одеської області – 3 498,5 тис. грн, із них:</w:t>
      </w:r>
    </w:p>
    <w:p w:rsidR="008A22EE" w:rsidRPr="00970206" w:rsidRDefault="008A22EE" w:rsidP="00E67FF2">
      <w:pPr>
        <w:pStyle w:val="a4"/>
        <w:numPr>
          <w:ilvl w:val="0"/>
          <w:numId w:val="26"/>
        </w:numPr>
        <w:tabs>
          <w:tab w:val="left" w:pos="709"/>
          <w:tab w:val="left" w:pos="851"/>
        </w:tabs>
        <w:spacing w:after="0" w:line="240" w:lineRule="auto"/>
        <w:ind w:left="0" w:right="-5" w:firstLine="567"/>
        <w:jc w:val="both"/>
        <w:rPr>
          <w:rFonts w:ascii="Times New Roman" w:hAnsi="Times New Roman" w:cs="Times New Roman"/>
          <w:i/>
          <w:sz w:val="24"/>
          <w:szCs w:val="24"/>
          <w:lang w:val="uk-UA"/>
        </w:rPr>
      </w:pPr>
      <w:r w:rsidRPr="00970206">
        <w:rPr>
          <w:rFonts w:ascii="Times New Roman" w:hAnsi="Times New Roman" w:cs="Times New Roman"/>
          <w:i/>
          <w:sz w:val="24"/>
          <w:szCs w:val="24"/>
          <w:lang w:val="uk-UA"/>
        </w:rPr>
        <w:t xml:space="preserve">на заходи Міської цільової програми підтримки здобуття професійної (професійно-технічної), фахової </w:t>
      </w:r>
      <w:proofErr w:type="spellStart"/>
      <w:r w:rsidRPr="00970206">
        <w:rPr>
          <w:rFonts w:ascii="Times New Roman" w:hAnsi="Times New Roman" w:cs="Times New Roman"/>
          <w:i/>
          <w:sz w:val="24"/>
          <w:szCs w:val="24"/>
          <w:lang w:val="uk-UA"/>
        </w:rPr>
        <w:t>перевищої</w:t>
      </w:r>
      <w:proofErr w:type="spellEnd"/>
      <w:r w:rsidRPr="00970206">
        <w:rPr>
          <w:rFonts w:ascii="Times New Roman" w:hAnsi="Times New Roman" w:cs="Times New Roman"/>
          <w:i/>
          <w:sz w:val="24"/>
          <w:szCs w:val="24"/>
          <w:lang w:val="uk-UA"/>
        </w:rPr>
        <w:t xml:space="preserve"> освіти на умовах регіонального замовлення у відповідних закладах освіти, що розташовані та діють на території Чорноморської міської територіальної громади, на 2024 рік (Чорноморський морський фаховий коледж ОНМУ) – 1</w:t>
      </w:r>
      <w:r>
        <w:rPr>
          <w:rFonts w:ascii="Times New Roman" w:hAnsi="Times New Roman" w:cs="Times New Roman"/>
          <w:i/>
          <w:sz w:val="24"/>
          <w:szCs w:val="24"/>
          <w:lang w:val="uk-UA"/>
        </w:rPr>
        <w:t> </w:t>
      </w:r>
      <w:r w:rsidRPr="00970206">
        <w:rPr>
          <w:rFonts w:ascii="Times New Roman" w:hAnsi="Times New Roman" w:cs="Times New Roman"/>
          <w:i/>
          <w:sz w:val="24"/>
          <w:szCs w:val="24"/>
          <w:lang w:val="uk-UA"/>
        </w:rPr>
        <w:t>261</w:t>
      </w:r>
      <w:r>
        <w:rPr>
          <w:rFonts w:ascii="Times New Roman" w:hAnsi="Times New Roman" w:cs="Times New Roman"/>
          <w:i/>
          <w:sz w:val="24"/>
          <w:szCs w:val="24"/>
          <w:lang w:val="uk-UA"/>
        </w:rPr>
        <w:t xml:space="preserve">,5 тис. </w:t>
      </w:r>
      <w:r w:rsidRPr="00970206">
        <w:rPr>
          <w:rFonts w:ascii="Times New Roman" w:hAnsi="Times New Roman" w:cs="Times New Roman"/>
          <w:i/>
          <w:sz w:val="24"/>
          <w:szCs w:val="24"/>
          <w:lang w:val="uk-UA"/>
        </w:rPr>
        <w:t>грн;</w:t>
      </w:r>
    </w:p>
    <w:p w:rsidR="008A22EE" w:rsidRPr="00970206" w:rsidRDefault="008A22EE" w:rsidP="00E67FF2">
      <w:pPr>
        <w:pStyle w:val="a4"/>
        <w:numPr>
          <w:ilvl w:val="0"/>
          <w:numId w:val="26"/>
        </w:numPr>
        <w:tabs>
          <w:tab w:val="left" w:pos="709"/>
          <w:tab w:val="left" w:pos="851"/>
        </w:tabs>
        <w:spacing w:after="0" w:line="240" w:lineRule="auto"/>
        <w:ind w:left="0" w:right="-5" w:firstLine="567"/>
        <w:jc w:val="both"/>
        <w:rPr>
          <w:rFonts w:ascii="Times New Roman" w:hAnsi="Times New Roman" w:cs="Times New Roman"/>
          <w:i/>
          <w:sz w:val="24"/>
          <w:szCs w:val="24"/>
          <w:lang w:val="uk-UA"/>
        </w:rPr>
      </w:pPr>
      <w:r w:rsidRPr="00970206">
        <w:rPr>
          <w:rFonts w:ascii="Times New Roman" w:hAnsi="Times New Roman" w:cs="Times New Roman"/>
          <w:i/>
          <w:sz w:val="24"/>
          <w:szCs w:val="24"/>
          <w:lang w:val="uk-UA"/>
        </w:rPr>
        <w:t>на фінансування Одеської обласної психіатричної лікарні на утримання 10 хворих мешканців громади за Міською цільовою програмою соціального захисту та надання соціальних послуг населенню Чорноморської міської територіальної громади на 2021-2025 роки – 2</w:t>
      </w:r>
      <w:r>
        <w:rPr>
          <w:rFonts w:ascii="Times New Roman" w:hAnsi="Times New Roman" w:cs="Times New Roman"/>
          <w:i/>
          <w:sz w:val="24"/>
          <w:szCs w:val="24"/>
          <w:lang w:val="uk-UA"/>
        </w:rPr>
        <w:t> </w:t>
      </w:r>
      <w:r w:rsidRPr="00970206">
        <w:rPr>
          <w:rFonts w:ascii="Times New Roman" w:hAnsi="Times New Roman" w:cs="Times New Roman"/>
          <w:i/>
          <w:sz w:val="24"/>
          <w:szCs w:val="24"/>
          <w:lang w:val="uk-UA"/>
        </w:rPr>
        <w:t>237</w:t>
      </w:r>
      <w:r>
        <w:rPr>
          <w:rFonts w:ascii="Times New Roman" w:hAnsi="Times New Roman" w:cs="Times New Roman"/>
          <w:i/>
          <w:sz w:val="24"/>
          <w:szCs w:val="24"/>
          <w:lang w:val="uk-UA"/>
        </w:rPr>
        <w:t xml:space="preserve">,0 тис. </w:t>
      </w:r>
      <w:r w:rsidRPr="00970206">
        <w:rPr>
          <w:rFonts w:ascii="Times New Roman" w:hAnsi="Times New Roman" w:cs="Times New Roman"/>
          <w:i/>
          <w:sz w:val="24"/>
          <w:szCs w:val="24"/>
          <w:lang w:val="uk-UA"/>
        </w:rPr>
        <w:t>грн;</w:t>
      </w:r>
    </w:p>
    <w:p w:rsidR="008A22EE" w:rsidRPr="003253F5" w:rsidRDefault="008A22EE" w:rsidP="008A22EE">
      <w:pPr>
        <w:ind w:firstLine="567"/>
        <w:jc w:val="both"/>
        <w:rPr>
          <w:rFonts w:ascii="Times New Roman" w:eastAsia="Times New Roman" w:hAnsi="Times New Roman" w:cs="Times New Roman"/>
          <w:color w:val="000000"/>
          <w:sz w:val="24"/>
          <w:szCs w:val="24"/>
          <w:lang w:val="uk-UA" w:eastAsia="ru-RU"/>
        </w:rPr>
      </w:pPr>
      <w:r>
        <w:rPr>
          <w:rFonts w:ascii="Times New Roman" w:hAnsi="Times New Roman" w:cs="Times New Roman"/>
          <w:sz w:val="24"/>
          <w:szCs w:val="24"/>
          <w:lang w:val="uk-UA"/>
        </w:rPr>
        <w:t xml:space="preserve">- субвенція районному бюджету Одеської області на заходи </w:t>
      </w:r>
      <w:r w:rsidRPr="003253F5">
        <w:rPr>
          <w:rFonts w:ascii="Times New Roman" w:eastAsia="Times New Roman" w:hAnsi="Times New Roman" w:cs="Times New Roman"/>
          <w:color w:val="000000"/>
          <w:sz w:val="24"/>
          <w:szCs w:val="24"/>
          <w:lang w:val="uk-UA" w:eastAsia="ru-RU"/>
        </w:rPr>
        <w:t>Міської цільової програми фінансової підтримки Одеської районної ради Одеської області на 2024 рік</w:t>
      </w:r>
      <w:r>
        <w:rPr>
          <w:rFonts w:ascii="Times New Roman" w:eastAsia="Times New Roman" w:hAnsi="Times New Roman" w:cs="Times New Roman"/>
          <w:color w:val="000000"/>
          <w:sz w:val="24"/>
          <w:szCs w:val="24"/>
          <w:lang w:val="uk-UA" w:eastAsia="ru-RU"/>
        </w:rPr>
        <w:t xml:space="preserve"> – 300,0 тис. грн.</w:t>
      </w:r>
    </w:p>
    <w:p w:rsidR="008A22EE" w:rsidRPr="00E437BC" w:rsidRDefault="008A22EE" w:rsidP="008A22EE">
      <w:pPr>
        <w:pStyle w:val="a9"/>
        <w:spacing w:line="276" w:lineRule="auto"/>
        <w:ind w:right="-57" w:firstLine="567"/>
        <w:jc w:val="center"/>
        <w:rPr>
          <w:b/>
          <w:bCs/>
          <w:sz w:val="28"/>
          <w:szCs w:val="28"/>
          <w:lang w:val="uk-UA"/>
        </w:rPr>
      </w:pPr>
      <w:r>
        <w:rPr>
          <w:b/>
          <w:bCs/>
          <w:sz w:val="28"/>
          <w:szCs w:val="28"/>
          <w:lang w:val="uk-UA"/>
        </w:rPr>
        <w:t>9</w:t>
      </w:r>
      <w:r w:rsidRPr="00E437BC">
        <w:rPr>
          <w:b/>
          <w:bCs/>
          <w:sz w:val="28"/>
          <w:szCs w:val="28"/>
          <w:lang w:val="uk-UA"/>
        </w:rPr>
        <w:t>. Фінансування</w:t>
      </w:r>
    </w:p>
    <w:p w:rsidR="008A22EE" w:rsidRPr="00E437BC" w:rsidRDefault="008A22EE" w:rsidP="008A22EE">
      <w:pPr>
        <w:pStyle w:val="western"/>
        <w:spacing w:before="0" w:beforeAutospacing="0" w:after="0"/>
        <w:ind w:firstLine="567"/>
        <w:jc w:val="both"/>
        <w:rPr>
          <w:bCs/>
          <w:lang w:val="uk-UA"/>
        </w:rPr>
      </w:pPr>
      <w:r w:rsidRPr="00E437BC">
        <w:rPr>
          <w:bCs/>
          <w:lang w:val="uk-UA"/>
        </w:rPr>
        <w:t>Відповідно до частини третьої статті 14 Бюджетного кодексу України, в проєкті рішення «Про бюджет Чорноморської міської територіальної громади на 2024 рік» передбачений оборотний залишок бюджетних коштів</w:t>
      </w:r>
      <w:r w:rsidRPr="00E437BC">
        <w:rPr>
          <w:lang w:val="uk-UA"/>
        </w:rPr>
        <w:t> бюджету Чорноморської міської територіальної громади у сумі 1</w:t>
      </w:r>
      <w:r>
        <w:rPr>
          <w:lang w:val="uk-UA"/>
        </w:rPr>
        <w:t> </w:t>
      </w:r>
      <w:r w:rsidRPr="00E437BC">
        <w:rPr>
          <w:lang w:val="uk-UA"/>
        </w:rPr>
        <w:t>000</w:t>
      </w:r>
      <w:r>
        <w:rPr>
          <w:lang w:val="uk-UA"/>
        </w:rPr>
        <w:t>,0 тис. грн</w:t>
      </w:r>
      <w:r w:rsidRPr="00E437BC">
        <w:rPr>
          <w:lang w:val="uk-UA"/>
        </w:rPr>
        <w:t>, що становить 0,10 відсотків видатків загального фонду бюджету громади.</w:t>
      </w:r>
    </w:p>
    <w:p w:rsidR="008A22EE" w:rsidRPr="00E437BC" w:rsidRDefault="008A22EE" w:rsidP="008A22EE">
      <w:pPr>
        <w:spacing w:after="0" w:line="240" w:lineRule="auto"/>
        <w:ind w:firstLine="567"/>
        <w:jc w:val="both"/>
        <w:rPr>
          <w:rFonts w:ascii="Times New Roman" w:hAnsi="Times New Roman" w:cs="Times New Roman"/>
          <w:sz w:val="24"/>
          <w:szCs w:val="24"/>
          <w:lang w:val="uk-UA"/>
        </w:rPr>
      </w:pPr>
    </w:p>
    <w:p w:rsidR="008A22EE" w:rsidRDefault="008A22EE" w:rsidP="008A22EE">
      <w:pPr>
        <w:pStyle w:val="western"/>
        <w:spacing w:before="0" w:beforeAutospacing="0" w:after="0"/>
        <w:ind w:firstLine="567"/>
        <w:jc w:val="center"/>
        <w:rPr>
          <w:b/>
          <w:sz w:val="28"/>
          <w:szCs w:val="28"/>
          <w:lang w:val="uk-UA"/>
        </w:rPr>
      </w:pPr>
    </w:p>
    <w:p w:rsidR="008A22EE" w:rsidRDefault="008A22EE" w:rsidP="008A22EE">
      <w:pPr>
        <w:pStyle w:val="western"/>
        <w:spacing w:before="0" w:beforeAutospacing="0" w:after="0"/>
        <w:ind w:firstLine="567"/>
        <w:jc w:val="center"/>
        <w:rPr>
          <w:b/>
          <w:sz w:val="28"/>
          <w:szCs w:val="28"/>
          <w:lang w:val="uk-UA"/>
        </w:rPr>
      </w:pPr>
    </w:p>
    <w:p w:rsidR="008A22EE" w:rsidRPr="002002A3" w:rsidRDefault="008A22EE" w:rsidP="008A22EE">
      <w:pPr>
        <w:pStyle w:val="western"/>
        <w:spacing w:before="0" w:beforeAutospacing="0" w:after="0"/>
        <w:ind w:firstLine="567"/>
        <w:jc w:val="center"/>
        <w:rPr>
          <w:b/>
          <w:sz w:val="28"/>
          <w:szCs w:val="28"/>
          <w:lang w:val="uk-UA"/>
        </w:rPr>
      </w:pPr>
      <w:r w:rsidRPr="002002A3">
        <w:rPr>
          <w:b/>
          <w:sz w:val="28"/>
          <w:szCs w:val="28"/>
          <w:lang w:val="uk-UA"/>
        </w:rPr>
        <w:lastRenderedPageBreak/>
        <w:t>1</w:t>
      </w:r>
      <w:r>
        <w:rPr>
          <w:b/>
          <w:sz w:val="28"/>
          <w:szCs w:val="28"/>
          <w:lang w:val="uk-UA"/>
        </w:rPr>
        <w:t>0</w:t>
      </w:r>
      <w:r w:rsidRPr="002002A3">
        <w:rPr>
          <w:b/>
          <w:sz w:val="28"/>
          <w:szCs w:val="28"/>
          <w:lang w:val="uk-UA"/>
        </w:rPr>
        <w:t>. Середньострокові позики</w:t>
      </w:r>
    </w:p>
    <w:p w:rsidR="008A22EE" w:rsidRPr="002002A3" w:rsidRDefault="008A22EE" w:rsidP="008A22EE">
      <w:pPr>
        <w:pStyle w:val="western"/>
        <w:spacing w:before="0" w:beforeAutospacing="0" w:after="0"/>
        <w:ind w:firstLine="567"/>
        <w:jc w:val="both"/>
        <w:rPr>
          <w:lang w:val="uk-UA"/>
        </w:rPr>
      </w:pPr>
    </w:p>
    <w:p w:rsidR="008A22EE" w:rsidRPr="002002A3" w:rsidRDefault="008A22EE" w:rsidP="008A22EE">
      <w:pPr>
        <w:pStyle w:val="western"/>
        <w:spacing w:before="0" w:beforeAutospacing="0" w:after="0"/>
        <w:ind w:firstLine="567"/>
        <w:jc w:val="both"/>
        <w:rPr>
          <w:color w:val="auto"/>
          <w:lang w:val="uk-UA"/>
        </w:rPr>
      </w:pPr>
      <w:r w:rsidRPr="002002A3">
        <w:rPr>
          <w:lang w:val="uk-UA"/>
        </w:rPr>
        <w:t xml:space="preserve">В зв`язку з невиконанням у 2011 - 2013 роках </w:t>
      </w:r>
      <w:r w:rsidRPr="002002A3">
        <w:rPr>
          <w:color w:val="auto"/>
          <w:lang w:val="uk-UA"/>
        </w:rPr>
        <w:t>розрахункових обсягів кошика доходів місцевих бюджетів, визначених у законі про Державний бюджет України на відповідні роки, Чорноморською міською радою були отримані середньострокові позики для здійснення фінансування захищених видатків в сумі 33</w:t>
      </w:r>
      <w:r>
        <w:rPr>
          <w:color w:val="auto"/>
          <w:lang w:val="uk-UA"/>
        </w:rPr>
        <w:t> </w:t>
      </w:r>
      <w:r w:rsidRPr="002002A3">
        <w:rPr>
          <w:color w:val="auto"/>
          <w:lang w:val="uk-UA"/>
        </w:rPr>
        <w:t>027</w:t>
      </w:r>
      <w:r>
        <w:rPr>
          <w:color w:val="auto"/>
          <w:lang w:val="uk-UA"/>
        </w:rPr>
        <w:t>,8</w:t>
      </w:r>
      <w:r w:rsidRPr="002002A3">
        <w:rPr>
          <w:color w:val="auto"/>
          <w:lang w:val="uk-UA"/>
        </w:rPr>
        <w:t xml:space="preserve"> </w:t>
      </w:r>
      <w:r>
        <w:rPr>
          <w:color w:val="auto"/>
          <w:lang w:val="uk-UA"/>
        </w:rPr>
        <w:t>тис. грн.</w:t>
      </w:r>
    </w:p>
    <w:p w:rsidR="008A22EE" w:rsidRPr="00FA0D0F" w:rsidRDefault="008A22EE" w:rsidP="008A22EE">
      <w:pPr>
        <w:pStyle w:val="western"/>
        <w:spacing w:before="0" w:beforeAutospacing="0" w:after="0"/>
        <w:ind w:firstLine="567"/>
        <w:jc w:val="both"/>
        <w:rPr>
          <w:lang w:val="uk-UA"/>
        </w:rPr>
      </w:pPr>
      <w:r w:rsidRPr="002002A3">
        <w:rPr>
          <w:color w:val="auto"/>
          <w:lang w:val="uk-UA"/>
        </w:rPr>
        <w:t>В 2014 році частково погашено позику в сумі 7</w:t>
      </w:r>
      <w:r>
        <w:rPr>
          <w:color w:val="auto"/>
          <w:lang w:val="uk-UA"/>
        </w:rPr>
        <w:t> </w:t>
      </w:r>
      <w:r w:rsidRPr="002002A3">
        <w:rPr>
          <w:color w:val="auto"/>
          <w:lang w:val="uk-UA"/>
        </w:rPr>
        <w:t>565</w:t>
      </w:r>
      <w:r>
        <w:rPr>
          <w:color w:val="auto"/>
          <w:lang w:val="uk-UA"/>
        </w:rPr>
        <w:t>,1 тис. грн</w:t>
      </w:r>
      <w:r w:rsidRPr="002002A3">
        <w:rPr>
          <w:color w:val="auto"/>
          <w:lang w:val="uk-UA"/>
        </w:rPr>
        <w:t xml:space="preserve">, залишок непогашеної позики на 01.01.2024 року становить </w:t>
      </w:r>
      <w:r w:rsidRPr="00FA0D0F">
        <w:rPr>
          <w:lang w:val="uk-UA"/>
        </w:rPr>
        <w:t>25 462,7 тис. грн.</w:t>
      </w:r>
    </w:p>
    <w:p w:rsidR="008A22EE" w:rsidRPr="002002A3" w:rsidRDefault="008A22EE" w:rsidP="008A22EE">
      <w:pPr>
        <w:pStyle w:val="western"/>
        <w:spacing w:before="0" w:beforeAutospacing="0" w:after="0"/>
        <w:ind w:firstLine="567"/>
        <w:jc w:val="both"/>
        <w:rPr>
          <w:lang w:val="uk-UA"/>
        </w:rPr>
      </w:pPr>
      <w:r w:rsidRPr="002002A3">
        <w:rPr>
          <w:color w:val="auto"/>
          <w:lang w:val="uk-UA"/>
        </w:rPr>
        <w:t xml:space="preserve"> Протягом 2015 - 2023 років погашення позики не здійснювалось, оскільки </w:t>
      </w:r>
      <w:r w:rsidRPr="002002A3">
        <w:rPr>
          <w:lang w:val="uk-UA"/>
        </w:rPr>
        <w:t>п.21 Прикінцевих та перехідних положень Бюджетного кодексу України установлено, що погашення заборгованості за середньостроковими позиками перед державним бюджетом, яка знаходиться на обліку в центральному органі виконавчої влади, що реалізує державну політику у сфері казначейського обслуговування бюджетних коштів, не здійснюється до законодавчого врегулювання цього питання.</w:t>
      </w:r>
    </w:p>
    <w:p w:rsidR="008A22EE" w:rsidRDefault="008A22EE" w:rsidP="008A22EE">
      <w:pPr>
        <w:pStyle w:val="western"/>
        <w:spacing w:before="0" w:beforeAutospacing="0" w:after="0"/>
        <w:ind w:firstLine="567"/>
        <w:jc w:val="both"/>
        <w:rPr>
          <w:lang w:val="uk-UA"/>
        </w:rPr>
      </w:pPr>
      <w:r w:rsidRPr="002002A3">
        <w:rPr>
          <w:lang w:val="uk-UA"/>
        </w:rPr>
        <w:t>Статт</w:t>
      </w:r>
      <w:r>
        <w:rPr>
          <w:lang w:val="uk-UA"/>
        </w:rPr>
        <w:t xml:space="preserve">ею </w:t>
      </w:r>
      <w:r w:rsidRPr="002002A3">
        <w:rPr>
          <w:lang w:val="uk-UA"/>
        </w:rPr>
        <w:t>44</w:t>
      </w:r>
      <w:r>
        <w:rPr>
          <w:lang w:val="uk-UA"/>
        </w:rPr>
        <w:t xml:space="preserve"> Закону України від 09.11.2023 № 3460-</w:t>
      </w:r>
      <w:r>
        <w:rPr>
          <w:lang w:val="en-US"/>
        </w:rPr>
        <w:t>IX</w:t>
      </w:r>
      <w:r>
        <w:rPr>
          <w:lang w:val="uk-UA"/>
        </w:rPr>
        <w:t xml:space="preserve"> «Про Державний бюджет України на 2024 рік» доручено</w:t>
      </w:r>
      <w:r w:rsidRPr="002002A3">
        <w:rPr>
          <w:lang w:val="uk-UA"/>
        </w:rPr>
        <w:t xml:space="preserve"> Кабінету Міністрів України розробити механізм та </w:t>
      </w:r>
      <w:proofErr w:type="spellStart"/>
      <w:r w:rsidRPr="002002A3">
        <w:rPr>
          <w:lang w:val="uk-UA"/>
        </w:rPr>
        <w:t>внести</w:t>
      </w:r>
      <w:proofErr w:type="spellEnd"/>
      <w:r w:rsidRPr="002002A3">
        <w:rPr>
          <w:lang w:val="uk-UA"/>
        </w:rPr>
        <w:t xml:space="preserve"> на розгляд Верховної Ради України пропозиції щодо врегулювання питання списання заборгованості за середньостроковими позиками та безвідсотковими позичками, наданими місцевим бюджетам у 2009-2014 роках за рахунок коштів єдиного казначейського рахунка, яка перебуває на обліку в Державній казначейській службі України.</w:t>
      </w:r>
    </w:p>
    <w:p w:rsidR="008A22EE" w:rsidRDefault="008A22EE" w:rsidP="008A22EE">
      <w:pPr>
        <w:pStyle w:val="a5"/>
        <w:ind w:firstLine="567"/>
        <w:jc w:val="right"/>
        <w:rPr>
          <w:rFonts w:ascii="Times New Roman" w:hAnsi="Times New Roman"/>
          <w:b/>
        </w:rPr>
      </w:pPr>
    </w:p>
    <w:p w:rsidR="008A22EE" w:rsidRDefault="008A22EE" w:rsidP="008A22EE">
      <w:pPr>
        <w:pStyle w:val="a5"/>
        <w:ind w:firstLine="567"/>
        <w:jc w:val="right"/>
        <w:rPr>
          <w:rFonts w:ascii="Times New Roman" w:hAnsi="Times New Roman"/>
          <w:b/>
        </w:rPr>
      </w:pPr>
    </w:p>
    <w:p w:rsidR="008A22EE" w:rsidRDefault="008A22EE" w:rsidP="008A22EE">
      <w:pPr>
        <w:pStyle w:val="a5"/>
        <w:ind w:firstLine="567"/>
        <w:jc w:val="left"/>
        <w:rPr>
          <w:rFonts w:ascii="Times New Roman" w:hAnsi="Times New Roman"/>
          <w:b/>
        </w:rPr>
      </w:pPr>
      <w:r>
        <w:rPr>
          <w:rFonts w:ascii="Times New Roman" w:hAnsi="Times New Roman"/>
          <w:b/>
        </w:rPr>
        <w:t xml:space="preserve">                                                      Фінансове управління Чорноморської міської ради</w:t>
      </w:r>
    </w:p>
    <w:p w:rsidR="008A22EE" w:rsidRPr="00273040" w:rsidRDefault="008A22EE" w:rsidP="008A22EE">
      <w:pPr>
        <w:pStyle w:val="a5"/>
        <w:ind w:firstLine="567"/>
        <w:jc w:val="left"/>
        <w:rPr>
          <w:rFonts w:ascii="Times New Roman" w:hAnsi="Times New Roman"/>
          <w:b/>
        </w:rPr>
      </w:pPr>
      <w:r>
        <w:rPr>
          <w:rFonts w:ascii="Times New Roman" w:hAnsi="Times New Roman"/>
          <w:b/>
        </w:rPr>
        <w:t xml:space="preserve">                                                      Одеського району Одеської області</w:t>
      </w:r>
    </w:p>
    <w:p w:rsidR="00A33360" w:rsidRPr="00545127" w:rsidRDefault="00A33360" w:rsidP="000F002D">
      <w:pPr>
        <w:spacing w:after="0" w:line="240" w:lineRule="auto"/>
        <w:ind w:firstLine="567"/>
        <w:jc w:val="both"/>
        <w:rPr>
          <w:rFonts w:ascii="Times New Roman" w:hAnsi="Times New Roman" w:cs="Times New Roman"/>
          <w:sz w:val="24"/>
          <w:szCs w:val="24"/>
          <w:highlight w:val="yellow"/>
          <w:lang w:val="uk-UA"/>
        </w:rPr>
      </w:pPr>
    </w:p>
    <w:p w:rsidR="00A33360" w:rsidRPr="00545127" w:rsidRDefault="00A33360" w:rsidP="000F002D">
      <w:pPr>
        <w:spacing w:after="0" w:line="240" w:lineRule="auto"/>
        <w:ind w:firstLine="567"/>
        <w:jc w:val="both"/>
        <w:rPr>
          <w:rFonts w:ascii="Times New Roman" w:hAnsi="Times New Roman" w:cs="Times New Roman"/>
          <w:sz w:val="24"/>
          <w:szCs w:val="24"/>
          <w:highlight w:val="yellow"/>
          <w:lang w:val="uk-UA"/>
        </w:rPr>
      </w:pPr>
    </w:p>
    <w:p w:rsidR="00A33360" w:rsidRPr="00545127" w:rsidRDefault="00A33360" w:rsidP="000F002D">
      <w:pPr>
        <w:spacing w:after="0" w:line="240" w:lineRule="auto"/>
        <w:ind w:firstLine="567"/>
        <w:jc w:val="both"/>
        <w:rPr>
          <w:rFonts w:ascii="Times New Roman" w:hAnsi="Times New Roman" w:cs="Times New Roman"/>
          <w:sz w:val="24"/>
          <w:szCs w:val="24"/>
          <w:highlight w:val="yellow"/>
          <w:lang w:val="uk-UA"/>
        </w:rPr>
      </w:pPr>
    </w:p>
    <w:p w:rsidR="00F30D7D" w:rsidRPr="00545127" w:rsidRDefault="00F30D7D" w:rsidP="002C40A2">
      <w:pPr>
        <w:spacing w:after="0" w:line="240" w:lineRule="auto"/>
        <w:ind w:right="-5" w:firstLine="567"/>
        <w:jc w:val="center"/>
        <w:rPr>
          <w:rFonts w:ascii="Times New Roman" w:hAnsi="Times New Roman" w:cs="Times New Roman"/>
          <w:b/>
          <w:sz w:val="28"/>
          <w:szCs w:val="28"/>
          <w:highlight w:val="yellow"/>
          <w:lang w:val="uk-UA"/>
        </w:rPr>
      </w:pPr>
    </w:p>
    <w:p w:rsidR="00F30D7D" w:rsidRPr="00545127" w:rsidRDefault="00F30D7D" w:rsidP="002C40A2">
      <w:pPr>
        <w:spacing w:after="0" w:line="240" w:lineRule="auto"/>
        <w:ind w:right="-5" w:firstLine="567"/>
        <w:jc w:val="center"/>
        <w:rPr>
          <w:rFonts w:ascii="Times New Roman" w:hAnsi="Times New Roman" w:cs="Times New Roman"/>
          <w:b/>
          <w:sz w:val="28"/>
          <w:szCs w:val="28"/>
          <w:highlight w:val="yellow"/>
          <w:lang w:val="uk-UA"/>
        </w:rPr>
      </w:pPr>
    </w:p>
    <w:p w:rsidR="00F30D7D" w:rsidRPr="00545127" w:rsidRDefault="00F30D7D" w:rsidP="002C40A2">
      <w:pPr>
        <w:spacing w:after="0" w:line="240" w:lineRule="auto"/>
        <w:ind w:right="-5" w:firstLine="567"/>
        <w:jc w:val="center"/>
        <w:rPr>
          <w:rFonts w:ascii="Times New Roman" w:hAnsi="Times New Roman" w:cs="Times New Roman"/>
          <w:b/>
          <w:sz w:val="28"/>
          <w:szCs w:val="28"/>
          <w:highlight w:val="yellow"/>
          <w:lang w:val="uk-UA"/>
        </w:rPr>
      </w:pPr>
      <w:bookmarkStart w:id="4" w:name="_GoBack"/>
      <w:bookmarkEnd w:id="4"/>
    </w:p>
    <w:sectPr w:rsidR="00F30D7D" w:rsidRPr="00545127" w:rsidSect="002C2351">
      <w:footerReference w:type="default" r:id="rId47"/>
      <w:footerReference w:type="first" r:id="rId48"/>
      <w:pgSz w:w="11906" w:h="16838"/>
      <w:pgMar w:top="709" w:right="851" w:bottom="568" w:left="1560" w:header="709" w:footer="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FF2" w:rsidRDefault="00E67FF2" w:rsidP="000B07E2">
      <w:pPr>
        <w:spacing w:after="0" w:line="240" w:lineRule="auto"/>
      </w:pPr>
      <w:r>
        <w:separator/>
      </w:r>
    </w:p>
  </w:endnote>
  <w:endnote w:type="continuationSeparator" w:id="0">
    <w:p w:rsidR="00E67FF2" w:rsidRDefault="00E67FF2" w:rsidP="000B0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9648774"/>
      <w:docPartObj>
        <w:docPartGallery w:val="Page Numbers (Bottom of Page)"/>
        <w:docPartUnique/>
      </w:docPartObj>
    </w:sdtPr>
    <w:sdtEndPr/>
    <w:sdtContent>
      <w:p w:rsidR="005C77AD" w:rsidRDefault="005C77AD">
        <w:pPr>
          <w:pStyle w:val="ad"/>
          <w:jc w:val="right"/>
        </w:pPr>
        <w:r>
          <w:rPr>
            <w:noProof/>
          </w:rPr>
          <w:fldChar w:fldCharType="begin"/>
        </w:r>
        <w:r>
          <w:rPr>
            <w:noProof/>
          </w:rPr>
          <w:instrText xml:space="preserve"> PAGE   \* MERGEFORMAT </w:instrText>
        </w:r>
        <w:r>
          <w:rPr>
            <w:noProof/>
          </w:rPr>
          <w:fldChar w:fldCharType="separate"/>
        </w:r>
        <w:r w:rsidR="008A22EE">
          <w:rPr>
            <w:noProof/>
          </w:rPr>
          <w:t>37</w:t>
        </w:r>
        <w:r>
          <w:rPr>
            <w:noProof/>
          </w:rPr>
          <w:fldChar w:fldCharType="end"/>
        </w:r>
      </w:p>
    </w:sdtContent>
  </w:sdt>
  <w:p w:rsidR="005C77AD" w:rsidRDefault="005C77A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3637310"/>
      <w:docPartObj>
        <w:docPartGallery w:val="Page Numbers (Bottom of Page)"/>
        <w:docPartUnique/>
      </w:docPartObj>
    </w:sdtPr>
    <w:sdtEndPr/>
    <w:sdtContent>
      <w:p w:rsidR="005C77AD" w:rsidRDefault="00E67FF2">
        <w:pPr>
          <w:pStyle w:val="ad"/>
          <w:jc w:val="right"/>
        </w:pPr>
      </w:p>
    </w:sdtContent>
  </w:sdt>
  <w:p w:rsidR="005C77AD" w:rsidRDefault="005C77A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FF2" w:rsidRDefault="00E67FF2" w:rsidP="000B07E2">
      <w:pPr>
        <w:spacing w:after="0" w:line="240" w:lineRule="auto"/>
      </w:pPr>
      <w:r>
        <w:separator/>
      </w:r>
    </w:p>
  </w:footnote>
  <w:footnote w:type="continuationSeparator" w:id="0">
    <w:p w:rsidR="00E67FF2" w:rsidRDefault="00E67FF2" w:rsidP="000B07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84E6F"/>
    <w:multiLevelType w:val="hybridMultilevel"/>
    <w:tmpl w:val="8E0CE34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5536389"/>
    <w:multiLevelType w:val="hybridMultilevel"/>
    <w:tmpl w:val="75F8152C"/>
    <w:lvl w:ilvl="0" w:tplc="0419000B">
      <w:start w:val="1"/>
      <w:numFmt w:val="bullet"/>
      <w:lvlText w:val=""/>
      <w:lvlJc w:val="left"/>
      <w:pPr>
        <w:ind w:left="759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7587C70"/>
    <w:multiLevelType w:val="hybridMultilevel"/>
    <w:tmpl w:val="3CF4CEDA"/>
    <w:lvl w:ilvl="0" w:tplc="0419000B">
      <w:start w:val="1"/>
      <w:numFmt w:val="bullet"/>
      <w:lvlText w:val=""/>
      <w:lvlJc w:val="left"/>
      <w:pPr>
        <w:ind w:left="1301" w:hanging="360"/>
      </w:pPr>
      <w:rPr>
        <w:rFonts w:ascii="Wingdings" w:hAnsi="Wingdings" w:hint="default"/>
      </w:rPr>
    </w:lvl>
    <w:lvl w:ilvl="1" w:tplc="04190003" w:tentative="1">
      <w:start w:val="1"/>
      <w:numFmt w:val="bullet"/>
      <w:lvlText w:val="o"/>
      <w:lvlJc w:val="left"/>
      <w:pPr>
        <w:ind w:left="2021" w:hanging="360"/>
      </w:pPr>
      <w:rPr>
        <w:rFonts w:ascii="Courier New" w:hAnsi="Courier New" w:cs="Courier New" w:hint="default"/>
      </w:rPr>
    </w:lvl>
    <w:lvl w:ilvl="2" w:tplc="04190005" w:tentative="1">
      <w:start w:val="1"/>
      <w:numFmt w:val="bullet"/>
      <w:lvlText w:val=""/>
      <w:lvlJc w:val="left"/>
      <w:pPr>
        <w:ind w:left="2741" w:hanging="360"/>
      </w:pPr>
      <w:rPr>
        <w:rFonts w:ascii="Wingdings" w:hAnsi="Wingdings" w:hint="default"/>
      </w:rPr>
    </w:lvl>
    <w:lvl w:ilvl="3" w:tplc="04190001" w:tentative="1">
      <w:start w:val="1"/>
      <w:numFmt w:val="bullet"/>
      <w:lvlText w:val=""/>
      <w:lvlJc w:val="left"/>
      <w:pPr>
        <w:ind w:left="3461" w:hanging="360"/>
      </w:pPr>
      <w:rPr>
        <w:rFonts w:ascii="Symbol" w:hAnsi="Symbol" w:hint="default"/>
      </w:rPr>
    </w:lvl>
    <w:lvl w:ilvl="4" w:tplc="04190003" w:tentative="1">
      <w:start w:val="1"/>
      <w:numFmt w:val="bullet"/>
      <w:lvlText w:val="o"/>
      <w:lvlJc w:val="left"/>
      <w:pPr>
        <w:ind w:left="4181" w:hanging="360"/>
      </w:pPr>
      <w:rPr>
        <w:rFonts w:ascii="Courier New" w:hAnsi="Courier New" w:cs="Courier New" w:hint="default"/>
      </w:rPr>
    </w:lvl>
    <w:lvl w:ilvl="5" w:tplc="04190005" w:tentative="1">
      <w:start w:val="1"/>
      <w:numFmt w:val="bullet"/>
      <w:lvlText w:val=""/>
      <w:lvlJc w:val="left"/>
      <w:pPr>
        <w:ind w:left="4901" w:hanging="360"/>
      </w:pPr>
      <w:rPr>
        <w:rFonts w:ascii="Wingdings" w:hAnsi="Wingdings" w:hint="default"/>
      </w:rPr>
    </w:lvl>
    <w:lvl w:ilvl="6" w:tplc="04190001" w:tentative="1">
      <w:start w:val="1"/>
      <w:numFmt w:val="bullet"/>
      <w:lvlText w:val=""/>
      <w:lvlJc w:val="left"/>
      <w:pPr>
        <w:ind w:left="5621" w:hanging="360"/>
      </w:pPr>
      <w:rPr>
        <w:rFonts w:ascii="Symbol" w:hAnsi="Symbol" w:hint="default"/>
      </w:rPr>
    </w:lvl>
    <w:lvl w:ilvl="7" w:tplc="04190003" w:tentative="1">
      <w:start w:val="1"/>
      <w:numFmt w:val="bullet"/>
      <w:lvlText w:val="o"/>
      <w:lvlJc w:val="left"/>
      <w:pPr>
        <w:ind w:left="6341" w:hanging="360"/>
      </w:pPr>
      <w:rPr>
        <w:rFonts w:ascii="Courier New" w:hAnsi="Courier New" w:cs="Courier New" w:hint="default"/>
      </w:rPr>
    </w:lvl>
    <w:lvl w:ilvl="8" w:tplc="04190005" w:tentative="1">
      <w:start w:val="1"/>
      <w:numFmt w:val="bullet"/>
      <w:lvlText w:val=""/>
      <w:lvlJc w:val="left"/>
      <w:pPr>
        <w:ind w:left="7061" w:hanging="360"/>
      </w:pPr>
      <w:rPr>
        <w:rFonts w:ascii="Wingdings" w:hAnsi="Wingdings" w:hint="default"/>
      </w:rPr>
    </w:lvl>
  </w:abstractNum>
  <w:abstractNum w:abstractNumId="3" w15:restartNumberingAfterBreak="0">
    <w:nsid w:val="081D61C8"/>
    <w:multiLevelType w:val="hybridMultilevel"/>
    <w:tmpl w:val="E9BA1EF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 w15:restartNumberingAfterBreak="0">
    <w:nsid w:val="08501AA4"/>
    <w:multiLevelType w:val="hybridMultilevel"/>
    <w:tmpl w:val="9968CBF2"/>
    <w:lvl w:ilvl="0" w:tplc="04190001">
      <w:start w:val="1"/>
      <w:numFmt w:val="bullet"/>
      <w:lvlText w:val=""/>
      <w:lvlJc w:val="left"/>
      <w:pPr>
        <w:ind w:left="1344" w:hanging="360"/>
      </w:pPr>
      <w:rPr>
        <w:rFonts w:ascii="Symbol" w:hAnsi="Symbol" w:hint="default"/>
      </w:rPr>
    </w:lvl>
    <w:lvl w:ilvl="1" w:tplc="04220003" w:tentative="1">
      <w:start w:val="1"/>
      <w:numFmt w:val="bullet"/>
      <w:lvlText w:val="o"/>
      <w:lvlJc w:val="left"/>
      <w:pPr>
        <w:ind w:left="2064" w:hanging="360"/>
      </w:pPr>
      <w:rPr>
        <w:rFonts w:ascii="Courier New" w:hAnsi="Courier New" w:cs="Courier New" w:hint="default"/>
      </w:rPr>
    </w:lvl>
    <w:lvl w:ilvl="2" w:tplc="04220005" w:tentative="1">
      <w:start w:val="1"/>
      <w:numFmt w:val="bullet"/>
      <w:lvlText w:val=""/>
      <w:lvlJc w:val="left"/>
      <w:pPr>
        <w:ind w:left="2784" w:hanging="360"/>
      </w:pPr>
      <w:rPr>
        <w:rFonts w:ascii="Wingdings" w:hAnsi="Wingdings" w:hint="default"/>
      </w:rPr>
    </w:lvl>
    <w:lvl w:ilvl="3" w:tplc="04220001" w:tentative="1">
      <w:start w:val="1"/>
      <w:numFmt w:val="bullet"/>
      <w:lvlText w:val=""/>
      <w:lvlJc w:val="left"/>
      <w:pPr>
        <w:ind w:left="3504" w:hanging="360"/>
      </w:pPr>
      <w:rPr>
        <w:rFonts w:ascii="Symbol" w:hAnsi="Symbol" w:hint="default"/>
      </w:rPr>
    </w:lvl>
    <w:lvl w:ilvl="4" w:tplc="04220003" w:tentative="1">
      <w:start w:val="1"/>
      <w:numFmt w:val="bullet"/>
      <w:lvlText w:val="o"/>
      <w:lvlJc w:val="left"/>
      <w:pPr>
        <w:ind w:left="4224" w:hanging="360"/>
      </w:pPr>
      <w:rPr>
        <w:rFonts w:ascii="Courier New" w:hAnsi="Courier New" w:cs="Courier New" w:hint="default"/>
      </w:rPr>
    </w:lvl>
    <w:lvl w:ilvl="5" w:tplc="04220005" w:tentative="1">
      <w:start w:val="1"/>
      <w:numFmt w:val="bullet"/>
      <w:lvlText w:val=""/>
      <w:lvlJc w:val="left"/>
      <w:pPr>
        <w:ind w:left="4944" w:hanging="360"/>
      </w:pPr>
      <w:rPr>
        <w:rFonts w:ascii="Wingdings" w:hAnsi="Wingdings" w:hint="default"/>
      </w:rPr>
    </w:lvl>
    <w:lvl w:ilvl="6" w:tplc="04220001" w:tentative="1">
      <w:start w:val="1"/>
      <w:numFmt w:val="bullet"/>
      <w:lvlText w:val=""/>
      <w:lvlJc w:val="left"/>
      <w:pPr>
        <w:ind w:left="5664" w:hanging="360"/>
      </w:pPr>
      <w:rPr>
        <w:rFonts w:ascii="Symbol" w:hAnsi="Symbol" w:hint="default"/>
      </w:rPr>
    </w:lvl>
    <w:lvl w:ilvl="7" w:tplc="04220003" w:tentative="1">
      <w:start w:val="1"/>
      <w:numFmt w:val="bullet"/>
      <w:lvlText w:val="o"/>
      <w:lvlJc w:val="left"/>
      <w:pPr>
        <w:ind w:left="6384" w:hanging="360"/>
      </w:pPr>
      <w:rPr>
        <w:rFonts w:ascii="Courier New" w:hAnsi="Courier New" w:cs="Courier New" w:hint="default"/>
      </w:rPr>
    </w:lvl>
    <w:lvl w:ilvl="8" w:tplc="04220005" w:tentative="1">
      <w:start w:val="1"/>
      <w:numFmt w:val="bullet"/>
      <w:lvlText w:val=""/>
      <w:lvlJc w:val="left"/>
      <w:pPr>
        <w:ind w:left="7104" w:hanging="360"/>
      </w:pPr>
      <w:rPr>
        <w:rFonts w:ascii="Wingdings" w:hAnsi="Wingdings" w:hint="default"/>
      </w:rPr>
    </w:lvl>
  </w:abstractNum>
  <w:abstractNum w:abstractNumId="5" w15:restartNumberingAfterBreak="0">
    <w:nsid w:val="0DDF5B69"/>
    <w:multiLevelType w:val="hybridMultilevel"/>
    <w:tmpl w:val="5B8EE246"/>
    <w:lvl w:ilvl="0" w:tplc="04190009">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0E352EF3"/>
    <w:multiLevelType w:val="hybridMultilevel"/>
    <w:tmpl w:val="D108D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9448AE"/>
    <w:multiLevelType w:val="hybridMultilevel"/>
    <w:tmpl w:val="1248B95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5643F98"/>
    <w:multiLevelType w:val="hybridMultilevel"/>
    <w:tmpl w:val="F0A6A90E"/>
    <w:lvl w:ilvl="0" w:tplc="341C948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3073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23CC025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8AC17DC"/>
    <w:multiLevelType w:val="hybridMultilevel"/>
    <w:tmpl w:val="F0A47B9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9F85822"/>
    <w:multiLevelType w:val="hybridMultilevel"/>
    <w:tmpl w:val="8E48F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5620C9"/>
    <w:multiLevelType w:val="hybridMultilevel"/>
    <w:tmpl w:val="2042F4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4542FDD"/>
    <w:multiLevelType w:val="hybridMultilevel"/>
    <w:tmpl w:val="BA386C52"/>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5" w15:restartNumberingAfterBreak="0">
    <w:nsid w:val="3F2700BC"/>
    <w:multiLevelType w:val="hybridMultilevel"/>
    <w:tmpl w:val="0264223A"/>
    <w:lvl w:ilvl="0" w:tplc="B8B21E06">
      <w:start w:val="2"/>
      <w:numFmt w:val="bullet"/>
      <w:lvlText w:val="-"/>
      <w:lvlJc w:val="left"/>
      <w:pPr>
        <w:ind w:left="379" w:hanging="360"/>
      </w:pPr>
      <w:rPr>
        <w:rFonts w:ascii="Times New Roman" w:eastAsia="Times New Roman" w:hAnsi="Times New Roman" w:cs="Times New Roman" w:hint="default"/>
        <w:color w:val="000000"/>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16" w15:restartNumberingAfterBreak="0">
    <w:nsid w:val="448F7487"/>
    <w:multiLevelType w:val="hybridMultilevel"/>
    <w:tmpl w:val="40708B6E"/>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4C1570B"/>
    <w:multiLevelType w:val="hybridMultilevel"/>
    <w:tmpl w:val="007E2F52"/>
    <w:lvl w:ilvl="0" w:tplc="0419000D">
      <w:start w:val="1"/>
      <w:numFmt w:val="bullet"/>
      <w:lvlText w:val=""/>
      <w:lvlJc w:val="left"/>
      <w:pPr>
        <w:ind w:left="946" w:hanging="360"/>
      </w:pPr>
      <w:rPr>
        <w:rFonts w:ascii="Wingdings" w:hAnsi="Wingdings" w:hint="default"/>
        <w:color w:val="00000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BB92CB9"/>
    <w:multiLevelType w:val="hybridMultilevel"/>
    <w:tmpl w:val="C26C5A38"/>
    <w:lvl w:ilvl="0" w:tplc="AB681E62">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121512"/>
    <w:multiLevelType w:val="hybridMultilevel"/>
    <w:tmpl w:val="3F82CD3A"/>
    <w:lvl w:ilvl="0" w:tplc="8F3C6536">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0" w15:restartNumberingAfterBreak="0">
    <w:nsid w:val="55F85812"/>
    <w:multiLevelType w:val="hybridMultilevel"/>
    <w:tmpl w:val="134479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63E1E9E"/>
    <w:multiLevelType w:val="hybridMultilevel"/>
    <w:tmpl w:val="0144F676"/>
    <w:lvl w:ilvl="0" w:tplc="0419000D">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eastAsia="Times New Roman" w:hAnsi="Courier New"/>
      </w:rPr>
    </w:lvl>
    <w:lvl w:ilvl="2" w:tplc="FFFFFFFF">
      <w:start w:val="1"/>
      <w:numFmt w:val="bullet"/>
      <w:lvlText w:val="o"/>
      <w:lvlJc w:val="left"/>
      <w:pPr>
        <w:tabs>
          <w:tab w:val="num" w:pos="2160"/>
        </w:tabs>
        <w:ind w:left="2160" w:hanging="360"/>
      </w:pPr>
      <w:rPr>
        <w:rFonts w:ascii="Courier New" w:eastAsia="Times New Roman" w:hAnsi="Courier New"/>
      </w:rPr>
    </w:lvl>
    <w:lvl w:ilvl="3" w:tplc="FFFFFFFF">
      <w:start w:val="1"/>
      <w:numFmt w:val="bullet"/>
      <w:lvlText w:val="o"/>
      <w:lvlJc w:val="left"/>
      <w:pPr>
        <w:tabs>
          <w:tab w:val="num" w:pos="2880"/>
        </w:tabs>
        <w:ind w:left="2880" w:hanging="360"/>
      </w:pPr>
      <w:rPr>
        <w:rFonts w:ascii="Courier New" w:eastAsia="Times New Roman" w:hAnsi="Courier New"/>
      </w:rPr>
    </w:lvl>
    <w:lvl w:ilvl="4" w:tplc="FFFFFFFF">
      <w:start w:val="1"/>
      <w:numFmt w:val="bullet"/>
      <w:lvlText w:val="o"/>
      <w:lvlJc w:val="left"/>
      <w:pPr>
        <w:tabs>
          <w:tab w:val="num" w:pos="3600"/>
        </w:tabs>
        <w:ind w:left="3600" w:hanging="360"/>
      </w:pPr>
      <w:rPr>
        <w:rFonts w:ascii="Courier New" w:eastAsia="Times New Roman" w:hAnsi="Courier New"/>
      </w:rPr>
    </w:lvl>
    <w:lvl w:ilvl="5" w:tplc="FFFFFFFF">
      <w:start w:val="1"/>
      <w:numFmt w:val="bullet"/>
      <w:lvlText w:val="o"/>
      <w:lvlJc w:val="left"/>
      <w:pPr>
        <w:tabs>
          <w:tab w:val="num" w:pos="4320"/>
        </w:tabs>
        <w:ind w:left="4320" w:hanging="360"/>
      </w:pPr>
      <w:rPr>
        <w:rFonts w:ascii="Courier New" w:eastAsia="Times New Roman" w:hAnsi="Courier New"/>
      </w:rPr>
    </w:lvl>
    <w:lvl w:ilvl="6" w:tplc="FFFFFFFF">
      <w:start w:val="1"/>
      <w:numFmt w:val="bullet"/>
      <w:lvlText w:val="o"/>
      <w:lvlJc w:val="left"/>
      <w:pPr>
        <w:tabs>
          <w:tab w:val="num" w:pos="5040"/>
        </w:tabs>
        <w:ind w:left="5040" w:hanging="360"/>
      </w:pPr>
      <w:rPr>
        <w:rFonts w:ascii="Courier New" w:eastAsia="Times New Roman" w:hAnsi="Courier New"/>
      </w:rPr>
    </w:lvl>
    <w:lvl w:ilvl="7" w:tplc="FFFFFFFF">
      <w:start w:val="1"/>
      <w:numFmt w:val="bullet"/>
      <w:lvlText w:val="o"/>
      <w:lvlJc w:val="left"/>
      <w:pPr>
        <w:tabs>
          <w:tab w:val="num" w:pos="5760"/>
        </w:tabs>
        <w:ind w:left="5760" w:hanging="360"/>
      </w:pPr>
      <w:rPr>
        <w:rFonts w:ascii="Courier New" w:eastAsia="Times New Roman" w:hAnsi="Courier New"/>
      </w:rPr>
    </w:lvl>
    <w:lvl w:ilvl="8" w:tplc="FFFFFFFF">
      <w:start w:val="1"/>
      <w:numFmt w:val="bullet"/>
      <w:lvlText w:val="o"/>
      <w:lvlJc w:val="left"/>
      <w:pPr>
        <w:tabs>
          <w:tab w:val="num" w:pos="6480"/>
        </w:tabs>
        <w:ind w:left="6480" w:hanging="360"/>
      </w:pPr>
      <w:rPr>
        <w:rFonts w:ascii="Courier New" w:eastAsia="Times New Roman" w:hAnsi="Courier New"/>
      </w:rPr>
    </w:lvl>
  </w:abstractNum>
  <w:abstractNum w:abstractNumId="22" w15:restartNumberingAfterBreak="0">
    <w:nsid w:val="68C46344"/>
    <w:multiLevelType w:val="hybridMultilevel"/>
    <w:tmpl w:val="6B923D1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15:restartNumberingAfterBreak="0">
    <w:nsid w:val="6C8B4E6F"/>
    <w:multiLevelType w:val="hybridMultilevel"/>
    <w:tmpl w:val="ABB82512"/>
    <w:lvl w:ilvl="0" w:tplc="29A27136">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744B217E"/>
    <w:multiLevelType w:val="hybridMultilevel"/>
    <w:tmpl w:val="442EEB82"/>
    <w:lvl w:ilvl="0" w:tplc="0419000D">
      <w:start w:val="1"/>
      <w:numFmt w:val="bullet"/>
      <w:lvlText w:val=""/>
      <w:lvlJc w:val="left"/>
      <w:pPr>
        <w:ind w:left="1287" w:hanging="360"/>
      </w:pPr>
      <w:rPr>
        <w:rFonts w:ascii="Wingdings" w:hAnsi="Wingdings" w:hint="default"/>
      </w:rPr>
    </w:lvl>
    <w:lvl w:ilvl="1" w:tplc="0419000D">
      <w:start w:val="1"/>
      <w:numFmt w:val="bullet"/>
      <w:lvlText w:val=""/>
      <w:lvlJc w:val="left"/>
      <w:pPr>
        <w:ind w:left="2007" w:hanging="360"/>
      </w:pPr>
      <w:rPr>
        <w:rFonts w:ascii="Wingdings" w:hAnsi="Wingding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A9B52E1"/>
    <w:multiLevelType w:val="hybridMultilevel"/>
    <w:tmpl w:val="900EFD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5"/>
  </w:num>
  <w:num w:numId="4">
    <w:abstractNumId w:val="25"/>
  </w:num>
  <w:num w:numId="5">
    <w:abstractNumId w:val="13"/>
  </w:num>
  <w:num w:numId="6">
    <w:abstractNumId w:val="14"/>
  </w:num>
  <w:num w:numId="7">
    <w:abstractNumId w:val="22"/>
  </w:num>
  <w:num w:numId="8">
    <w:abstractNumId w:val="12"/>
  </w:num>
  <w:num w:numId="9">
    <w:abstractNumId w:val="6"/>
  </w:num>
  <w:num w:numId="10">
    <w:abstractNumId w:val="23"/>
  </w:num>
  <w:num w:numId="11">
    <w:abstractNumId w:val="21"/>
  </w:num>
  <w:num w:numId="12">
    <w:abstractNumId w:val="19"/>
  </w:num>
  <w:num w:numId="13">
    <w:abstractNumId w:val="15"/>
  </w:num>
  <w:num w:numId="14">
    <w:abstractNumId w:val="8"/>
  </w:num>
  <w:num w:numId="15">
    <w:abstractNumId w:val="11"/>
  </w:num>
  <w:num w:numId="16">
    <w:abstractNumId w:val="9"/>
  </w:num>
  <w:num w:numId="17">
    <w:abstractNumId w:val="10"/>
  </w:num>
  <w:num w:numId="18">
    <w:abstractNumId w:val="2"/>
  </w:num>
  <w:num w:numId="19">
    <w:abstractNumId w:val="0"/>
  </w:num>
  <w:num w:numId="20">
    <w:abstractNumId w:val="3"/>
  </w:num>
  <w:num w:numId="21">
    <w:abstractNumId w:val="17"/>
  </w:num>
  <w:num w:numId="22">
    <w:abstractNumId w:val="24"/>
  </w:num>
  <w:num w:numId="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8"/>
  </w:num>
  <w:num w:numId="26">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047"/>
    <w:rsid w:val="0000003C"/>
    <w:rsid w:val="00000119"/>
    <w:rsid w:val="00000166"/>
    <w:rsid w:val="0000042E"/>
    <w:rsid w:val="00000473"/>
    <w:rsid w:val="0000065D"/>
    <w:rsid w:val="00000D12"/>
    <w:rsid w:val="00000EB8"/>
    <w:rsid w:val="000011E4"/>
    <w:rsid w:val="00001E5E"/>
    <w:rsid w:val="00002020"/>
    <w:rsid w:val="0000209B"/>
    <w:rsid w:val="00002963"/>
    <w:rsid w:val="000029F8"/>
    <w:rsid w:val="00002FEF"/>
    <w:rsid w:val="00003212"/>
    <w:rsid w:val="00003247"/>
    <w:rsid w:val="000044AF"/>
    <w:rsid w:val="00004819"/>
    <w:rsid w:val="00004BC9"/>
    <w:rsid w:val="00004BF1"/>
    <w:rsid w:val="00005678"/>
    <w:rsid w:val="00005E57"/>
    <w:rsid w:val="00005EB0"/>
    <w:rsid w:val="000061EA"/>
    <w:rsid w:val="00006297"/>
    <w:rsid w:val="00006402"/>
    <w:rsid w:val="00006540"/>
    <w:rsid w:val="00006A56"/>
    <w:rsid w:val="00006A67"/>
    <w:rsid w:val="00006F0A"/>
    <w:rsid w:val="000076F0"/>
    <w:rsid w:val="00007C65"/>
    <w:rsid w:val="00010439"/>
    <w:rsid w:val="00010BC5"/>
    <w:rsid w:val="00010E72"/>
    <w:rsid w:val="00010ED3"/>
    <w:rsid w:val="00011188"/>
    <w:rsid w:val="0001161C"/>
    <w:rsid w:val="00011CED"/>
    <w:rsid w:val="0001243C"/>
    <w:rsid w:val="000128EC"/>
    <w:rsid w:val="00013264"/>
    <w:rsid w:val="00013300"/>
    <w:rsid w:val="000138CD"/>
    <w:rsid w:val="00013BA2"/>
    <w:rsid w:val="00013D23"/>
    <w:rsid w:val="00013D30"/>
    <w:rsid w:val="00013F0A"/>
    <w:rsid w:val="000144E9"/>
    <w:rsid w:val="0001570C"/>
    <w:rsid w:val="00015811"/>
    <w:rsid w:val="00015878"/>
    <w:rsid w:val="00015BB2"/>
    <w:rsid w:val="00015F32"/>
    <w:rsid w:val="0001656F"/>
    <w:rsid w:val="00016732"/>
    <w:rsid w:val="00016CB7"/>
    <w:rsid w:val="00017863"/>
    <w:rsid w:val="000178EB"/>
    <w:rsid w:val="0002011D"/>
    <w:rsid w:val="00020B22"/>
    <w:rsid w:val="00020E32"/>
    <w:rsid w:val="00020FB0"/>
    <w:rsid w:val="000213D6"/>
    <w:rsid w:val="000218B5"/>
    <w:rsid w:val="00022420"/>
    <w:rsid w:val="00022431"/>
    <w:rsid w:val="00022A0D"/>
    <w:rsid w:val="000238F3"/>
    <w:rsid w:val="0002422A"/>
    <w:rsid w:val="0002467A"/>
    <w:rsid w:val="0002470D"/>
    <w:rsid w:val="000247B8"/>
    <w:rsid w:val="00024893"/>
    <w:rsid w:val="000252E3"/>
    <w:rsid w:val="00025327"/>
    <w:rsid w:val="00025A26"/>
    <w:rsid w:val="00025A3C"/>
    <w:rsid w:val="00025BA2"/>
    <w:rsid w:val="000262D4"/>
    <w:rsid w:val="000263A1"/>
    <w:rsid w:val="00026630"/>
    <w:rsid w:val="000271A4"/>
    <w:rsid w:val="00027AEC"/>
    <w:rsid w:val="000307FD"/>
    <w:rsid w:val="00030F3C"/>
    <w:rsid w:val="0003163C"/>
    <w:rsid w:val="00031763"/>
    <w:rsid w:val="00031BED"/>
    <w:rsid w:val="00032225"/>
    <w:rsid w:val="0003289F"/>
    <w:rsid w:val="0003305E"/>
    <w:rsid w:val="000332D0"/>
    <w:rsid w:val="00033335"/>
    <w:rsid w:val="00033723"/>
    <w:rsid w:val="00033CE0"/>
    <w:rsid w:val="000341D6"/>
    <w:rsid w:val="00034D61"/>
    <w:rsid w:val="00035D77"/>
    <w:rsid w:val="00035E75"/>
    <w:rsid w:val="00036508"/>
    <w:rsid w:val="00036E7E"/>
    <w:rsid w:val="000377DE"/>
    <w:rsid w:val="0004049F"/>
    <w:rsid w:val="000409A0"/>
    <w:rsid w:val="000409FD"/>
    <w:rsid w:val="00040A08"/>
    <w:rsid w:val="00040E16"/>
    <w:rsid w:val="0004100B"/>
    <w:rsid w:val="00041297"/>
    <w:rsid w:val="0004174E"/>
    <w:rsid w:val="000418C6"/>
    <w:rsid w:val="00041E37"/>
    <w:rsid w:val="00042577"/>
    <w:rsid w:val="000429D6"/>
    <w:rsid w:val="0004312C"/>
    <w:rsid w:val="00043B52"/>
    <w:rsid w:val="000445A6"/>
    <w:rsid w:val="00044667"/>
    <w:rsid w:val="000449FB"/>
    <w:rsid w:val="00044A57"/>
    <w:rsid w:val="00044E61"/>
    <w:rsid w:val="000457BE"/>
    <w:rsid w:val="000476EE"/>
    <w:rsid w:val="000479C7"/>
    <w:rsid w:val="00047B6A"/>
    <w:rsid w:val="00050405"/>
    <w:rsid w:val="000511C4"/>
    <w:rsid w:val="00051A32"/>
    <w:rsid w:val="000522FF"/>
    <w:rsid w:val="00052654"/>
    <w:rsid w:val="00054467"/>
    <w:rsid w:val="0005482A"/>
    <w:rsid w:val="00054F64"/>
    <w:rsid w:val="000550F3"/>
    <w:rsid w:val="00055788"/>
    <w:rsid w:val="000561CB"/>
    <w:rsid w:val="00057247"/>
    <w:rsid w:val="0005770A"/>
    <w:rsid w:val="00057EE7"/>
    <w:rsid w:val="00060105"/>
    <w:rsid w:val="0006093B"/>
    <w:rsid w:val="00060CCA"/>
    <w:rsid w:val="0006103F"/>
    <w:rsid w:val="00061B93"/>
    <w:rsid w:val="00061D35"/>
    <w:rsid w:val="00061DA0"/>
    <w:rsid w:val="00062116"/>
    <w:rsid w:val="00062175"/>
    <w:rsid w:val="000623A0"/>
    <w:rsid w:val="00062562"/>
    <w:rsid w:val="000626AC"/>
    <w:rsid w:val="000627E5"/>
    <w:rsid w:val="000628AC"/>
    <w:rsid w:val="00063C81"/>
    <w:rsid w:val="00065222"/>
    <w:rsid w:val="00066093"/>
    <w:rsid w:val="00066938"/>
    <w:rsid w:val="00070473"/>
    <w:rsid w:val="00070EA9"/>
    <w:rsid w:val="000711FF"/>
    <w:rsid w:val="0007122D"/>
    <w:rsid w:val="000719B0"/>
    <w:rsid w:val="00071AAA"/>
    <w:rsid w:val="00072073"/>
    <w:rsid w:val="000720C7"/>
    <w:rsid w:val="0007345D"/>
    <w:rsid w:val="00074232"/>
    <w:rsid w:val="00074B29"/>
    <w:rsid w:val="00074BD1"/>
    <w:rsid w:val="0007521E"/>
    <w:rsid w:val="00075560"/>
    <w:rsid w:val="0007581D"/>
    <w:rsid w:val="00075DB7"/>
    <w:rsid w:val="00076D0B"/>
    <w:rsid w:val="00077753"/>
    <w:rsid w:val="00077EA4"/>
    <w:rsid w:val="000800A0"/>
    <w:rsid w:val="000804B7"/>
    <w:rsid w:val="00080F2D"/>
    <w:rsid w:val="0008111E"/>
    <w:rsid w:val="0008179B"/>
    <w:rsid w:val="00081EF7"/>
    <w:rsid w:val="00082153"/>
    <w:rsid w:val="00082785"/>
    <w:rsid w:val="0008288D"/>
    <w:rsid w:val="00082C66"/>
    <w:rsid w:val="00083DBC"/>
    <w:rsid w:val="00084199"/>
    <w:rsid w:val="0008465B"/>
    <w:rsid w:val="00085733"/>
    <w:rsid w:val="000858C8"/>
    <w:rsid w:val="00085B22"/>
    <w:rsid w:val="00085D96"/>
    <w:rsid w:val="00086C04"/>
    <w:rsid w:val="00086E1E"/>
    <w:rsid w:val="00087029"/>
    <w:rsid w:val="000874F3"/>
    <w:rsid w:val="000877CE"/>
    <w:rsid w:val="00090F54"/>
    <w:rsid w:val="00091AE0"/>
    <w:rsid w:val="0009294A"/>
    <w:rsid w:val="00092ED6"/>
    <w:rsid w:val="000933F3"/>
    <w:rsid w:val="0009447E"/>
    <w:rsid w:val="00094B29"/>
    <w:rsid w:val="00094EED"/>
    <w:rsid w:val="000952F3"/>
    <w:rsid w:val="00095DDA"/>
    <w:rsid w:val="000965A3"/>
    <w:rsid w:val="00097234"/>
    <w:rsid w:val="00097994"/>
    <w:rsid w:val="000A060C"/>
    <w:rsid w:val="000A0A07"/>
    <w:rsid w:val="000A0A4A"/>
    <w:rsid w:val="000A153F"/>
    <w:rsid w:val="000A1633"/>
    <w:rsid w:val="000A1763"/>
    <w:rsid w:val="000A1B0E"/>
    <w:rsid w:val="000A2028"/>
    <w:rsid w:val="000A214C"/>
    <w:rsid w:val="000A24C9"/>
    <w:rsid w:val="000A2716"/>
    <w:rsid w:val="000A2A26"/>
    <w:rsid w:val="000A316A"/>
    <w:rsid w:val="000A3912"/>
    <w:rsid w:val="000A3F3F"/>
    <w:rsid w:val="000A401A"/>
    <w:rsid w:val="000A42DC"/>
    <w:rsid w:val="000A42F6"/>
    <w:rsid w:val="000A44A0"/>
    <w:rsid w:val="000A45B0"/>
    <w:rsid w:val="000A45CD"/>
    <w:rsid w:val="000A5D8F"/>
    <w:rsid w:val="000A5DE8"/>
    <w:rsid w:val="000A6110"/>
    <w:rsid w:val="000A6675"/>
    <w:rsid w:val="000A6F08"/>
    <w:rsid w:val="000B066C"/>
    <w:rsid w:val="000B07E2"/>
    <w:rsid w:val="000B1661"/>
    <w:rsid w:val="000B1A18"/>
    <w:rsid w:val="000B1F70"/>
    <w:rsid w:val="000B3101"/>
    <w:rsid w:val="000B33EB"/>
    <w:rsid w:val="000B4261"/>
    <w:rsid w:val="000B4DBF"/>
    <w:rsid w:val="000B5220"/>
    <w:rsid w:val="000B529C"/>
    <w:rsid w:val="000B6326"/>
    <w:rsid w:val="000B6604"/>
    <w:rsid w:val="000B744E"/>
    <w:rsid w:val="000B7500"/>
    <w:rsid w:val="000B7A56"/>
    <w:rsid w:val="000B7CDD"/>
    <w:rsid w:val="000B7D65"/>
    <w:rsid w:val="000B7EA6"/>
    <w:rsid w:val="000C0102"/>
    <w:rsid w:val="000C0919"/>
    <w:rsid w:val="000C0C49"/>
    <w:rsid w:val="000C1052"/>
    <w:rsid w:val="000C2C70"/>
    <w:rsid w:val="000C31D9"/>
    <w:rsid w:val="000C3220"/>
    <w:rsid w:val="000C3BE2"/>
    <w:rsid w:val="000C4033"/>
    <w:rsid w:val="000C459D"/>
    <w:rsid w:val="000C47C3"/>
    <w:rsid w:val="000C483B"/>
    <w:rsid w:val="000C4A00"/>
    <w:rsid w:val="000C6127"/>
    <w:rsid w:val="000C76BC"/>
    <w:rsid w:val="000C7734"/>
    <w:rsid w:val="000D080B"/>
    <w:rsid w:val="000D11ED"/>
    <w:rsid w:val="000D12DD"/>
    <w:rsid w:val="000D1A5E"/>
    <w:rsid w:val="000D1D4A"/>
    <w:rsid w:val="000D1D7C"/>
    <w:rsid w:val="000D2A4C"/>
    <w:rsid w:val="000D348E"/>
    <w:rsid w:val="000D35ED"/>
    <w:rsid w:val="000D3E1A"/>
    <w:rsid w:val="000D4045"/>
    <w:rsid w:val="000D44A4"/>
    <w:rsid w:val="000D5118"/>
    <w:rsid w:val="000D5601"/>
    <w:rsid w:val="000D5840"/>
    <w:rsid w:val="000D633F"/>
    <w:rsid w:val="000D667C"/>
    <w:rsid w:val="000D6BF5"/>
    <w:rsid w:val="000D7012"/>
    <w:rsid w:val="000D7783"/>
    <w:rsid w:val="000D7AC8"/>
    <w:rsid w:val="000D7C7E"/>
    <w:rsid w:val="000D7CE9"/>
    <w:rsid w:val="000E114B"/>
    <w:rsid w:val="000E250A"/>
    <w:rsid w:val="000E2C33"/>
    <w:rsid w:val="000E3F53"/>
    <w:rsid w:val="000E4261"/>
    <w:rsid w:val="000E444E"/>
    <w:rsid w:val="000E4654"/>
    <w:rsid w:val="000E489D"/>
    <w:rsid w:val="000E50D2"/>
    <w:rsid w:val="000E5629"/>
    <w:rsid w:val="000E64FB"/>
    <w:rsid w:val="000E7FEB"/>
    <w:rsid w:val="000F002D"/>
    <w:rsid w:val="000F0347"/>
    <w:rsid w:val="000F0773"/>
    <w:rsid w:val="000F0A2C"/>
    <w:rsid w:val="000F1168"/>
    <w:rsid w:val="000F1E38"/>
    <w:rsid w:val="000F271B"/>
    <w:rsid w:val="000F2D70"/>
    <w:rsid w:val="000F3CEF"/>
    <w:rsid w:val="000F3E1D"/>
    <w:rsid w:val="000F3F88"/>
    <w:rsid w:val="000F469F"/>
    <w:rsid w:val="000F4D3E"/>
    <w:rsid w:val="000F56EE"/>
    <w:rsid w:val="000F58EC"/>
    <w:rsid w:val="000F5E00"/>
    <w:rsid w:val="000F5EDA"/>
    <w:rsid w:val="000F6145"/>
    <w:rsid w:val="000F661E"/>
    <w:rsid w:val="000F69CD"/>
    <w:rsid w:val="000F7318"/>
    <w:rsid w:val="000F74C1"/>
    <w:rsid w:val="00100069"/>
    <w:rsid w:val="001004F6"/>
    <w:rsid w:val="00100507"/>
    <w:rsid w:val="00100BB9"/>
    <w:rsid w:val="0010162C"/>
    <w:rsid w:val="001017D4"/>
    <w:rsid w:val="001020E9"/>
    <w:rsid w:val="00102908"/>
    <w:rsid w:val="00102A1C"/>
    <w:rsid w:val="00102C16"/>
    <w:rsid w:val="0010344B"/>
    <w:rsid w:val="00103813"/>
    <w:rsid w:val="0010383B"/>
    <w:rsid w:val="00103E7B"/>
    <w:rsid w:val="001042D6"/>
    <w:rsid w:val="001044B3"/>
    <w:rsid w:val="00104B25"/>
    <w:rsid w:val="00104B8A"/>
    <w:rsid w:val="00104CF3"/>
    <w:rsid w:val="00105AEC"/>
    <w:rsid w:val="00107165"/>
    <w:rsid w:val="0010754B"/>
    <w:rsid w:val="0010767C"/>
    <w:rsid w:val="001108AE"/>
    <w:rsid w:val="00111201"/>
    <w:rsid w:val="00111899"/>
    <w:rsid w:val="00111A25"/>
    <w:rsid w:val="0011288A"/>
    <w:rsid w:val="001138D0"/>
    <w:rsid w:val="00113A48"/>
    <w:rsid w:val="00114FDB"/>
    <w:rsid w:val="00116C92"/>
    <w:rsid w:val="00116E8E"/>
    <w:rsid w:val="00117327"/>
    <w:rsid w:val="001175E6"/>
    <w:rsid w:val="00120A33"/>
    <w:rsid w:val="00120ED7"/>
    <w:rsid w:val="001215C6"/>
    <w:rsid w:val="00121C57"/>
    <w:rsid w:val="00121F9B"/>
    <w:rsid w:val="00122052"/>
    <w:rsid w:val="00122138"/>
    <w:rsid w:val="001228CD"/>
    <w:rsid w:val="00122BA2"/>
    <w:rsid w:val="00122FDF"/>
    <w:rsid w:val="001235DF"/>
    <w:rsid w:val="001239DB"/>
    <w:rsid w:val="00123FC2"/>
    <w:rsid w:val="0012446C"/>
    <w:rsid w:val="001244D3"/>
    <w:rsid w:val="00124E72"/>
    <w:rsid w:val="001250E2"/>
    <w:rsid w:val="001251DF"/>
    <w:rsid w:val="001267A7"/>
    <w:rsid w:val="001269A9"/>
    <w:rsid w:val="00127B46"/>
    <w:rsid w:val="00127E6C"/>
    <w:rsid w:val="00127FFD"/>
    <w:rsid w:val="00130354"/>
    <w:rsid w:val="00130919"/>
    <w:rsid w:val="00131FB3"/>
    <w:rsid w:val="00132BF9"/>
    <w:rsid w:val="00133A1E"/>
    <w:rsid w:val="00133EF7"/>
    <w:rsid w:val="00134725"/>
    <w:rsid w:val="00134929"/>
    <w:rsid w:val="00134C34"/>
    <w:rsid w:val="00135156"/>
    <w:rsid w:val="00135DBB"/>
    <w:rsid w:val="001365BF"/>
    <w:rsid w:val="00137018"/>
    <w:rsid w:val="00137595"/>
    <w:rsid w:val="00137660"/>
    <w:rsid w:val="001401C9"/>
    <w:rsid w:val="001405F1"/>
    <w:rsid w:val="0014155D"/>
    <w:rsid w:val="001419B1"/>
    <w:rsid w:val="00141A4A"/>
    <w:rsid w:val="00141CBE"/>
    <w:rsid w:val="00141DB6"/>
    <w:rsid w:val="00142591"/>
    <w:rsid w:val="001432B5"/>
    <w:rsid w:val="0014356D"/>
    <w:rsid w:val="00143C1C"/>
    <w:rsid w:val="00143D22"/>
    <w:rsid w:val="00143E0A"/>
    <w:rsid w:val="00143F2A"/>
    <w:rsid w:val="001441F1"/>
    <w:rsid w:val="00144A35"/>
    <w:rsid w:val="00144C86"/>
    <w:rsid w:val="00146BDE"/>
    <w:rsid w:val="00146CC2"/>
    <w:rsid w:val="0014767D"/>
    <w:rsid w:val="00147935"/>
    <w:rsid w:val="0015005D"/>
    <w:rsid w:val="00150225"/>
    <w:rsid w:val="00151621"/>
    <w:rsid w:val="001516C3"/>
    <w:rsid w:val="00151A71"/>
    <w:rsid w:val="00151BF1"/>
    <w:rsid w:val="00152624"/>
    <w:rsid w:val="00152AE5"/>
    <w:rsid w:val="00153358"/>
    <w:rsid w:val="00153409"/>
    <w:rsid w:val="00153BE6"/>
    <w:rsid w:val="0015408B"/>
    <w:rsid w:val="00154A44"/>
    <w:rsid w:val="001553FE"/>
    <w:rsid w:val="00155BA3"/>
    <w:rsid w:val="00156F71"/>
    <w:rsid w:val="00156F87"/>
    <w:rsid w:val="00157773"/>
    <w:rsid w:val="00157BD1"/>
    <w:rsid w:val="00157F4F"/>
    <w:rsid w:val="00161666"/>
    <w:rsid w:val="001626BD"/>
    <w:rsid w:val="00162809"/>
    <w:rsid w:val="00162D90"/>
    <w:rsid w:val="00163B67"/>
    <w:rsid w:val="001647F7"/>
    <w:rsid w:val="00164D99"/>
    <w:rsid w:val="001663E0"/>
    <w:rsid w:val="00166A2D"/>
    <w:rsid w:val="00166BB2"/>
    <w:rsid w:val="00166D7F"/>
    <w:rsid w:val="0016761A"/>
    <w:rsid w:val="00170979"/>
    <w:rsid w:val="00170F79"/>
    <w:rsid w:val="00171323"/>
    <w:rsid w:val="001713CE"/>
    <w:rsid w:val="0017163E"/>
    <w:rsid w:val="0017166E"/>
    <w:rsid w:val="001717BB"/>
    <w:rsid w:val="00171F61"/>
    <w:rsid w:val="0017206C"/>
    <w:rsid w:val="00172F24"/>
    <w:rsid w:val="00173209"/>
    <w:rsid w:val="00173C10"/>
    <w:rsid w:val="00174018"/>
    <w:rsid w:val="00174422"/>
    <w:rsid w:val="0017526D"/>
    <w:rsid w:val="001756C1"/>
    <w:rsid w:val="0017675A"/>
    <w:rsid w:val="00176EF2"/>
    <w:rsid w:val="001771F7"/>
    <w:rsid w:val="00177698"/>
    <w:rsid w:val="0017798D"/>
    <w:rsid w:val="00177AAD"/>
    <w:rsid w:val="00177C49"/>
    <w:rsid w:val="001801E6"/>
    <w:rsid w:val="00180786"/>
    <w:rsid w:val="00180895"/>
    <w:rsid w:val="00180A14"/>
    <w:rsid w:val="00180CFB"/>
    <w:rsid w:val="001811C2"/>
    <w:rsid w:val="00181DEB"/>
    <w:rsid w:val="00181FB2"/>
    <w:rsid w:val="0018273F"/>
    <w:rsid w:val="001829FF"/>
    <w:rsid w:val="00182F43"/>
    <w:rsid w:val="00183110"/>
    <w:rsid w:val="001836FD"/>
    <w:rsid w:val="00183F3D"/>
    <w:rsid w:val="001840B6"/>
    <w:rsid w:val="001845C9"/>
    <w:rsid w:val="001857C2"/>
    <w:rsid w:val="00185A9A"/>
    <w:rsid w:val="00186065"/>
    <w:rsid w:val="00186209"/>
    <w:rsid w:val="00186BAB"/>
    <w:rsid w:val="00186FDD"/>
    <w:rsid w:val="0019043C"/>
    <w:rsid w:val="00190575"/>
    <w:rsid w:val="001905DC"/>
    <w:rsid w:val="001905F3"/>
    <w:rsid w:val="00190E44"/>
    <w:rsid w:val="00190FBB"/>
    <w:rsid w:val="00191944"/>
    <w:rsid w:val="00192360"/>
    <w:rsid w:val="00193CF4"/>
    <w:rsid w:val="00193D93"/>
    <w:rsid w:val="00193E20"/>
    <w:rsid w:val="001948F7"/>
    <w:rsid w:val="00194942"/>
    <w:rsid w:val="00194D53"/>
    <w:rsid w:val="00195005"/>
    <w:rsid w:val="0019536B"/>
    <w:rsid w:val="001955D5"/>
    <w:rsid w:val="00195847"/>
    <w:rsid w:val="00195DE6"/>
    <w:rsid w:val="00196468"/>
    <w:rsid w:val="001964E8"/>
    <w:rsid w:val="001967A6"/>
    <w:rsid w:val="00196E76"/>
    <w:rsid w:val="00197657"/>
    <w:rsid w:val="00197AF9"/>
    <w:rsid w:val="00197AFA"/>
    <w:rsid w:val="00197B2F"/>
    <w:rsid w:val="001A0181"/>
    <w:rsid w:val="001A05C7"/>
    <w:rsid w:val="001A0670"/>
    <w:rsid w:val="001A0860"/>
    <w:rsid w:val="001A09D8"/>
    <w:rsid w:val="001A0C12"/>
    <w:rsid w:val="001A1A43"/>
    <w:rsid w:val="001A2267"/>
    <w:rsid w:val="001A2570"/>
    <w:rsid w:val="001A277C"/>
    <w:rsid w:val="001A2C75"/>
    <w:rsid w:val="001A31F4"/>
    <w:rsid w:val="001A36F2"/>
    <w:rsid w:val="001A3771"/>
    <w:rsid w:val="001A3813"/>
    <w:rsid w:val="001A3DED"/>
    <w:rsid w:val="001A43FA"/>
    <w:rsid w:val="001A45D4"/>
    <w:rsid w:val="001A6113"/>
    <w:rsid w:val="001A649C"/>
    <w:rsid w:val="001A65DB"/>
    <w:rsid w:val="001A6618"/>
    <w:rsid w:val="001A77C2"/>
    <w:rsid w:val="001B061A"/>
    <w:rsid w:val="001B0947"/>
    <w:rsid w:val="001B0EF2"/>
    <w:rsid w:val="001B1349"/>
    <w:rsid w:val="001B1AC6"/>
    <w:rsid w:val="001B1D27"/>
    <w:rsid w:val="001B1FBF"/>
    <w:rsid w:val="001B2724"/>
    <w:rsid w:val="001B31F4"/>
    <w:rsid w:val="001B374D"/>
    <w:rsid w:val="001B40CF"/>
    <w:rsid w:val="001B4263"/>
    <w:rsid w:val="001B4B64"/>
    <w:rsid w:val="001B4E0D"/>
    <w:rsid w:val="001B5468"/>
    <w:rsid w:val="001B586F"/>
    <w:rsid w:val="001B5E68"/>
    <w:rsid w:val="001B603D"/>
    <w:rsid w:val="001B63BA"/>
    <w:rsid w:val="001B664C"/>
    <w:rsid w:val="001B73D5"/>
    <w:rsid w:val="001B7834"/>
    <w:rsid w:val="001B7865"/>
    <w:rsid w:val="001B7BB8"/>
    <w:rsid w:val="001B7C98"/>
    <w:rsid w:val="001B7CE4"/>
    <w:rsid w:val="001B7E6C"/>
    <w:rsid w:val="001C030A"/>
    <w:rsid w:val="001C03A5"/>
    <w:rsid w:val="001C0C00"/>
    <w:rsid w:val="001C118B"/>
    <w:rsid w:val="001C1192"/>
    <w:rsid w:val="001C14B0"/>
    <w:rsid w:val="001C31A3"/>
    <w:rsid w:val="001C3325"/>
    <w:rsid w:val="001C3A26"/>
    <w:rsid w:val="001C3EBF"/>
    <w:rsid w:val="001C4501"/>
    <w:rsid w:val="001C4D89"/>
    <w:rsid w:val="001C4EBC"/>
    <w:rsid w:val="001C5341"/>
    <w:rsid w:val="001C5A9D"/>
    <w:rsid w:val="001C6BC6"/>
    <w:rsid w:val="001C6DF4"/>
    <w:rsid w:val="001C6E48"/>
    <w:rsid w:val="001C71A7"/>
    <w:rsid w:val="001C79A4"/>
    <w:rsid w:val="001C7C4D"/>
    <w:rsid w:val="001C7D48"/>
    <w:rsid w:val="001C7F07"/>
    <w:rsid w:val="001D0188"/>
    <w:rsid w:val="001D069A"/>
    <w:rsid w:val="001D06AB"/>
    <w:rsid w:val="001D0AB4"/>
    <w:rsid w:val="001D2395"/>
    <w:rsid w:val="001D26FB"/>
    <w:rsid w:val="001D2944"/>
    <w:rsid w:val="001D2996"/>
    <w:rsid w:val="001D379B"/>
    <w:rsid w:val="001D4778"/>
    <w:rsid w:val="001D47E0"/>
    <w:rsid w:val="001D5272"/>
    <w:rsid w:val="001D5739"/>
    <w:rsid w:val="001D5CEE"/>
    <w:rsid w:val="001D5D8C"/>
    <w:rsid w:val="001D5F20"/>
    <w:rsid w:val="001D6207"/>
    <w:rsid w:val="001D698F"/>
    <w:rsid w:val="001D6CBC"/>
    <w:rsid w:val="001D72B0"/>
    <w:rsid w:val="001E04D5"/>
    <w:rsid w:val="001E07AF"/>
    <w:rsid w:val="001E0A75"/>
    <w:rsid w:val="001E1322"/>
    <w:rsid w:val="001E1CA1"/>
    <w:rsid w:val="001E203A"/>
    <w:rsid w:val="001E238F"/>
    <w:rsid w:val="001E2672"/>
    <w:rsid w:val="001E2AD7"/>
    <w:rsid w:val="001E2B11"/>
    <w:rsid w:val="001E2C72"/>
    <w:rsid w:val="001E365E"/>
    <w:rsid w:val="001E3AEE"/>
    <w:rsid w:val="001E448E"/>
    <w:rsid w:val="001E4891"/>
    <w:rsid w:val="001E5BF7"/>
    <w:rsid w:val="001E5E37"/>
    <w:rsid w:val="001E61F4"/>
    <w:rsid w:val="001E64D5"/>
    <w:rsid w:val="001E6593"/>
    <w:rsid w:val="001E67F4"/>
    <w:rsid w:val="001E6E81"/>
    <w:rsid w:val="001E72EA"/>
    <w:rsid w:val="001E7820"/>
    <w:rsid w:val="001E7DDC"/>
    <w:rsid w:val="001F0495"/>
    <w:rsid w:val="001F099F"/>
    <w:rsid w:val="001F13F9"/>
    <w:rsid w:val="001F183B"/>
    <w:rsid w:val="001F26DF"/>
    <w:rsid w:val="001F2E96"/>
    <w:rsid w:val="001F2FFD"/>
    <w:rsid w:val="001F373C"/>
    <w:rsid w:val="001F465C"/>
    <w:rsid w:val="001F533C"/>
    <w:rsid w:val="001F5706"/>
    <w:rsid w:val="001F765B"/>
    <w:rsid w:val="001F7A9B"/>
    <w:rsid w:val="001F7F38"/>
    <w:rsid w:val="00200DBE"/>
    <w:rsid w:val="00200EDD"/>
    <w:rsid w:val="002010D5"/>
    <w:rsid w:val="00201ABF"/>
    <w:rsid w:val="00201D16"/>
    <w:rsid w:val="00201EAF"/>
    <w:rsid w:val="0020244C"/>
    <w:rsid w:val="002027A1"/>
    <w:rsid w:val="00202BF8"/>
    <w:rsid w:val="00202F0D"/>
    <w:rsid w:val="002033E9"/>
    <w:rsid w:val="00203A9E"/>
    <w:rsid w:val="0020500E"/>
    <w:rsid w:val="002054B4"/>
    <w:rsid w:val="00205680"/>
    <w:rsid w:val="00205A06"/>
    <w:rsid w:val="002066F1"/>
    <w:rsid w:val="00206AAB"/>
    <w:rsid w:val="00207CAD"/>
    <w:rsid w:val="00207D50"/>
    <w:rsid w:val="00210002"/>
    <w:rsid w:val="00210435"/>
    <w:rsid w:val="00210498"/>
    <w:rsid w:val="00211546"/>
    <w:rsid w:val="0021159A"/>
    <w:rsid w:val="00211AEA"/>
    <w:rsid w:val="00211E8D"/>
    <w:rsid w:val="0021253D"/>
    <w:rsid w:val="0021274E"/>
    <w:rsid w:val="00214157"/>
    <w:rsid w:val="00214627"/>
    <w:rsid w:val="002158EF"/>
    <w:rsid w:val="0021592F"/>
    <w:rsid w:val="00215D89"/>
    <w:rsid w:val="00217893"/>
    <w:rsid w:val="002179E4"/>
    <w:rsid w:val="00220350"/>
    <w:rsid w:val="00220667"/>
    <w:rsid w:val="00220A76"/>
    <w:rsid w:val="00220EE5"/>
    <w:rsid w:val="00220F89"/>
    <w:rsid w:val="0022124E"/>
    <w:rsid w:val="002223AA"/>
    <w:rsid w:val="00222D11"/>
    <w:rsid w:val="00222DBD"/>
    <w:rsid w:val="002231E2"/>
    <w:rsid w:val="00223CBB"/>
    <w:rsid w:val="002240A4"/>
    <w:rsid w:val="00224306"/>
    <w:rsid w:val="00224526"/>
    <w:rsid w:val="00224A1E"/>
    <w:rsid w:val="00225723"/>
    <w:rsid w:val="00226431"/>
    <w:rsid w:val="002265A2"/>
    <w:rsid w:val="002265CF"/>
    <w:rsid w:val="00226874"/>
    <w:rsid w:val="00226DF9"/>
    <w:rsid w:val="00227C42"/>
    <w:rsid w:val="00227E7E"/>
    <w:rsid w:val="0023085A"/>
    <w:rsid w:val="00230A12"/>
    <w:rsid w:val="00230FF9"/>
    <w:rsid w:val="00231149"/>
    <w:rsid w:val="00231809"/>
    <w:rsid w:val="0023213E"/>
    <w:rsid w:val="0023299C"/>
    <w:rsid w:val="00232D7A"/>
    <w:rsid w:val="0023353E"/>
    <w:rsid w:val="00233DAD"/>
    <w:rsid w:val="00233F66"/>
    <w:rsid w:val="002353C5"/>
    <w:rsid w:val="00235539"/>
    <w:rsid w:val="00235764"/>
    <w:rsid w:val="00235835"/>
    <w:rsid w:val="00235DA3"/>
    <w:rsid w:val="0023625F"/>
    <w:rsid w:val="00237069"/>
    <w:rsid w:val="00237788"/>
    <w:rsid w:val="00237EE0"/>
    <w:rsid w:val="00237FD5"/>
    <w:rsid w:val="002403EF"/>
    <w:rsid w:val="00240816"/>
    <w:rsid w:val="00240EB2"/>
    <w:rsid w:val="00241A97"/>
    <w:rsid w:val="00241CB2"/>
    <w:rsid w:val="0024306B"/>
    <w:rsid w:val="00245308"/>
    <w:rsid w:val="00245833"/>
    <w:rsid w:val="00245BC1"/>
    <w:rsid w:val="002460F8"/>
    <w:rsid w:val="00246519"/>
    <w:rsid w:val="00246B58"/>
    <w:rsid w:val="00246EA6"/>
    <w:rsid w:val="00247388"/>
    <w:rsid w:val="00247501"/>
    <w:rsid w:val="002501D5"/>
    <w:rsid w:val="002502E6"/>
    <w:rsid w:val="00250AFA"/>
    <w:rsid w:val="00250F5A"/>
    <w:rsid w:val="00251277"/>
    <w:rsid w:val="00251602"/>
    <w:rsid w:val="00251962"/>
    <w:rsid w:val="00251A57"/>
    <w:rsid w:val="002520A3"/>
    <w:rsid w:val="00252550"/>
    <w:rsid w:val="0025441B"/>
    <w:rsid w:val="00254938"/>
    <w:rsid w:val="00254A82"/>
    <w:rsid w:val="00254DA2"/>
    <w:rsid w:val="00254E43"/>
    <w:rsid w:val="00254ED5"/>
    <w:rsid w:val="00255025"/>
    <w:rsid w:val="00255E46"/>
    <w:rsid w:val="0025719F"/>
    <w:rsid w:val="002571A1"/>
    <w:rsid w:val="0025726B"/>
    <w:rsid w:val="00257E9D"/>
    <w:rsid w:val="00260A15"/>
    <w:rsid w:val="00260B2D"/>
    <w:rsid w:val="00262349"/>
    <w:rsid w:val="002628A1"/>
    <w:rsid w:val="00262AB0"/>
    <w:rsid w:val="002630AE"/>
    <w:rsid w:val="00263401"/>
    <w:rsid w:val="0026346D"/>
    <w:rsid w:val="00264CA7"/>
    <w:rsid w:val="002650BD"/>
    <w:rsid w:val="00265CEB"/>
    <w:rsid w:val="00265ED8"/>
    <w:rsid w:val="00266591"/>
    <w:rsid w:val="0026671B"/>
    <w:rsid w:val="00266A53"/>
    <w:rsid w:val="00266B05"/>
    <w:rsid w:val="00266ED5"/>
    <w:rsid w:val="0026718D"/>
    <w:rsid w:val="00267C35"/>
    <w:rsid w:val="00270340"/>
    <w:rsid w:val="0027041A"/>
    <w:rsid w:val="00270F34"/>
    <w:rsid w:val="00271CCF"/>
    <w:rsid w:val="002726C5"/>
    <w:rsid w:val="00272E70"/>
    <w:rsid w:val="00273040"/>
    <w:rsid w:val="0027345A"/>
    <w:rsid w:val="00273DF4"/>
    <w:rsid w:val="0027405F"/>
    <w:rsid w:val="00274385"/>
    <w:rsid w:val="00274B42"/>
    <w:rsid w:val="00274EC0"/>
    <w:rsid w:val="00274F80"/>
    <w:rsid w:val="00275508"/>
    <w:rsid w:val="0027566C"/>
    <w:rsid w:val="00276670"/>
    <w:rsid w:val="0027694B"/>
    <w:rsid w:val="00276CB4"/>
    <w:rsid w:val="00276D61"/>
    <w:rsid w:val="0027776F"/>
    <w:rsid w:val="002777EA"/>
    <w:rsid w:val="002777ED"/>
    <w:rsid w:val="00277D77"/>
    <w:rsid w:val="0028089D"/>
    <w:rsid w:val="00280B3D"/>
    <w:rsid w:val="00281CD6"/>
    <w:rsid w:val="0028214F"/>
    <w:rsid w:val="0028370A"/>
    <w:rsid w:val="00284785"/>
    <w:rsid w:val="0028479A"/>
    <w:rsid w:val="00284CB1"/>
    <w:rsid w:val="00284F8A"/>
    <w:rsid w:val="002852D7"/>
    <w:rsid w:val="00285F68"/>
    <w:rsid w:val="002864CA"/>
    <w:rsid w:val="0028745A"/>
    <w:rsid w:val="0029024D"/>
    <w:rsid w:val="00290672"/>
    <w:rsid w:val="00291187"/>
    <w:rsid w:val="0029127F"/>
    <w:rsid w:val="002912BE"/>
    <w:rsid w:val="002917E0"/>
    <w:rsid w:val="00291CB2"/>
    <w:rsid w:val="00291D3F"/>
    <w:rsid w:val="00291E23"/>
    <w:rsid w:val="00292009"/>
    <w:rsid w:val="0029377F"/>
    <w:rsid w:val="00293E24"/>
    <w:rsid w:val="00294010"/>
    <w:rsid w:val="0029448C"/>
    <w:rsid w:val="00294629"/>
    <w:rsid w:val="00295103"/>
    <w:rsid w:val="0029539A"/>
    <w:rsid w:val="00295C37"/>
    <w:rsid w:val="002960A2"/>
    <w:rsid w:val="00296435"/>
    <w:rsid w:val="00296A94"/>
    <w:rsid w:val="002A0116"/>
    <w:rsid w:val="002A0381"/>
    <w:rsid w:val="002A06DA"/>
    <w:rsid w:val="002A08F8"/>
    <w:rsid w:val="002A0ABD"/>
    <w:rsid w:val="002A15A8"/>
    <w:rsid w:val="002A1DA9"/>
    <w:rsid w:val="002A235D"/>
    <w:rsid w:val="002A2900"/>
    <w:rsid w:val="002A3323"/>
    <w:rsid w:val="002A3A40"/>
    <w:rsid w:val="002A4246"/>
    <w:rsid w:val="002A4DB4"/>
    <w:rsid w:val="002A5069"/>
    <w:rsid w:val="002A514E"/>
    <w:rsid w:val="002A55A2"/>
    <w:rsid w:val="002A6908"/>
    <w:rsid w:val="002A6961"/>
    <w:rsid w:val="002A69A2"/>
    <w:rsid w:val="002A69A8"/>
    <w:rsid w:val="002A6B89"/>
    <w:rsid w:val="002A7198"/>
    <w:rsid w:val="002A7334"/>
    <w:rsid w:val="002A7946"/>
    <w:rsid w:val="002B0549"/>
    <w:rsid w:val="002B0818"/>
    <w:rsid w:val="002B10EC"/>
    <w:rsid w:val="002B185B"/>
    <w:rsid w:val="002B1F3B"/>
    <w:rsid w:val="002B2134"/>
    <w:rsid w:val="002B22C9"/>
    <w:rsid w:val="002B2B7A"/>
    <w:rsid w:val="002B2F47"/>
    <w:rsid w:val="002B30D0"/>
    <w:rsid w:val="002B3269"/>
    <w:rsid w:val="002B3CBE"/>
    <w:rsid w:val="002B3DD0"/>
    <w:rsid w:val="002B4309"/>
    <w:rsid w:val="002B4337"/>
    <w:rsid w:val="002B4606"/>
    <w:rsid w:val="002B4648"/>
    <w:rsid w:val="002B4938"/>
    <w:rsid w:val="002B4C69"/>
    <w:rsid w:val="002B50C1"/>
    <w:rsid w:val="002B55D4"/>
    <w:rsid w:val="002B5A35"/>
    <w:rsid w:val="002B6327"/>
    <w:rsid w:val="002B68E0"/>
    <w:rsid w:val="002B6B88"/>
    <w:rsid w:val="002B70C7"/>
    <w:rsid w:val="002B7A60"/>
    <w:rsid w:val="002C0705"/>
    <w:rsid w:val="002C13DB"/>
    <w:rsid w:val="002C193D"/>
    <w:rsid w:val="002C2351"/>
    <w:rsid w:val="002C24F6"/>
    <w:rsid w:val="002C2777"/>
    <w:rsid w:val="002C27CC"/>
    <w:rsid w:val="002C40A2"/>
    <w:rsid w:val="002C419D"/>
    <w:rsid w:val="002C4BB9"/>
    <w:rsid w:val="002C5E89"/>
    <w:rsid w:val="002C602C"/>
    <w:rsid w:val="002C60AC"/>
    <w:rsid w:val="002C6742"/>
    <w:rsid w:val="002C7C32"/>
    <w:rsid w:val="002C7C40"/>
    <w:rsid w:val="002C7C57"/>
    <w:rsid w:val="002D01A6"/>
    <w:rsid w:val="002D099B"/>
    <w:rsid w:val="002D0F8C"/>
    <w:rsid w:val="002D12A9"/>
    <w:rsid w:val="002D1781"/>
    <w:rsid w:val="002D2398"/>
    <w:rsid w:val="002D272C"/>
    <w:rsid w:val="002D2933"/>
    <w:rsid w:val="002D3B12"/>
    <w:rsid w:val="002D40FC"/>
    <w:rsid w:val="002D45ED"/>
    <w:rsid w:val="002D4700"/>
    <w:rsid w:val="002D4D29"/>
    <w:rsid w:val="002D4E23"/>
    <w:rsid w:val="002D54B9"/>
    <w:rsid w:val="002D68C1"/>
    <w:rsid w:val="002D730A"/>
    <w:rsid w:val="002D7F91"/>
    <w:rsid w:val="002E0FFE"/>
    <w:rsid w:val="002E10F7"/>
    <w:rsid w:val="002E137D"/>
    <w:rsid w:val="002E17EB"/>
    <w:rsid w:val="002E227F"/>
    <w:rsid w:val="002E240D"/>
    <w:rsid w:val="002E260E"/>
    <w:rsid w:val="002E387D"/>
    <w:rsid w:val="002E41F8"/>
    <w:rsid w:val="002E4776"/>
    <w:rsid w:val="002E502F"/>
    <w:rsid w:val="002E5F1B"/>
    <w:rsid w:val="002E62C4"/>
    <w:rsid w:val="002E64A1"/>
    <w:rsid w:val="002E69BA"/>
    <w:rsid w:val="002E6D4E"/>
    <w:rsid w:val="002E6F1F"/>
    <w:rsid w:val="002F0C93"/>
    <w:rsid w:val="002F11C7"/>
    <w:rsid w:val="002F1311"/>
    <w:rsid w:val="002F1BD3"/>
    <w:rsid w:val="002F1F64"/>
    <w:rsid w:val="002F1FFC"/>
    <w:rsid w:val="002F20A2"/>
    <w:rsid w:val="002F2BF9"/>
    <w:rsid w:val="002F2C8B"/>
    <w:rsid w:val="002F37FE"/>
    <w:rsid w:val="002F435F"/>
    <w:rsid w:val="002F4892"/>
    <w:rsid w:val="002F4999"/>
    <w:rsid w:val="002F4B62"/>
    <w:rsid w:val="002F4D93"/>
    <w:rsid w:val="002F69CE"/>
    <w:rsid w:val="002F6D6A"/>
    <w:rsid w:val="002F785A"/>
    <w:rsid w:val="002F7A36"/>
    <w:rsid w:val="002F7CAC"/>
    <w:rsid w:val="0030055D"/>
    <w:rsid w:val="00300876"/>
    <w:rsid w:val="00301A8F"/>
    <w:rsid w:val="003021C3"/>
    <w:rsid w:val="00302716"/>
    <w:rsid w:val="00302FB1"/>
    <w:rsid w:val="00303DB5"/>
    <w:rsid w:val="00303F4A"/>
    <w:rsid w:val="00304500"/>
    <w:rsid w:val="00304AB7"/>
    <w:rsid w:val="003056A1"/>
    <w:rsid w:val="003057E4"/>
    <w:rsid w:val="00305A6E"/>
    <w:rsid w:val="0030619C"/>
    <w:rsid w:val="003064DE"/>
    <w:rsid w:val="00306DBD"/>
    <w:rsid w:val="0030756A"/>
    <w:rsid w:val="003102B1"/>
    <w:rsid w:val="00310539"/>
    <w:rsid w:val="00311035"/>
    <w:rsid w:val="003112A9"/>
    <w:rsid w:val="003117D7"/>
    <w:rsid w:val="00311A05"/>
    <w:rsid w:val="0031204B"/>
    <w:rsid w:val="003123CA"/>
    <w:rsid w:val="003125A9"/>
    <w:rsid w:val="00313299"/>
    <w:rsid w:val="003134AD"/>
    <w:rsid w:val="0031366F"/>
    <w:rsid w:val="00313C97"/>
    <w:rsid w:val="00313D6C"/>
    <w:rsid w:val="00314ABC"/>
    <w:rsid w:val="00314D57"/>
    <w:rsid w:val="003151A0"/>
    <w:rsid w:val="0031567F"/>
    <w:rsid w:val="00315B5D"/>
    <w:rsid w:val="00315F03"/>
    <w:rsid w:val="00316051"/>
    <w:rsid w:val="00316B09"/>
    <w:rsid w:val="00316ED3"/>
    <w:rsid w:val="00321182"/>
    <w:rsid w:val="003214E1"/>
    <w:rsid w:val="00321985"/>
    <w:rsid w:val="003224D0"/>
    <w:rsid w:val="00322AD6"/>
    <w:rsid w:val="00322C57"/>
    <w:rsid w:val="00322CB8"/>
    <w:rsid w:val="00322D96"/>
    <w:rsid w:val="00322ED4"/>
    <w:rsid w:val="00323089"/>
    <w:rsid w:val="00323C88"/>
    <w:rsid w:val="00323FFB"/>
    <w:rsid w:val="0032426C"/>
    <w:rsid w:val="00324C76"/>
    <w:rsid w:val="003252C1"/>
    <w:rsid w:val="00325982"/>
    <w:rsid w:val="00325E98"/>
    <w:rsid w:val="00326274"/>
    <w:rsid w:val="0032628A"/>
    <w:rsid w:val="00326362"/>
    <w:rsid w:val="003269D8"/>
    <w:rsid w:val="00327824"/>
    <w:rsid w:val="00327D00"/>
    <w:rsid w:val="00330072"/>
    <w:rsid w:val="0033060C"/>
    <w:rsid w:val="00330752"/>
    <w:rsid w:val="00330B56"/>
    <w:rsid w:val="00330E82"/>
    <w:rsid w:val="0033164F"/>
    <w:rsid w:val="00331DA2"/>
    <w:rsid w:val="0033211C"/>
    <w:rsid w:val="003328BF"/>
    <w:rsid w:val="003329C1"/>
    <w:rsid w:val="00332E2D"/>
    <w:rsid w:val="00333DA7"/>
    <w:rsid w:val="003345DF"/>
    <w:rsid w:val="00334A5B"/>
    <w:rsid w:val="003359C7"/>
    <w:rsid w:val="00335E24"/>
    <w:rsid w:val="00335F98"/>
    <w:rsid w:val="003363C2"/>
    <w:rsid w:val="00336AFC"/>
    <w:rsid w:val="00336BD5"/>
    <w:rsid w:val="00336FE6"/>
    <w:rsid w:val="003374E3"/>
    <w:rsid w:val="00337738"/>
    <w:rsid w:val="0033777C"/>
    <w:rsid w:val="00337C70"/>
    <w:rsid w:val="00337F9D"/>
    <w:rsid w:val="003403CD"/>
    <w:rsid w:val="0034041D"/>
    <w:rsid w:val="00340425"/>
    <w:rsid w:val="00340605"/>
    <w:rsid w:val="00340C1C"/>
    <w:rsid w:val="00340D9A"/>
    <w:rsid w:val="003416B3"/>
    <w:rsid w:val="00341E4D"/>
    <w:rsid w:val="00343014"/>
    <w:rsid w:val="003439B4"/>
    <w:rsid w:val="00343B93"/>
    <w:rsid w:val="003444AD"/>
    <w:rsid w:val="003444B5"/>
    <w:rsid w:val="003445A4"/>
    <w:rsid w:val="003451B7"/>
    <w:rsid w:val="003453D1"/>
    <w:rsid w:val="00345496"/>
    <w:rsid w:val="00345ADC"/>
    <w:rsid w:val="003464AF"/>
    <w:rsid w:val="0034679E"/>
    <w:rsid w:val="0035002B"/>
    <w:rsid w:val="00350311"/>
    <w:rsid w:val="003506E7"/>
    <w:rsid w:val="00350E53"/>
    <w:rsid w:val="003511B3"/>
    <w:rsid w:val="003518FF"/>
    <w:rsid w:val="003520CB"/>
    <w:rsid w:val="00353148"/>
    <w:rsid w:val="0035353E"/>
    <w:rsid w:val="00353DF5"/>
    <w:rsid w:val="00353E85"/>
    <w:rsid w:val="00354AD6"/>
    <w:rsid w:val="00354D7C"/>
    <w:rsid w:val="0035601F"/>
    <w:rsid w:val="0035673D"/>
    <w:rsid w:val="00356AB4"/>
    <w:rsid w:val="00356D23"/>
    <w:rsid w:val="00357227"/>
    <w:rsid w:val="003572DE"/>
    <w:rsid w:val="003573CD"/>
    <w:rsid w:val="003575C3"/>
    <w:rsid w:val="00357785"/>
    <w:rsid w:val="00357CAB"/>
    <w:rsid w:val="00360415"/>
    <w:rsid w:val="00360B99"/>
    <w:rsid w:val="00361577"/>
    <w:rsid w:val="0036207A"/>
    <w:rsid w:val="003622B3"/>
    <w:rsid w:val="00362443"/>
    <w:rsid w:val="0036266C"/>
    <w:rsid w:val="00362B6F"/>
    <w:rsid w:val="0036309F"/>
    <w:rsid w:val="0036358D"/>
    <w:rsid w:val="00363C5A"/>
    <w:rsid w:val="00364475"/>
    <w:rsid w:val="00364A95"/>
    <w:rsid w:val="00365B6A"/>
    <w:rsid w:val="00365D44"/>
    <w:rsid w:val="003661A7"/>
    <w:rsid w:val="00366F64"/>
    <w:rsid w:val="003705DC"/>
    <w:rsid w:val="00370905"/>
    <w:rsid w:val="0037091C"/>
    <w:rsid w:val="00370E04"/>
    <w:rsid w:val="00371392"/>
    <w:rsid w:val="00371CC5"/>
    <w:rsid w:val="003726EE"/>
    <w:rsid w:val="00372EBF"/>
    <w:rsid w:val="00373554"/>
    <w:rsid w:val="0037425C"/>
    <w:rsid w:val="003746FC"/>
    <w:rsid w:val="00374C34"/>
    <w:rsid w:val="00374EA8"/>
    <w:rsid w:val="00374FFF"/>
    <w:rsid w:val="0037578B"/>
    <w:rsid w:val="00375D50"/>
    <w:rsid w:val="00375E39"/>
    <w:rsid w:val="00376453"/>
    <w:rsid w:val="00376A51"/>
    <w:rsid w:val="00376FA9"/>
    <w:rsid w:val="0037719D"/>
    <w:rsid w:val="00377C9B"/>
    <w:rsid w:val="00377CFE"/>
    <w:rsid w:val="00380505"/>
    <w:rsid w:val="003817F7"/>
    <w:rsid w:val="00381958"/>
    <w:rsid w:val="00383565"/>
    <w:rsid w:val="00384250"/>
    <w:rsid w:val="0038461D"/>
    <w:rsid w:val="003855AB"/>
    <w:rsid w:val="00385694"/>
    <w:rsid w:val="00385B5E"/>
    <w:rsid w:val="00385ED0"/>
    <w:rsid w:val="00387ABA"/>
    <w:rsid w:val="00387B6B"/>
    <w:rsid w:val="00387B74"/>
    <w:rsid w:val="00387F62"/>
    <w:rsid w:val="00390759"/>
    <w:rsid w:val="00390D8A"/>
    <w:rsid w:val="00391B3B"/>
    <w:rsid w:val="00391EB4"/>
    <w:rsid w:val="00392053"/>
    <w:rsid w:val="0039213D"/>
    <w:rsid w:val="0039234C"/>
    <w:rsid w:val="003923B4"/>
    <w:rsid w:val="00392541"/>
    <w:rsid w:val="00392751"/>
    <w:rsid w:val="00392D4A"/>
    <w:rsid w:val="00392F7C"/>
    <w:rsid w:val="003938D8"/>
    <w:rsid w:val="00393EB4"/>
    <w:rsid w:val="00394FE1"/>
    <w:rsid w:val="0039615A"/>
    <w:rsid w:val="00396E41"/>
    <w:rsid w:val="003A0439"/>
    <w:rsid w:val="003A1326"/>
    <w:rsid w:val="003A14BE"/>
    <w:rsid w:val="003A1786"/>
    <w:rsid w:val="003A1E12"/>
    <w:rsid w:val="003A21D5"/>
    <w:rsid w:val="003A261D"/>
    <w:rsid w:val="003A38E7"/>
    <w:rsid w:val="003A3A43"/>
    <w:rsid w:val="003A3AB4"/>
    <w:rsid w:val="003A3D65"/>
    <w:rsid w:val="003A3E18"/>
    <w:rsid w:val="003A4406"/>
    <w:rsid w:val="003A49D2"/>
    <w:rsid w:val="003A4D89"/>
    <w:rsid w:val="003A5502"/>
    <w:rsid w:val="003A5CC3"/>
    <w:rsid w:val="003A5E3C"/>
    <w:rsid w:val="003A73AF"/>
    <w:rsid w:val="003B0DA2"/>
    <w:rsid w:val="003B0FAD"/>
    <w:rsid w:val="003B1164"/>
    <w:rsid w:val="003B12E4"/>
    <w:rsid w:val="003B1341"/>
    <w:rsid w:val="003B1442"/>
    <w:rsid w:val="003B148E"/>
    <w:rsid w:val="003B25EB"/>
    <w:rsid w:val="003B2BE8"/>
    <w:rsid w:val="003B2DF9"/>
    <w:rsid w:val="003B35FF"/>
    <w:rsid w:val="003B3DC1"/>
    <w:rsid w:val="003B475F"/>
    <w:rsid w:val="003B4B88"/>
    <w:rsid w:val="003B4D07"/>
    <w:rsid w:val="003B53EF"/>
    <w:rsid w:val="003B549E"/>
    <w:rsid w:val="003B5848"/>
    <w:rsid w:val="003B5DC1"/>
    <w:rsid w:val="003B617F"/>
    <w:rsid w:val="003B6253"/>
    <w:rsid w:val="003B64BD"/>
    <w:rsid w:val="003B7365"/>
    <w:rsid w:val="003B788F"/>
    <w:rsid w:val="003C012D"/>
    <w:rsid w:val="003C0C96"/>
    <w:rsid w:val="003C1972"/>
    <w:rsid w:val="003C1D55"/>
    <w:rsid w:val="003C2903"/>
    <w:rsid w:val="003C2B8D"/>
    <w:rsid w:val="003C337E"/>
    <w:rsid w:val="003C3E3C"/>
    <w:rsid w:val="003C3E4C"/>
    <w:rsid w:val="003C423E"/>
    <w:rsid w:val="003C4419"/>
    <w:rsid w:val="003C478D"/>
    <w:rsid w:val="003C4B13"/>
    <w:rsid w:val="003C4CEE"/>
    <w:rsid w:val="003C4D00"/>
    <w:rsid w:val="003C541D"/>
    <w:rsid w:val="003C5863"/>
    <w:rsid w:val="003C5E64"/>
    <w:rsid w:val="003C70B5"/>
    <w:rsid w:val="003C7D9A"/>
    <w:rsid w:val="003D018C"/>
    <w:rsid w:val="003D02EE"/>
    <w:rsid w:val="003D0391"/>
    <w:rsid w:val="003D0749"/>
    <w:rsid w:val="003D0781"/>
    <w:rsid w:val="003D0B6D"/>
    <w:rsid w:val="003D0CB9"/>
    <w:rsid w:val="003D0E3C"/>
    <w:rsid w:val="003D139D"/>
    <w:rsid w:val="003D2C83"/>
    <w:rsid w:val="003D2F6E"/>
    <w:rsid w:val="003D3A64"/>
    <w:rsid w:val="003D3EF8"/>
    <w:rsid w:val="003D420C"/>
    <w:rsid w:val="003D4222"/>
    <w:rsid w:val="003D472B"/>
    <w:rsid w:val="003D5656"/>
    <w:rsid w:val="003D5E0C"/>
    <w:rsid w:val="003D63E1"/>
    <w:rsid w:val="003D66E1"/>
    <w:rsid w:val="003D79CB"/>
    <w:rsid w:val="003D7E54"/>
    <w:rsid w:val="003E045B"/>
    <w:rsid w:val="003E0460"/>
    <w:rsid w:val="003E0B15"/>
    <w:rsid w:val="003E12A8"/>
    <w:rsid w:val="003E134C"/>
    <w:rsid w:val="003E20FE"/>
    <w:rsid w:val="003E2550"/>
    <w:rsid w:val="003E261A"/>
    <w:rsid w:val="003E2793"/>
    <w:rsid w:val="003E2963"/>
    <w:rsid w:val="003E34FA"/>
    <w:rsid w:val="003E3628"/>
    <w:rsid w:val="003E37F2"/>
    <w:rsid w:val="003E3936"/>
    <w:rsid w:val="003E3C83"/>
    <w:rsid w:val="003E3D61"/>
    <w:rsid w:val="003E4331"/>
    <w:rsid w:val="003E4B81"/>
    <w:rsid w:val="003E5E4B"/>
    <w:rsid w:val="003E67CF"/>
    <w:rsid w:val="003E73F1"/>
    <w:rsid w:val="003E7419"/>
    <w:rsid w:val="003E7A42"/>
    <w:rsid w:val="003E7FB2"/>
    <w:rsid w:val="003F18AE"/>
    <w:rsid w:val="003F18EF"/>
    <w:rsid w:val="003F2545"/>
    <w:rsid w:val="003F2933"/>
    <w:rsid w:val="003F2CE2"/>
    <w:rsid w:val="003F3743"/>
    <w:rsid w:val="003F39F6"/>
    <w:rsid w:val="003F3C1C"/>
    <w:rsid w:val="003F4641"/>
    <w:rsid w:val="003F4AF7"/>
    <w:rsid w:val="003F4ED6"/>
    <w:rsid w:val="003F5133"/>
    <w:rsid w:val="003F52AA"/>
    <w:rsid w:val="003F559E"/>
    <w:rsid w:val="003F5CCF"/>
    <w:rsid w:val="003F5E33"/>
    <w:rsid w:val="003F5F50"/>
    <w:rsid w:val="003F603D"/>
    <w:rsid w:val="003F6C47"/>
    <w:rsid w:val="003F749B"/>
    <w:rsid w:val="003F754B"/>
    <w:rsid w:val="003F77A9"/>
    <w:rsid w:val="003F7BC7"/>
    <w:rsid w:val="003F7D3B"/>
    <w:rsid w:val="00400A50"/>
    <w:rsid w:val="00400D91"/>
    <w:rsid w:val="00401E38"/>
    <w:rsid w:val="00402E0E"/>
    <w:rsid w:val="00403853"/>
    <w:rsid w:val="004040CE"/>
    <w:rsid w:val="004058E3"/>
    <w:rsid w:val="00405A0B"/>
    <w:rsid w:val="00405F2D"/>
    <w:rsid w:val="00406180"/>
    <w:rsid w:val="004061F7"/>
    <w:rsid w:val="00406779"/>
    <w:rsid w:val="00406E01"/>
    <w:rsid w:val="00407254"/>
    <w:rsid w:val="00407D8E"/>
    <w:rsid w:val="00410084"/>
    <w:rsid w:val="004101AE"/>
    <w:rsid w:val="00410267"/>
    <w:rsid w:val="00411CE0"/>
    <w:rsid w:val="00412902"/>
    <w:rsid w:val="00412977"/>
    <w:rsid w:val="00412C34"/>
    <w:rsid w:val="00412DCA"/>
    <w:rsid w:val="004139DD"/>
    <w:rsid w:val="00415D3C"/>
    <w:rsid w:val="00415D74"/>
    <w:rsid w:val="00415F8D"/>
    <w:rsid w:val="00416322"/>
    <w:rsid w:val="004163B3"/>
    <w:rsid w:val="004164C4"/>
    <w:rsid w:val="004173F2"/>
    <w:rsid w:val="004179EB"/>
    <w:rsid w:val="00417A96"/>
    <w:rsid w:val="00420112"/>
    <w:rsid w:val="004201E9"/>
    <w:rsid w:val="0042044B"/>
    <w:rsid w:val="00420AF7"/>
    <w:rsid w:val="00420C24"/>
    <w:rsid w:val="004210AB"/>
    <w:rsid w:val="00421303"/>
    <w:rsid w:val="004218E1"/>
    <w:rsid w:val="00422308"/>
    <w:rsid w:val="004223C3"/>
    <w:rsid w:val="004228BF"/>
    <w:rsid w:val="00422C71"/>
    <w:rsid w:val="00422E74"/>
    <w:rsid w:val="004244C6"/>
    <w:rsid w:val="00424CD4"/>
    <w:rsid w:val="00425413"/>
    <w:rsid w:val="0042585C"/>
    <w:rsid w:val="004258A9"/>
    <w:rsid w:val="00425BDB"/>
    <w:rsid w:val="00425EBD"/>
    <w:rsid w:val="004263C0"/>
    <w:rsid w:val="004267B1"/>
    <w:rsid w:val="00427266"/>
    <w:rsid w:val="004274A8"/>
    <w:rsid w:val="00427F03"/>
    <w:rsid w:val="00430983"/>
    <w:rsid w:val="00430BA5"/>
    <w:rsid w:val="00431061"/>
    <w:rsid w:val="004319CF"/>
    <w:rsid w:val="004322F9"/>
    <w:rsid w:val="00432A64"/>
    <w:rsid w:val="00433059"/>
    <w:rsid w:val="00433090"/>
    <w:rsid w:val="00433968"/>
    <w:rsid w:val="00433B59"/>
    <w:rsid w:val="004341C6"/>
    <w:rsid w:val="0043487F"/>
    <w:rsid w:val="00434961"/>
    <w:rsid w:val="004351E0"/>
    <w:rsid w:val="00435EFD"/>
    <w:rsid w:val="00435F67"/>
    <w:rsid w:val="00436491"/>
    <w:rsid w:val="00436955"/>
    <w:rsid w:val="00436A1C"/>
    <w:rsid w:val="00437061"/>
    <w:rsid w:val="004371E8"/>
    <w:rsid w:val="00437383"/>
    <w:rsid w:val="004402CA"/>
    <w:rsid w:val="004416F1"/>
    <w:rsid w:val="00441A36"/>
    <w:rsid w:val="00443073"/>
    <w:rsid w:val="00443F54"/>
    <w:rsid w:val="00444230"/>
    <w:rsid w:val="004445AC"/>
    <w:rsid w:val="004446EB"/>
    <w:rsid w:val="00444969"/>
    <w:rsid w:val="004454DE"/>
    <w:rsid w:val="0044554C"/>
    <w:rsid w:val="00445FF8"/>
    <w:rsid w:val="004461E0"/>
    <w:rsid w:val="00447367"/>
    <w:rsid w:val="00450239"/>
    <w:rsid w:val="0045060D"/>
    <w:rsid w:val="00450C9D"/>
    <w:rsid w:val="004517A4"/>
    <w:rsid w:val="00451F71"/>
    <w:rsid w:val="004524CC"/>
    <w:rsid w:val="004531A3"/>
    <w:rsid w:val="0045350B"/>
    <w:rsid w:val="004535C4"/>
    <w:rsid w:val="00454412"/>
    <w:rsid w:val="00455368"/>
    <w:rsid w:val="0045542C"/>
    <w:rsid w:val="00455D89"/>
    <w:rsid w:val="00456C02"/>
    <w:rsid w:val="00456CAC"/>
    <w:rsid w:val="0045718E"/>
    <w:rsid w:val="00457A3D"/>
    <w:rsid w:val="004605B5"/>
    <w:rsid w:val="0046095C"/>
    <w:rsid w:val="0046179A"/>
    <w:rsid w:val="004617D2"/>
    <w:rsid w:val="004624D2"/>
    <w:rsid w:val="00462BD2"/>
    <w:rsid w:val="00462F4F"/>
    <w:rsid w:val="0046366B"/>
    <w:rsid w:val="004637AC"/>
    <w:rsid w:val="00463880"/>
    <w:rsid w:val="00464071"/>
    <w:rsid w:val="00464577"/>
    <w:rsid w:val="00464D8E"/>
    <w:rsid w:val="00465966"/>
    <w:rsid w:val="00467C80"/>
    <w:rsid w:val="00467CBF"/>
    <w:rsid w:val="0047041F"/>
    <w:rsid w:val="004713CE"/>
    <w:rsid w:val="0047141D"/>
    <w:rsid w:val="004714A7"/>
    <w:rsid w:val="004717E2"/>
    <w:rsid w:val="004718D3"/>
    <w:rsid w:val="00471B49"/>
    <w:rsid w:val="004724B7"/>
    <w:rsid w:val="004727A7"/>
    <w:rsid w:val="00473331"/>
    <w:rsid w:val="00473517"/>
    <w:rsid w:val="00473A02"/>
    <w:rsid w:val="00473D59"/>
    <w:rsid w:val="00474330"/>
    <w:rsid w:val="0047519A"/>
    <w:rsid w:val="004754B3"/>
    <w:rsid w:val="00475A30"/>
    <w:rsid w:val="00475E51"/>
    <w:rsid w:val="00476631"/>
    <w:rsid w:val="00476A88"/>
    <w:rsid w:val="00476B86"/>
    <w:rsid w:val="004772BD"/>
    <w:rsid w:val="00477381"/>
    <w:rsid w:val="004800D9"/>
    <w:rsid w:val="00480612"/>
    <w:rsid w:val="00480B0E"/>
    <w:rsid w:val="00482BC1"/>
    <w:rsid w:val="00482FD5"/>
    <w:rsid w:val="00483137"/>
    <w:rsid w:val="00483A0A"/>
    <w:rsid w:val="00483D61"/>
    <w:rsid w:val="004849B2"/>
    <w:rsid w:val="00484A09"/>
    <w:rsid w:val="00484A8B"/>
    <w:rsid w:val="0048525A"/>
    <w:rsid w:val="00485617"/>
    <w:rsid w:val="00485704"/>
    <w:rsid w:val="00485D13"/>
    <w:rsid w:val="0048646B"/>
    <w:rsid w:val="004869CF"/>
    <w:rsid w:val="00487604"/>
    <w:rsid w:val="004879DB"/>
    <w:rsid w:val="00487CB6"/>
    <w:rsid w:val="00490B62"/>
    <w:rsid w:val="00490D25"/>
    <w:rsid w:val="00490D45"/>
    <w:rsid w:val="00490FB8"/>
    <w:rsid w:val="00491549"/>
    <w:rsid w:val="00492060"/>
    <w:rsid w:val="0049249E"/>
    <w:rsid w:val="00492669"/>
    <w:rsid w:val="0049395E"/>
    <w:rsid w:val="00493B61"/>
    <w:rsid w:val="00494708"/>
    <w:rsid w:val="00494A1C"/>
    <w:rsid w:val="00494E25"/>
    <w:rsid w:val="00494F02"/>
    <w:rsid w:val="0049507F"/>
    <w:rsid w:val="004955BC"/>
    <w:rsid w:val="00495804"/>
    <w:rsid w:val="00495886"/>
    <w:rsid w:val="00495BF5"/>
    <w:rsid w:val="00495ECB"/>
    <w:rsid w:val="004961AB"/>
    <w:rsid w:val="00496534"/>
    <w:rsid w:val="00496720"/>
    <w:rsid w:val="00496C45"/>
    <w:rsid w:val="00497E49"/>
    <w:rsid w:val="004A0354"/>
    <w:rsid w:val="004A036D"/>
    <w:rsid w:val="004A03B1"/>
    <w:rsid w:val="004A0BB5"/>
    <w:rsid w:val="004A1232"/>
    <w:rsid w:val="004A17D3"/>
    <w:rsid w:val="004A2164"/>
    <w:rsid w:val="004A2573"/>
    <w:rsid w:val="004A28B9"/>
    <w:rsid w:val="004A2B77"/>
    <w:rsid w:val="004A2D54"/>
    <w:rsid w:val="004A2DF7"/>
    <w:rsid w:val="004A2E4F"/>
    <w:rsid w:val="004A35B7"/>
    <w:rsid w:val="004A392F"/>
    <w:rsid w:val="004A3963"/>
    <w:rsid w:val="004A451E"/>
    <w:rsid w:val="004A45BB"/>
    <w:rsid w:val="004A4E84"/>
    <w:rsid w:val="004A4E94"/>
    <w:rsid w:val="004A5565"/>
    <w:rsid w:val="004A5EEA"/>
    <w:rsid w:val="004A5F77"/>
    <w:rsid w:val="004A6709"/>
    <w:rsid w:val="004A694A"/>
    <w:rsid w:val="004A6B29"/>
    <w:rsid w:val="004A7177"/>
    <w:rsid w:val="004A741A"/>
    <w:rsid w:val="004A7555"/>
    <w:rsid w:val="004A79EB"/>
    <w:rsid w:val="004B05AB"/>
    <w:rsid w:val="004B0A40"/>
    <w:rsid w:val="004B13CC"/>
    <w:rsid w:val="004B1AE2"/>
    <w:rsid w:val="004B1D52"/>
    <w:rsid w:val="004B2681"/>
    <w:rsid w:val="004B3AC0"/>
    <w:rsid w:val="004B3AE3"/>
    <w:rsid w:val="004B3BD9"/>
    <w:rsid w:val="004B4FA6"/>
    <w:rsid w:val="004B5D7E"/>
    <w:rsid w:val="004B5E4A"/>
    <w:rsid w:val="004B66ED"/>
    <w:rsid w:val="004B69AD"/>
    <w:rsid w:val="004B7AAE"/>
    <w:rsid w:val="004B7C93"/>
    <w:rsid w:val="004C01A9"/>
    <w:rsid w:val="004C0CA4"/>
    <w:rsid w:val="004C0F98"/>
    <w:rsid w:val="004C1519"/>
    <w:rsid w:val="004C1703"/>
    <w:rsid w:val="004C1CD5"/>
    <w:rsid w:val="004C2720"/>
    <w:rsid w:val="004C3329"/>
    <w:rsid w:val="004C364B"/>
    <w:rsid w:val="004C36F8"/>
    <w:rsid w:val="004C384F"/>
    <w:rsid w:val="004C3F49"/>
    <w:rsid w:val="004C465C"/>
    <w:rsid w:val="004C4B7E"/>
    <w:rsid w:val="004C5A2E"/>
    <w:rsid w:val="004C6420"/>
    <w:rsid w:val="004C6886"/>
    <w:rsid w:val="004C68FC"/>
    <w:rsid w:val="004C6D6C"/>
    <w:rsid w:val="004C7CB9"/>
    <w:rsid w:val="004D01D4"/>
    <w:rsid w:val="004D19C7"/>
    <w:rsid w:val="004D2822"/>
    <w:rsid w:val="004D2FE3"/>
    <w:rsid w:val="004D3106"/>
    <w:rsid w:val="004D3BC2"/>
    <w:rsid w:val="004D3C3B"/>
    <w:rsid w:val="004D3C78"/>
    <w:rsid w:val="004D4866"/>
    <w:rsid w:val="004D52EF"/>
    <w:rsid w:val="004D5A15"/>
    <w:rsid w:val="004D6454"/>
    <w:rsid w:val="004D71A5"/>
    <w:rsid w:val="004D7621"/>
    <w:rsid w:val="004D7A82"/>
    <w:rsid w:val="004E026A"/>
    <w:rsid w:val="004E02DC"/>
    <w:rsid w:val="004E09DB"/>
    <w:rsid w:val="004E1911"/>
    <w:rsid w:val="004E2EEE"/>
    <w:rsid w:val="004E3084"/>
    <w:rsid w:val="004E3B5E"/>
    <w:rsid w:val="004E3D53"/>
    <w:rsid w:val="004E42D3"/>
    <w:rsid w:val="004E42F8"/>
    <w:rsid w:val="004E4F24"/>
    <w:rsid w:val="004E517E"/>
    <w:rsid w:val="004E5A00"/>
    <w:rsid w:val="004E5FF5"/>
    <w:rsid w:val="004E65CF"/>
    <w:rsid w:val="004E6A3E"/>
    <w:rsid w:val="004E6C4F"/>
    <w:rsid w:val="004E6D43"/>
    <w:rsid w:val="004E747F"/>
    <w:rsid w:val="004E7A92"/>
    <w:rsid w:val="004E7CC9"/>
    <w:rsid w:val="004F0181"/>
    <w:rsid w:val="004F082F"/>
    <w:rsid w:val="004F0B9A"/>
    <w:rsid w:val="004F0DBC"/>
    <w:rsid w:val="004F153F"/>
    <w:rsid w:val="004F15E8"/>
    <w:rsid w:val="004F16BF"/>
    <w:rsid w:val="004F196C"/>
    <w:rsid w:val="004F19A9"/>
    <w:rsid w:val="004F2562"/>
    <w:rsid w:val="004F3ED9"/>
    <w:rsid w:val="004F454E"/>
    <w:rsid w:val="004F512D"/>
    <w:rsid w:val="004F539C"/>
    <w:rsid w:val="004F618B"/>
    <w:rsid w:val="004F6205"/>
    <w:rsid w:val="004F6F69"/>
    <w:rsid w:val="004F716C"/>
    <w:rsid w:val="004F787B"/>
    <w:rsid w:val="004F7893"/>
    <w:rsid w:val="004F7C25"/>
    <w:rsid w:val="0050026F"/>
    <w:rsid w:val="005002F7"/>
    <w:rsid w:val="005005C4"/>
    <w:rsid w:val="00501168"/>
    <w:rsid w:val="00501176"/>
    <w:rsid w:val="0050162E"/>
    <w:rsid w:val="005018DE"/>
    <w:rsid w:val="00501991"/>
    <w:rsid w:val="00501D82"/>
    <w:rsid w:val="00503130"/>
    <w:rsid w:val="00503AC2"/>
    <w:rsid w:val="0050461F"/>
    <w:rsid w:val="00505334"/>
    <w:rsid w:val="00505A0A"/>
    <w:rsid w:val="00505C0E"/>
    <w:rsid w:val="00505CFF"/>
    <w:rsid w:val="00505F18"/>
    <w:rsid w:val="00506081"/>
    <w:rsid w:val="005067CA"/>
    <w:rsid w:val="00506983"/>
    <w:rsid w:val="00507393"/>
    <w:rsid w:val="00507470"/>
    <w:rsid w:val="005074A4"/>
    <w:rsid w:val="00507D07"/>
    <w:rsid w:val="00510B1A"/>
    <w:rsid w:val="00510C50"/>
    <w:rsid w:val="00510EC2"/>
    <w:rsid w:val="0051100B"/>
    <w:rsid w:val="005110F4"/>
    <w:rsid w:val="0051154E"/>
    <w:rsid w:val="005116AF"/>
    <w:rsid w:val="00511CA2"/>
    <w:rsid w:val="00512147"/>
    <w:rsid w:val="00512623"/>
    <w:rsid w:val="0051267C"/>
    <w:rsid w:val="00512BDB"/>
    <w:rsid w:val="00512F10"/>
    <w:rsid w:val="005134AB"/>
    <w:rsid w:val="0051457F"/>
    <w:rsid w:val="00514E5C"/>
    <w:rsid w:val="00516319"/>
    <w:rsid w:val="005166D4"/>
    <w:rsid w:val="005171D2"/>
    <w:rsid w:val="00517A4B"/>
    <w:rsid w:val="00517AC6"/>
    <w:rsid w:val="00520BC1"/>
    <w:rsid w:val="00521167"/>
    <w:rsid w:val="00521360"/>
    <w:rsid w:val="0052136C"/>
    <w:rsid w:val="00521472"/>
    <w:rsid w:val="005214D4"/>
    <w:rsid w:val="0052172F"/>
    <w:rsid w:val="005217DB"/>
    <w:rsid w:val="005217E6"/>
    <w:rsid w:val="005217EC"/>
    <w:rsid w:val="005224D7"/>
    <w:rsid w:val="00522B6B"/>
    <w:rsid w:val="00523532"/>
    <w:rsid w:val="005235A7"/>
    <w:rsid w:val="005236C1"/>
    <w:rsid w:val="005238BE"/>
    <w:rsid w:val="00523FF2"/>
    <w:rsid w:val="00524044"/>
    <w:rsid w:val="005240D9"/>
    <w:rsid w:val="00524781"/>
    <w:rsid w:val="00524B7A"/>
    <w:rsid w:val="00525794"/>
    <w:rsid w:val="00525839"/>
    <w:rsid w:val="00525A9A"/>
    <w:rsid w:val="00526136"/>
    <w:rsid w:val="00527216"/>
    <w:rsid w:val="00527D25"/>
    <w:rsid w:val="005303E8"/>
    <w:rsid w:val="005305D7"/>
    <w:rsid w:val="00530797"/>
    <w:rsid w:val="00530CFD"/>
    <w:rsid w:val="00530E19"/>
    <w:rsid w:val="00530F80"/>
    <w:rsid w:val="0053116B"/>
    <w:rsid w:val="005313F8"/>
    <w:rsid w:val="00532184"/>
    <w:rsid w:val="005326CD"/>
    <w:rsid w:val="005329CE"/>
    <w:rsid w:val="0053300A"/>
    <w:rsid w:val="005334D8"/>
    <w:rsid w:val="00533831"/>
    <w:rsid w:val="005343D8"/>
    <w:rsid w:val="00534476"/>
    <w:rsid w:val="00534927"/>
    <w:rsid w:val="00534F8F"/>
    <w:rsid w:val="00534F94"/>
    <w:rsid w:val="005351FB"/>
    <w:rsid w:val="00535655"/>
    <w:rsid w:val="00535908"/>
    <w:rsid w:val="00535B8C"/>
    <w:rsid w:val="00535C6F"/>
    <w:rsid w:val="00535D27"/>
    <w:rsid w:val="00535E62"/>
    <w:rsid w:val="005364AF"/>
    <w:rsid w:val="0053676B"/>
    <w:rsid w:val="0054013B"/>
    <w:rsid w:val="005401A3"/>
    <w:rsid w:val="005406D7"/>
    <w:rsid w:val="005414D3"/>
    <w:rsid w:val="005415F8"/>
    <w:rsid w:val="00541670"/>
    <w:rsid w:val="00541CBC"/>
    <w:rsid w:val="005423E9"/>
    <w:rsid w:val="005424B6"/>
    <w:rsid w:val="00542A66"/>
    <w:rsid w:val="00542DD9"/>
    <w:rsid w:val="00543812"/>
    <w:rsid w:val="0054392A"/>
    <w:rsid w:val="00543F1C"/>
    <w:rsid w:val="005443B1"/>
    <w:rsid w:val="00544D69"/>
    <w:rsid w:val="00544F58"/>
    <w:rsid w:val="00545127"/>
    <w:rsid w:val="0054653F"/>
    <w:rsid w:val="00546F1C"/>
    <w:rsid w:val="00547A7A"/>
    <w:rsid w:val="00547CEA"/>
    <w:rsid w:val="00547E83"/>
    <w:rsid w:val="00547ECA"/>
    <w:rsid w:val="00547F13"/>
    <w:rsid w:val="00550150"/>
    <w:rsid w:val="005508CB"/>
    <w:rsid w:val="00551093"/>
    <w:rsid w:val="005511EF"/>
    <w:rsid w:val="0055221A"/>
    <w:rsid w:val="005522E1"/>
    <w:rsid w:val="0055294A"/>
    <w:rsid w:val="00552AE7"/>
    <w:rsid w:val="00552E8F"/>
    <w:rsid w:val="005536B8"/>
    <w:rsid w:val="00553F99"/>
    <w:rsid w:val="005548F1"/>
    <w:rsid w:val="00555736"/>
    <w:rsid w:val="005562E4"/>
    <w:rsid w:val="00556E49"/>
    <w:rsid w:val="005579A6"/>
    <w:rsid w:val="00557CE9"/>
    <w:rsid w:val="00557E93"/>
    <w:rsid w:val="005604B0"/>
    <w:rsid w:val="00560B34"/>
    <w:rsid w:val="00560EF5"/>
    <w:rsid w:val="00561013"/>
    <w:rsid w:val="0056151D"/>
    <w:rsid w:val="0056178E"/>
    <w:rsid w:val="00561A30"/>
    <w:rsid w:val="00561AA2"/>
    <w:rsid w:val="00562507"/>
    <w:rsid w:val="005628BF"/>
    <w:rsid w:val="00562EFB"/>
    <w:rsid w:val="005644EE"/>
    <w:rsid w:val="00564A7E"/>
    <w:rsid w:val="00564B2C"/>
    <w:rsid w:val="00565566"/>
    <w:rsid w:val="0056564A"/>
    <w:rsid w:val="005658FE"/>
    <w:rsid w:val="0056663A"/>
    <w:rsid w:val="00567F7C"/>
    <w:rsid w:val="005701AF"/>
    <w:rsid w:val="00570B5F"/>
    <w:rsid w:val="005712B2"/>
    <w:rsid w:val="0057180A"/>
    <w:rsid w:val="0057184D"/>
    <w:rsid w:val="00572864"/>
    <w:rsid w:val="005736E6"/>
    <w:rsid w:val="00573818"/>
    <w:rsid w:val="005739B0"/>
    <w:rsid w:val="0057502F"/>
    <w:rsid w:val="005754EE"/>
    <w:rsid w:val="0057571D"/>
    <w:rsid w:val="00575F52"/>
    <w:rsid w:val="0057657D"/>
    <w:rsid w:val="00576C25"/>
    <w:rsid w:val="00576F2D"/>
    <w:rsid w:val="00576F80"/>
    <w:rsid w:val="00577228"/>
    <w:rsid w:val="005774A3"/>
    <w:rsid w:val="005776B5"/>
    <w:rsid w:val="00577AC6"/>
    <w:rsid w:val="00580C45"/>
    <w:rsid w:val="00581056"/>
    <w:rsid w:val="0058109F"/>
    <w:rsid w:val="005812DB"/>
    <w:rsid w:val="00581911"/>
    <w:rsid w:val="00581C93"/>
    <w:rsid w:val="00581CA3"/>
    <w:rsid w:val="00582A1B"/>
    <w:rsid w:val="00582AD2"/>
    <w:rsid w:val="00582D07"/>
    <w:rsid w:val="005831DD"/>
    <w:rsid w:val="005832D7"/>
    <w:rsid w:val="005833A0"/>
    <w:rsid w:val="005834EB"/>
    <w:rsid w:val="0058357F"/>
    <w:rsid w:val="005838B2"/>
    <w:rsid w:val="00583B4F"/>
    <w:rsid w:val="00583B7D"/>
    <w:rsid w:val="00583CD4"/>
    <w:rsid w:val="005845BD"/>
    <w:rsid w:val="00584CF7"/>
    <w:rsid w:val="00586372"/>
    <w:rsid w:val="00587213"/>
    <w:rsid w:val="0058735B"/>
    <w:rsid w:val="0058739F"/>
    <w:rsid w:val="00587556"/>
    <w:rsid w:val="00587566"/>
    <w:rsid w:val="0058792E"/>
    <w:rsid w:val="00590DFF"/>
    <w:rsid w:val="005913FD"/>
    <w:rsid w:val="0059370B"/>
    <w:rsid w:val="005938E1"/>
    <w:rsid w:val="00593A45"/>
    <w:rsid w:val="00593AFA"/>
    <w:rsid w:val="00594430"/>
    <w:rsid w:val="00594924"/>
    <w:rsid w:val="0059551A"/>
    <w:rsid w:val="00595562"/>
    <w:rsid w:val="00595D25"/>
    <w:rsid w:val="00595F71"/>
    <w:rsid w:val="00595FDE"/>
    <w:rsid w:val="0059656B"/>
    <w:rsid w:val="00596624"/>
    <w:rsid w:val="00597AEE"/>
    <w:rsid w:val="005A0785"/>
    <w:rsid w:val="005A14E2"/>
    <w:rsid w:val="005A2529"/>
    <w:rsid w:val="005A33A0"/>
    <w:rsid w:val="005A3835"/>
    <w:rsid w:val="005A4D4A"/>
    <w:rsid w:val="005A4F1C"/>
    <w:rsid w:val="005A5F6F"/>
    <w:rsid w:val="005A6189"/>
    <w:rsid w:val="005A67C8"/>
    <w:rsid w:val="005A790E"/>
    <w:rsid w:val="005A7F8C"/>
    <w:rsid w:val="005B0606"/>
    <w:rsid w:val="005B0746"/>
    <w:rsid w:val="005B1D0A"/>
    <w:rsid w:val="005B2369"/>
    <w:rsid w:val="005B2A9A"/>
    <w:rsid w:val="005B3DD9"/>
    <w:rsid w:val="005B422C"/>
    <w:rsid w:val="005B4372"/>
    <w:rsid w:val="005B47A0"/>
    <w:rsid w:val="005B48BE"/>
    <w:rsid w:val="005B5023"/>
    <w:rsid w:val="005B507E"/>
    <w:rsid w:val="005B536B"/>
    <w:rsid w:val="005B613E"/>
    <w:rsid w:val="005B724A"/>
    <w:rsid w:val="005B780C"/>
    <w:rsid w:val="005B7FE0"/>
    <w:rsid w:val="005C0226"/>
    <w:rsid w:val="005C0389"/>
    <w:rsid w:val="005C0692"/>
    <w:rsid w:val="005C1184"/>
    <w:rsid w:val="005C1531"/>
    <w:rsid w:val="005C2447"/>
    <w:rsid w:val="005C275B"/>
    <w:rsid w:val="005C2999"/>
    <w:rsid w:val="005C2EDC"/>
    <w:rsid w:val="005C3489"/>
    <w:rsid w:val="005C3D4E"/>
    <w:rsid w:val="005C46A4"/>
    <w:rsid w:val="005C562B"/>
    <w:rsid w:val="005C57E8"/>
    <w:rsid w:val="005C5D44"/>
    <w:rsid w:val="005C5F6A"/>
    <w:rsid w:val="005C642C"/>
    <w:rsid w:val="005C653D"/>
    <w:rsid w:val="005C6790"/>
    <w:rsid w:val="005C695A"/>
    <w:rsid w:val="005C6DEB"/>
    <w:rsid w:val="005C72FF"/>
    <w:rsid w:val="005C77AD"/>
    <w:rsid w:val="005C7A58"/>
    <w:rsid w:val="005C7B98"/>
    <w:rsid w:val="005D09BB"/>
    <w:rsid w:val="005D0B56"/>
    <w:rsid w:val="005D0F99"/>
    <w:rsid w:val="005D1300"/>
    <w:rsid w:val="005D30DA"/>
    <w:rsid w:val="005D3126"/>
    <w:rsid w:val="005D3480"/>
    <w:rsid w:val="005D374E"/>
    <w:rsid w:val="005D392B"/>
    <w:rsid w:val="005D43F2"/>
    <w:rsid w:val="005D4ADE"/>
    <w:rsid w:val="005D5269"/>
    <w:rsid w:val="005D5366"/>
    <w:rsid w:val="005D598E"/>
    <w:rsid w:val="005D6C74"/>
    <w:rsid w:val="005D6FD9"/>
    <w:rsid w:val="005D7067"/>
    <w:rsid w:val="005D7C86"/>
    <w:rsid w:val="005E0029"/>
    <w:rsid w:val="005E04AE"/>
    <w:rsid w:val="005E07B2"/>
    <w:rsid w:val="005E141F"/>
    <w:rsid w:val="005E1F9F"/>
    <w:rsid w:val="005E228E"/>
    <w:rsid w:val="005E2920"/>
    <w:rsid w:val="005E3B18"/>
    <w:rsid w:val="005E3DA1"/>
    <w:rsid w:val="005E3ED0"/>
    <w:rsid w:val="005E4155"/>
    <w:rsid w:val="005E729C"/>
    <w:rsid w:val="005E74D0"/>
    <w:rsid w:val="005F0C5A"/>
    <w:rsid w:val="005F1597"/>
    <w:rsid w:val="005F16AC"/>
    <w:rsid w:val="005F3079"/>
    <w:rsid w:val="005F3A9F"/>
    <w:rsid w:val="005F3DDB"/>
    <w:rsid w:val="005F3E82"/>
    <w:rsid w:val="005F3EE5"/>
    <w:rsid w:val="005F4483"/>
    <w:rsid w:val="005F490B"/>
    <w:rsid w:val="005F4C06"/>
    <w:rsid w:val="005F4DF9"/>
    <w:rsid w:val="005F516B"/>
    <w:rsid w:val="005F6150"/>
    <w:rsid w:val="005F6178"/>
    <w:rsid w:val="005F719D"/>
    <w:rsid w:val="005F76E1"/>
    <w:rsid w:val="005F78DD"/>
    <w:rsid w:val="005F7CB6"/>
    <w:rsid w:val="005F7FBB"/>
    <w:rsid w:val="0060144C"/>
    <w:rsid w:val="00601946"/>
    <w:rsid w:val="00602BD9"/>
    <w:rsid w:val="00602E5B"/>
    <w:rsid w:val="0060338F"/>
    <w:rsid w:val="00604174"/>
    <w:rsid w:val="00604498"/>
    <w:rsid w:val="006044BE"/>
    <w:rsid w:val="006044CF"/>
    <w:rsid w:val="006048AC"/>
    <w:rsid w:val="006053F2"/>
    <w:rsid w:val="006055D2"/>
    <w:rsid w:val="00605725"/>
    <w:rsid w:val="006066C6"/>
    <w:rsid w:val="00606A71"/>
    <w:rsid w:val="00606DDC"/>
    <w:rsid w:val="006071C2"/>
    <w:rsid w:val="00607987"/>
    <w:rsid w:val="00607CE1"/>
    <w:rsid w:val="00610352"/>
    <w:rsid w:val="0061048A"/>
    <w:rsid w:val="00611504"/>
    <w:rsid w:val="006118B1"/>
    <w:rsid w:val="00611ACE"/>
    <w:rsid w:val="00611ECF"/>
    <w:rsid w:val="006126F9"/>
    <w:rsid w:val="00612CA2"/>
    <w:rsid w:val="006137D1"/>
    <w:rsid w:val="006138A9"/>
    <w:rsid w:val="00613935"/>
    <w:rsid w:val="00613B50"/>
    <w:rsid w:val="00613BD4"/>
    <w:rsid w:val="00613BDE"/>
    <w:rsid w:val="0061481C"/>
    <w:rsid w:val="00614BBF"/>
    <w:rsid w:val="006159F3"/>
    <w:rsid w:val="00615A05"/>
    <w:rsid w:val="00616206"/>
    <w:rsid w:val="00616F51"/>
    <w:rsid w:val="00617393"/>
    <w:rsid w:val="006177D8"/>
    <w:rsid w:val="00617A8F"/>
    <w:rsid w:val="00620263"/>
    <w:rsid w:val="0062092B"/>
    <w:rsid w:val="006213CF"/>
    <w:rsid w:val="00622597"/>
    <w:rsid w:val="006225DC"/>
    <w:rsid w:val="00622DB6"/>
    <w:rsid w:val="00623380"/>
    <w:rsid w:val="00623FB2"/>
    <w:rsid w:val="0062435B"/>
    <w:rsid w:val="006252DE"/>
    <w:rsid w:val="00625B39"/>
    <w:rsid w:val="00626AD3"/>
    <w:rsid w:val="00626F46"/>
    <w:rsid w:val="00626F6F"/>
    <w:rsid w:val="006274FA"/>
    <w:rsid w:val="0062759A"/>
    <w:rsid w:val="00627A6F"/>
    <w:rsid w:val="00627B08"/>
    <w:rsid w:val="00627CE4"/>
    <w:rsid w:val="00627DDC"/>
    <w:rsid w:val="00627E64"/>
    <w:rsid w:val="00630719"/>
    <w:rsid w:val="006308E8"/>
    <w:rsid w:val="00630FB6"/>
    <w:rsid w:val="00631096"/>
    <w:rsid w:val="00631D1B"/>
    <w:rsid w:val="0063297E"/>
    <w:rsid w:val="00632A31"/>
    <w:rsid w:val="006331BF"/>
    <w:rsid w:val="006334EE"/>
    <w:rsid w:val="006335D3"/>
    <w:rsid w:val="0063453E"/>
    <w:rsid w:val="006350C0"/>
    <w:rsid w:val="0063562C"/>
    <w:rsid w:val="0063586A"/>
    <w:rsid w:val="0063617F"/>
    <w:rsid w:val="00636522"/>
    <w:rsid w:val="00637842"/>
    <w:rsid w:val="006410F0"/>
    <w:rsid w:val="00641160"/>
    <w:rsid w:val="00641C31"/>
    <w:rsid w:val="00641EF5"/>
    <w:rsid w:val="00642032"/>
    <w:rsid w:val="00642766"/>
    <w:rsid w:val="0064282C"/>
    <w:rsid w:val="006429CD"/>
    <w:rsid w:val="006433B2"/>
    <w:rsid w:val="006441F3"/>
    <w:rsid w:val="00644429"/>
    <w:rsid w:val="00644974"/>
    <w:rsid w:val="006449D0"/>
    <w:rsid w:val="00644BBE"/>
    <w:rsid w:val="00644C9E"/>
    <w:rsid w:val="00644F03"/>
    <w:rsid w:val="00645773"/>
    <w:rsid w:val="00645A9A"/>
    <w:rsid w:val="00645D09"/>
    <w:rsid w:val="00646185"/>
    <w:rsid w:val="00646617"/>
    <w:rsid w:val="006466E7"/>
    <w:rsid w:val="006468FC"/>
    <w:rsid w:val="006469E1"/>
    <w:rsid w:val="00647D5E"/>
    <w:rsid w:val="00647E07"/>
    <w:rsid w:val="00647EDB"/>
    <w:rsid w:val="00647FEC"/>
    <w:rsid w:val="00650041"/>
    <w:rsid w:val="00650063"/>
    <w:rsid w:val="006500B0"/>
    <w:rsid w:val="0065027F"/>
    <w:rsid w:val="0065034C"/>
    <w:rsid w:val="00650534"/>
    <w:rsid w:val="006513EE"/>
    <w:rsid w:val="00651458"/>
    <w:rsid w:val="006514E6"/>
    <w:rsid w:val="00651CA0"/>
    <w:rsid w:val="006521B6"/>
    <w:rsid w:val="00652620"/>
    <w:rsid w:val="0065323C"/>
    <w:rsid w:val="006535A0"/>
    <w:rsid w:val="00653709"/>
    <w:rsid w:val="00653A9C"/>
    <w:rsid w:val="00653DF2"/>
    <w:rsid w:val="00654DDB"/>
    <w:rsid w:val="006550EF"/>
    <w:rsid w:val="00655814"/>
    <w:rsid w:val="00655CFC"/>
    <w:rsid w:val="00656899"/>
    <w:rsid w:val="00656992"/>
    <w:rsid w:val="00656AB6"/>
    <w:rsid w:val="00656ABC"/>
    <w:rsid w:val="006572C4"/>
    <w:rsid w:val="0065759E"/>
    <w:rsid w:val="00657611"/>
    <w:rsid w:val="0065763F"/>
    <w:rsid w:val="00657F2B"/>
    <w:rsid w:val="00660030"/>
    <w:rsid w:val="006606A9"/>
    <w:rsid w:val="00660705"/>
    <w:rsid w:val="00660C94"/>
    <w:rsid w:val="00660D5A"/>
    <w:rsid w:val="00662214"/>
    <w:rsid w:val="006622B7"/>
    <w:rsid w:val="00662DB1"/>
    <w:rsid w:val="006630AC"/>
    <w:rsid w:val="00663BEF"/>
    <w:rsid w:val="00663C1C"/>
    <w:rsid w:val="006643CE"/>
    <w:rsid w:val="00664C43"/>
    <w:rsid w:val="00664CFD"/>
    <w:rsid w:val="00664FE0"/>
    <w:rsid w:val="00665012"/>
    <w:rsid w:val="00665288"/>
    <w:rsid w:val="006659B9"/>
    <w:rsid w:val="00665C1E"/>
    <w:rsid w:val="00666105"/>
    <w:rsid w:val="00666D81"/>
    <w:rsid w:val="00667112"/>
    <w:rsid w:val="00667163"/>
    <w:rsid w:val="006675B7"/>
    <w:rsid w:val="00667B27"/>
    <w:rsid w:val="00667D41"/>
    <w:rsid w:val="00667FB2"/>
    <w:rsid w:val="00670147"/>
    <w:rsid w:val="00670494"/>
    <w:rsid w:val="006704A5"/>
    <w:rsid w:val="00670840"/>
    <w:rsid w:val="00670BE4"/>
    <w:rsid w:val="006720E4"/>
    <w:rsid w:val="0067248A"/>
    <w:rsid w:val="006726BB"/>
    <w:rsid w:val="00672C21"/>
    <w:rsid w:val="00672E76"/>
    <w:rsid w:val="00674252"/>
    <w:rsid w:val="006744A7"/>
    <w:rsid w:val="00674E84"/>
    <w:rsid w:val="0067500F"/>
    <w:rsid w:val="006752AB"/>
    <w:rsid w:val="00675C9B"/>
    <w:rsid w:val="00676160"/>
    <w:rsid w:val="00676504"/>
    <w:rsid w:val="0067693E"/>
    <w:rsid w:val="00676965"/>
    <w:rsid w:val="0067775B"/>
    <w:rsid w:val="0068024F"/>
    <w:rsid w:val="00680294"/>
    <w:rsid w:val="00680422"/>
    <w:rsid w:val="00680ADB"/>
    <w:rsid w:val="00680F2B"/>
    <w:rsid w:val="006816ED"/>
    <w:rsid w:val="0068171A"/>
    <w:rsid w:val="00681F1E"/>
    <w:rsid w:val="006823BA"/>
    <w:rsid w:val="006823E5"/>
    <w:rsid w:val="00682464"/>
    <w:rsid w:val="006827EA"/>
    <w:rsid w:val="0068294D"/>
    <w:rsid w:val="00682BC2"/>
    <w:rsid w:val="00682C0F"/>
    <w:rsid w:val="006830A0"/>
    <w:rsid w:val="0068333D"/>
    <w:rsid w:val="006835E3"/>
    <w:rsid w:val="00683644"/>
    <w:rsid w:val="0068387B"/>
    <w:rsid w:val="0068391D"/>
    <w:rsid w:val="00684234"/>
    <w:rsid w:val="006847BC"/>
    <w:rsid w:val="00684DC2"/>
    <w:rsid w:val="006853FA"/>
    <w:rsid w:val="00685677"/>
    <w:rsid w:val="00685722"/>
    <w:rsid w:val="00685AD4"/>
    <w:rsid w:val="00685B90"/>
    <w:rsid w:val="00685E62"/>
    <w:rsid w:val="00686556"/>
    <w:rsid w:val="006906F8"/>
    <w:rsid w:val="00690C8C"/>
    <w:rsid w:val="00690D40"/>
    <w:rsid w:val="00691988"/>
    <w:rsid w:val="00691BB7"/>
    <w:rsid w:val="00691F27"/>
    <w:rsid w:val="0069244D"/>
    <w:rsid w:val="0069258A"/>
    <w:rsid w:val="006927C9"/>
    <w:rsid w:val="00692DD5"/>
    <w:rsid w:val="00692DEA"/>
    <w:rsid w:val="00692F7E"/>
    <w:rsid w:val="0069369A"/>
    <w:rsid w:val="00693887"/>
    <w:rsid w:val="00693931"/>
    <w:rsid w:val="00693D27"/>
    <w:rsid w:val="00694133"/>
    <w:rsid w:val="0069448F"/>
    <w:rsid w:val="00695FCE"/>
    <w:rsid w:val="0069722A"/>
    <w:rsid w:val="00697385"/>
    <w:rsid w:val="00697A82"/>
    <w:rsid w:val="006A06A4"/>
    <w:rsid w:val="006A08DC"/>
    <w:rsid w:val="006A10BF"/>
    <w:rsid w:val="006A1852"/>
    <w:rsid w:val="006A1F9A"/>
    <w:rsid w:val="006A2124"/>
    <w:rsid w:val="006A33BC"/>
    <w:rsid w:val="006A3586"/>
    <w:rsid w:val="006A4476"/>
    <w:rsid w:val="006A4BD4"/>
    <w:rsid w:val="006A4D99"/>
    <w:rsid w:val="006A5062"/>
    <w:rsid w:val="006A535E"/>
    <w:rsid w:val="006A5A6C"/>
    <w:rsid w:val="006A5E7E"/>
    <w:rsid w:val="006A6B8F"/>
    <w:rsid w:val="006A6D9C"/>
    <w:rsid w:val="006B02EA"/>
    <w:rsid w:val="006B05E4"/>
    <w:rsid w:val="006B0621"/>
    <w:rsid w:val="006B09B7"/>
    <w:rsid w:val="006B0AFA"/>
    <w:rsid w:val="006B1CD9"/>
    <w:rsid w:val="006B2131"/>
    <w:rsid w:val="006B23C1"/>
    <w:rsid w:val="006B279F"/>
    <w:rsid w:val="006B448C"/>
    <w:rsid w:val="006B4493"/>
    <w:rsid w:val="006B48C3"/>
    <w:rsid w:val="006B5584"/>
    <w:rsid w:val="006B5794"/>
    <w:rsid w:val="006B62A6"/>
    <w:rsid w:val="006B62BD"/>
    <w:rsid w:val="006B6937"/>
    <w:rsid w:val="006B6DCA"/>
    <w:rsid w:val="006B72AD"/>
    <w:rsid w:val="006B736A"/>
    <w:rsid w:val="006B785F"/>
    <w:rsid w:val="006C139A"/>
    <w:rsid w:val="006C1EA6"/>
    <w:rsid w:val="006C2214"/>
    <w:rsid w:val="006C2262"/>
    <w:rsid w:val="006C283E"/>
    <w:rsid w:val="006C2B29"/>
    <w:rsid w:val="006C2C26"/>
    <w:rsid w:val="006C2E11"/>
    <w:rsid w:val="006C315E"/>
    <w:rsid w:val="006C3481"/>
    <w:rsid w:val="006C35BD"/>
    <w:rsid w:val="006C399A"/>
    <w:rsid w:val="006C3A6E"/>
    <w:rsid w:val="006C467C"/>
    <w:rsid w:val="006C4887"/>
    <w:rsid w:val="006C49C7"/>
    <w:rsid w:val="006C5397"/>
    <w:rsid w:val="006C55B1"/>
    <w:rsid w:val="006C573C"/>
    <w:rsid w:val="006C5A3D"/>
    <w:rsid w:val="006C5AC6"/>
    <w:rsid w:val="006C5BAD"/>
    <w:rsid w:val="006C5E55"/>
    <w:rsid w:val="006C5F5B"/>
    <w:rsid w:val="006C6141"/>
    <w:rsid w:val="006C6458"/>
    <w:rsid w:val="006C684A"/>
    <w:rsid w:val="006C6974"/>
    <w:rsid w:val="006C76FF"/>
    <w:rsid w:val="006C7A01"/>
    <w:rsid w:val="006C7B30"/>
    <w:rsid w:val="006C7C9F"/>
    <w:rsid w:val="006D05EE"/>
    <w:rsid w:val="006D0868"/>
    <w:rsid w:val="006D08A0"/>
    <w:rsid w:val="006D15F5"/>
    <w:rsid w:val="006D173E"/>
    <w:rsid w:val="006D18F1"/>
    <w:rsid w:val="006D2542"/>
    <w:rsid w:val="006D2671"/>
    <w:rsid w:val="006D2B2E"/>
    <w:rsid w:val="006D37C8"/>
    <w:rsid w:val="006D3BC0"/>
    <w:rsid w:val="006D421E"/>
    <w:rsid w:val="006D4E2F"/>
    <w:rsid w:val="006D4F9A"/>
    <w:rsid w:val="006D5615"/>
    <w:rsid w:val="006D5951"/>
    <w:rsid w:val="006D5EE2"/>
    <w:rsid w:val="006D5F2F"/>
    <w:rsid w:val="006D6750"/>
    <w:rsid w:val="006D6F97"/>
    <w:rsid w:val="006D75A2"/>
    <w:rsid w:val="006E0C2E"/>
    <w:rsid w:val="006E0C4E"/>
    <w:rsid w:val="006E0CD7"/>
    <w:rsid w:val="006E1CD4"/>
    <w:rsid w:val="006E1FB6"/>
    <w:rsid w:val="006E2A87"/>
    <w:rsid w:val="006E2EBA"/>
    <w:rsid w:val="006E3072"/>
    <w:rsid w:val="006E353D"/>
    <w:rsid w:val="006E3636"/>
    <w:rsid w:val="006E3CBE"/>
    <w:rsid w:val="006E3F03"/>
    <w:rsid w:val="006E41F4"/>
    <w:rsid w:val="006E4318"/>
    <w:rsid w:val="006E45E5"/>
    <w:rsid w:val="006E48D1"/>
    <w:rsid w:val="006E48D3"/>
    <w:rsid w:val="006E4AB5"/>
    <w:rsid w:val="006E4E44"/>
    <w:rsid w:val="006E4E99"/>
    <w:rsid w:val="006E52D4"/>
    <w:rsid w:val="006E534D"/>
    <w:rsid w:val="006E59BB"/>
    <w:rsid w:val="006E5F63"/>
    <w:rsid w:val="006E6020"/>
    <w:rsid w:val="006E6C6D"/>
    <w:rsid w:val="006E6E66"/>
    <w:rsid w:val="006E7402"/>
    <w:rsid w:val="006E793A"/>
    <w:rsid w:val="006E7B6B"/>
    <w:rsid w:val="006E7D91"/>
    <w:rsid w:val="006F04AA"/>
    <w:rsid w:val="006F05A9"/>
    <w:rsid w:val="006F0C18"/>
    <w:rsid w:val="006F0DDD"/>
    <w:rsid w:val="006F0E5F"/>
    <w:rsid w:val="006F16EC"/>
    <w:rsid w:val="006F1B9E"/>
    <w:rsid w:val="006F2A6A"/>
    <w:rsid w:val="006F3ABE"/>
    <w:rsid w:val="006F3DFD"/>
    <w:rsid w:val="006F40FF"/>
    <w:rsid w:val="006F4C7A"/>
    <w:rsid w:val="006F6460"/>
    <w:rsid w:val="006F66DD"/>
    <w:rsid w:val="006F738C"/>
    <w:rsid w:val="006F7ACC"/>
    <w:rsid w:val="00700D09"/>
    <w:rsid w:val="007010D3"/>
    <w:rsid w:val="00701848"/>
    <w:rsid w:val="00702271"/>
    <w:rsid w:val="007029A6"/>
    <w:rsid w:val="00702D6B"/>
    <w:rsid w:val="00702DC9"/>
    <w:rsid w:val="007056A8"/>
    <w:rsid w:val="00705DBE"/>
    <w:rsid w:val="00705FA0"/>
    <w:rsid w:val="007063F3"/>
    <w:rsid w:val="007070BD"/>
    <w:rsid w:val="00707204"/>
    <w:rsid w:val="0070757E"/>
    <w:rsid w:val="007078AF"/>
    <w:rsid w:val="00707A2D"/>
    <w:rsid w:val="00707FAC"/>
    <w:rsid w:val="007100E2"/>
    <w:rsid w:val="0071044E"/>
    <w:rsid w:val="00710593"/>
    <w:rsid w:val="00710931"/>
    <w:rsid w:val="00711066"/>
    <w:rsid w:val="00711B8C"/>
    <w:rsid w:val="00711EB9"/>
    <w:rsid w:val="00713254"/>
    <w:rsid w:val="007134A7"/>
    <w:rsid w:val="007138F8"/>
    <w:rsid w:val="00713951"/>
    <w:rsid w:val="00713D11"/>
    <w:rsid w:val="00713D21"/>
    <w:rsid w:val="00713EE0"/>
    <w:rsid w:val="00714B35"/>
    <w:rsid w:val="00714D26"/>
    <w:rsid w:val="00715083"/>
    <w:rsid w:val="0071554E"/>
    <w:rsid w:val="0071568C"/>
    <w:rsid w:val="0071594F"/>
    <w:rsid w:val="00715D74"/>
    <w:rsid w:val="00715EDD"/>
    <w:rsid w:val="0071601F"/>
    <w:rsid w:val="007162B3"/>
    <w:rsid w:val="007164D5"/>
    <w:rsid w:val="007165F6"/>
    <w:rsid w:val="007166CD"/>
    <w:rsid w:val="00716F8C"/>
    <w:rsid w:val="00717485"/>
    <w:rsid w:val="00717637"/>
    <w:rsid w:val="00717A36"/>
    <w:rsid w:val="00717EF3"/>
    <w:rsid w:val="007204FA"/>
    <w:rsid w:val="00720A89"/>
    <w:rsid w:val="00721CB5"/>
    <w:rsid w:val="00721D77"/>
    <w:rsid w:val="007223A7"/>
    <w:rsid w:val="00722B05"/>
    <w:rsid w:val="00723133"/>
    <w:rsid w:val="007233F9"/>
    <w:rsid w:val="00724658"/>
    <w:rsid w:val="00724AFE"/>
    <w:rsid w:val="0072505A"/>
    <w:rsid w:val="0072613D"/>
    <w:rsid w:val="00726846"/>
    <w:rsid w:val="00727CF7"/>
    <w:rsid w:val="0073055C"/>
    <w:rsid w:val="00730608"/>
    <w:rsid w:val="007308E2"/>
    <w:rsid w:val="00730D4E"/>
    <w:rsid w:val="00730F3A"/>
    <w:rsid w:val="00731730"/>
    <w:rsid w:val="0073225F"/>
    <w:rsid w:val="00732554"/>
    <w:rsid w:val="00732ACF"/>
    <w:rsid w:val="00734C8E"/>
    <w:rsid w:val="00734EF4"/>
    <w:rsid w:val="00735140"/>
    <w:rsid w:val="0073546C"/>
    <w:rsid w:val="00736808"/>
    <w:rsid w:val="007371AF"/>
    <w:rsid w:val="00737519"/>
    <w:rsid w:val="007377FF"/>
    <w:rsid w:val="007378A9"/>
    <w:rsid w:val="00737A4D"/>
    <w:rsid w:val="00737DE1"/>
    <w:rsid w:val="00740061"/>
    <w:rsid w:val="007400EE"/>
    <w:rsid w:val="00741329"/>
    <w:rsid w:val="00741838"/>
    <w:rsid w:val="00741AA9"/>
    <w:rsid w:val="00742225"/>
    <w:rsid w:val="007422FF"/>
    <w:rsid w:val="00743960"/>
    <w:rsid w:val="00743C34"/>
    <w:rsid w:val="00744243"/>
    <w:rsid w:val="007449BD"/>
    <w:rsid w:val="00744B73"/>
    <w:rsid w:val="00744EDE"/>
    <w:rsid w:val="007454A7"/>
    <w:rsid w:val="007459FB"/>
    <w:rsid w:val="007467F0"/>
    <w:rsid w:val="00746E1E"/>
    <w:rsid w:val="00750040"/>
    <w:rsid w:val="0075063B"/>
    <w:rsid w:val="00750697"/>
    <w:rsid w:val="00750B61"/>
    <w:rsid w:val="00751433"/>
    <w:rsid w:val="0075150D"/>
    <w:rsid w:val="00752934"/>
    <w:rsid w:val="00752B74"/>
    <w:rsid w:val="00752C2B"/>
    <w:rsid w:val="00752EC9"/>
    <w:rsid w:val="00753279"/>
    <w:rsid w:val="007538E3"/>
    <w:rsid w:val="00753ABC"/>
    <w:rsid w:val="00754533"/>
    <w:rsid w:val="00754B03"/>
    <w:rsid w:val="00754ED8"/>
    <w:rsid w:val="007555A5"/>
    <w:rsid w:val="00756121"/>
    <w:rsid w:val="00756150"/>
    <w:rsid w:val="007561C6"/>
    <w:rsid w:val="00756AF2"/>
    <w:rsid w:val="007573DE"/>
    <w:rsid w:val="00757898"/>
    <w:rsid w:val="00757CE9"/>
    <w:rsid w:val="007611DC"/>
    <w:rsid w:val="0076161B"/>
    <w:rsid w:val="00761A0C"/>
    <w:rsid w:val="00762680"/>
    <w:rsid w:val="00762CB3"/>
    <w:rsid w:val="00762DD2"/>
    <w:rsid w:val="0076371D"/>
    <w:rsid w:val="007637D5"/>
    <w:rsid w:val="00763B3C"/>
    <w:rsid w:val="00763C8D"/>
    <w:rsid w:val="00763FF0"/>
    <w:rsid w:val="00764142"/>
    <w:rsid w:val="0076502D"/>
    <w:rsid w:val="00765164"/>
    <w:rsid w:val="00765247"/>
    <w:rsid w:val="0076602F"/>
    <w:rsid w:val="0076627B"/>
    <w:rsid w:val="007668B8"/>
    <w:rsid w:val="00766D61"/>
    <w:rsid w:val="0076730F"/>
    <w:rsid w:val="00767EE5"/>
    <w:rsid w:val="00770116"/>
    <w:rsid w:val="007703A6"/>
    <w:rsid w:val="0077059B"/>
    <w:rsid w:val="00770ABF"/>
    <w:rsid w:val="00771ED7"/>
    <w:rsid w:val="00772CF9"/>
    <w:rsid w:val="007738FC"/>
    <w:rsid w:val="007747CB"/>
    <w:rsid w:val="0077505A"/>
    <w:rsid w:val="007759F1"/>
    <w:rsid w:val="00775CA0"/>
    <w:rsid w:val="007764C8"/>
    <w:rsid w:val="0077714C"/>
    <w:rsid w:val="007773EF"/>
    <w:rsid w:val="007775A8"/>
    <w:rsid w:val="00777FC3"/>
    <w:rsid w:val="007801B5"/>
    <w:rsid w:val="0078053D"/>
    <w:rsid w:val="007812A5"/>
    <w:rsid w:val="007817AF"/>
    <w:rsid w:val="00781D49"/>
    <w:rsid w:val="007825D1"/>
    <w:rsid w:val="0078290A"/>
    <w:rsid w:val="00782BA6"/>
    <w:rsid w:val="00782D0A"/>
    <w:rsid w:val="00783A42"/>
    <w:rsid w:val="00783A81"/>
    <w:rsid w:val="00783BDA"/>
    <w:rsid w:val="00784207"/>
    <w:rsid w:val="00784D04"/>
    <w:rsid w:val="00786067"/>
    <w:rsid w:val="007861D4"/>
    <w:rsid w:val="00786532"/>
    <w:rsid w:val="00786980"/>
    <w:rsid w:val="00787C5B"/>
    <w:rsid w:val="00787E48"/>
    <w:rsid w:val="0079022E"/>
    <w:rsid w:val="007902F8"/>
    <w:rsid w:val="007906A2"/>
    <w:rsid w:val="007907B3"/>
    <w:rsid w:val="00790E0B"/>
    <w:rsid w:val="007911EE"/>
    <w:rsid w:val="007917E7"/>
    <w:rsid w:val="00791C4B"/>
    <w:rsid w:val="00792CFA"/>
    <w:rsid w:val="00793249"/>
    <w:rsid w:val="0079371B"/>
    <w:rsid w:val="00793EA5"/>
    <w:rsid w:val="00794205"/>
    <w:rsid w:val="007942A4"/>
    <w:rsid w:val="007945A8"/>
    <w:rsid w:val="00794784"/>
    <w:rsid w:val="00794A51"/>
    <w:rsid w:val="00794C5B"/>
    <w:rsid w:val="007950F3"/>
    <w:rsid w:val="0079538B"/>
    <w:rsid w:val="007953F8"/>
    <w:rsid w:val="007962C7"/>
    <w:rsid w:val="0079686D"/>
    <w:rsid w:val="0079695B"/>
    <w:rsid w:val="00797883"/>
    <w:rsid w:val="00797E45"/>
    <w:rsid w:val="00797EE4"/>
    <w:rsid w:val="00797F89"/>
    <w:rsid w:val="007A0AE3"/>
    <w:rsid w:val="007A0C7D"/>
    <w:rsid w:val="007A0E92"/>
    <w:rsid w:val="007A1C9B"/>
    <w:rsid w:val="007A1F51"/>
    <w:rsid w:val="007A22B1"/>
    <w:rsid w:val="007A232B"/>
    <w:rsid w:val="007A28AC"/>
    <w:rsid w:val="007A2FFB"/>
    <w:rsid w:val="007A3F9F"/>
    <w:rsid w:val="007A4409"/>
    <w:rsid w:val="007A47B1"/>
    <w:rsid w:val="007A50F3"/>
    <w:rsid w:val="007A519B"/>
    <w:rsid w:val="007A5A08"/>
    <w:rsid w:val="007A5A85"/>
    <w:rsid w:val="007A5DF7"/>
    <w:rsid w:val="007A64E3"/>
    <w:rsid w:val="007A676F"/>
    <w:rsid w:val="007A6AFB"/>
    <w:rsid w:val="007A6DE6"/>
    <w:rsid w:val="007A6FBD"/>
    <w:rsid w:val="007A73D0"/>
    <w:rsid w:val="007A7599"/>
    <w:rsid w:val="007A78A3"/>
    <w:rsid w:val="007A7DB0"/>
    <w:rsid w:val="007B0053"/>
    <w:rsid w:val="007B072E"/>
    <w:rsid w:val="007B0BD9"/>
    <w:rsid w:val="007B1609"/>
    <w:rsid w:val="007B1F7C"/>
    <w:rsid w:val="007B26AA"/>
    <w:rsid w:val="007B29A8"/>
    <w:rsid w:val="007B29AE"/>
    <w:rsid w:val="007B29C9"/>
    <w:rsid w:val="007B2ED3"/>
    <w:rsid w:val="007B35AD"/>
    <w:rsid w:val="007B3B7F"/>
    <w:rsid w:val="007B4073"/>
    <w:rsid w:val="007B4126"/>
    <w:rsid w:val="007B4A64"/>
    <w:rsid w:val="007B5267"/>
    <w:rsid w:val="007B5557"/>
    <w:rsid w:val="007B568C"/>
    <w:rsid w:val="007B5869"/>
    <w:rsid w:val="007B59C2"/>
    <w:rsid w:val="007B61DE"/>
    <w:rsid w:val="007B738D"/>
    <w:rsid w:val="007B7556"/>
    <w:rsid w:val="007B7702"/>
    <w:rsid w:val="007B7741"/>
    <w:rsid w:val="007B7C98"/>
    <w:rsid w:val="007C0009"/>
    <w:rsid w:val="007C0AD1"/>
    <w:rsid w:val="007C0FE7"/>
    <w:rsid w:val="007C156B"/>
    <w:rsid w:val="007C161A"/>
    <w:rsid w:val="007C1B73"/>
    <w:rsid w:val="007C1DC1"/>
    <w:rsid w:val="007C25D1"/>
    <w:rsid w:val="007C2A5E"/>
    <w:rsid w:val="007C2DC9"/>
    <w:rsid w:val="007C339B"/>
    <w:rsid w:val="007C3ED8"/>
    <w:rsid w:val="007C541B"/>
    <w:rsid w:val="007C58D2"/>
    <w:rsid w:val="007C6666"/>
    <w:rsid w:val="007C6AD7"/>
    <w:rsid w:val="007C6AF9"/>
    <w:rsid w:val="007C6DFF"/>
    <w:rsid w:val="007C7734"/>
    <w:rsid w:val="007C7868"/>
    <w:rsid w:val="007C791A"/>
    <w:rsid w:val="007D051F"/>
    <w:rsid w:val="007D0A4D"/>
    <w:rsid w:val="007D0DF5"/>
    <w:rsid w:val="007D1DDC"/>
    <w:rsid w:val="007D3589"/>
    <w:rsid w:val="007D35CF"/>
    <w:rsid w:val="007D3833"/>
    <w:rsid w:val="007D3F88"/>
    <w:rsid w:val="007D4545"/>
    <w:rsid w:val="007D45B2"/>
    <w:rsid w:val="007D50AC"/>
    <w:rsid w:val="007D50D1"/>
    <w:rsid w:val="007D5103"/>
    <w:rsid w:val="007D52D9"/>
    <w:rsid w:val="007D542B"/>
    <w:rsid w:val="007D5774"/>
    <w:rsid w:val="007D64B9"/>
    <w:rsid w:val="007D65EE"/>
    <w:rsid w:val="007D6CF8"/>
    <w:rsid w:val="007D70F8"/>
    <w:rsid w:val="007D71BA"/>
    <w:rsid w:val="007D74CF"/>
    <w:rsid w:val="007D7A03"/>
    <w:rsid w:val="007E0D8D"/>
    <w:rsid w:val="007E12E7"/>
    <w:rsid w:val="007E16BE"/>
    <w:rsid w:val="007E23C0"/>
    <w:rsid w:val="007E2987"/>
    <w:rsid w:val="007E417E"/>
    <w:rsid w:val="007E4446"/>
    <w:rsid w:val="007E4CFE"/>
    <w:rsid w:val="007E525F"/>
    <w:rsid w:val="007E5F68"/>
    <w:rsid w:val="007E619D"/>
    <w:rsid w:val="007E6834"/>
    <w:rsid w:val="007E6FBB"/>
    <w:rsid w:val="007E73FD"/>
    <w:rsid w:val="007E7622"/>
    <w:rsid w:val="007E7651"/>
    <w:rsid w:val="007E78B6"/>
    <w:rsid w:val="007E7D01"/>
    <w:rsid w:val="007F061D"/>
    <w:rsid w:val="007F0D1E"/>
    <w:rsid w:val="007F1B1F"/>
    <w:rsid w:val="007F1DAD"/>
    <w:rsid w:val="007F2138"/>
    <w:rsid w:val="007F236B"/>
    <w:rsid w:val="007F2D91"/>
    <w:rsid w:val="007F38A4"/>
    <w:rsid w:val="007F3DAB"/>
    <w:rsid w:val="007F474A"/>
    <w:rsid w:val="007F4BAF"/>
    <w:rsid w:val="007F4D72"/>
    <w:rsid w:val="007F5962"/>
    <w:rsid w:val="007F6A71"/>
    <w:rsid w:val="007F7163"/>
    <w:rsid w:val="007F787C"/>
    <w:rsid w:val="007F7E5C"/>
    <w:rsid w:val="007F7F21"/>
    <w:rsid w:val="008003FA"/>
    <w:rsid w:val="0080086D"/>
    <w:rsid w:val="00800E79"/>
    <w:rsid w:val="00800E7A"/>
    <w:rsid w:val="008011AA"/>
    <w:rsid w:val="008011C0"/>
    <w:rsid w:val="008011E9"/>
    <w:rsid w:val="00802C64"/>
    <w:rsid w:val="00802CA1"/>
    <w:rsid w:val="008034D2"/>
    <w:rsid w:val="00803558"/>
    <w:rsid w:val="008037DC"/>
    <w:rsid w:val="00803818"/>
    <w:rsid w:val="00803F40"/>
    <w:rsid w:val="00803F75"/>
    <w:rsid w:val="00804064"/>
    <w:rsid w:val="008046A0"/>
    <w:rsid w:val="00804A64"/>
    <w:rsid w:val="00804AFF"/>
    <w:rsid w:val="0080501D"/>
    <w:rsid w:val="008053A3"/>
    <w:rsid w:val="008059B6"/>
    <w:rsid w:val="008060F1"/>
    <w:rsid w:val="008064A4"/>
    <w:rsid w:val="00806B0A"/>
    <w:rsid w:val="008078A6"/>
    <w:rsid w:val="00807946"/>
    <w:rsid w:val="00807D37"/>
    <w:rsid w:val="00810213"/>
    <w:rsid w:val="008103F1"/>
    <w:rsid w:val="0081064A"/>
    <w:rsid w:val="00810A66"/>
    <w:rsid w:val="00810AB9"/>
    <w:rsid w:val="00810DFB"/>
    <w:rsid w:val="00811251"/>
    <w:rsid w:val="0081134D"/>
    <w:rsid w:val="008114AB"/>
    <w:rsid w:val="00811EB5"/>
    <w:rsid w:val="008129A4"/>
    <w:rsid w:val="00812A45"/>
    <w:rsid w:val="0081312D"/>
    <w:rsid w:val="00813634"/>
    <w:rsid w:val="0081373E"/>
    <w:rsid w:val="00813B2A"/>
    <w:rsid w:val="00813DB7"/>
    <w:rsid w:val="008143DE"/>
    <w:rsid w:val="00814401"/>
    <w:rsid w:val="00814BB3"/>
    <w:rsid w:val="00814EFC"/>
    <w:rsid w:val="00815045"/>
    <w:rsid w:val="0081519D"/>
    <w:rsid w:val="008159F3"/>
    <w:rsid w:val="0081602F"/>
    <w:rsid w:val="00816545"/>
    <w:rsid w:val="00816550"/>
    <w:rsid w:val="0081667F"/>
    <w:rsid w:val="00816CE3"/>
    <w:rsid w:val="008173A0"/>
    <w:rsid w:val="008176C7"/>
    <w:rsid w:val="00817C7B"/>
    <w:rsid w:val="00817F51"/>
    <w:rsid w:val="008206B8"/>
    <w:rsid w:val="0082078E"/>
    <w:rsid w:val="00821295"/>
    <w:rsid w:val="00821E51"/>
    <w:rsid w:val="00822147"/>
    <w:rsid w:val="008224BB"/>
    <w:rsid w:val="008226E9"/>
    <w:rsid w:val="00822DB5"/>
    <w:rsid w:val="00822EBB"/>
    <w:rsid w:val="0082305C"/>
    <w:rsid w:val="008233FA"/>
    <w:rsid w:val="008242DA"/>
    <w:rsid w:val="0082452C"/>
    <w:rsid w:val="00824C78"/>
    <w:rsid w:val="00826161"/>
    <w:rsid w:val="008270C0"/>
    <w:rsid w:val="0082713A"/>
    <w:rsid w:val="00827321"/>
    <w:rsid w:val="00827662"/>
    <w:rsid w:val="00827913"/>
    <w:rsid w:val="00830999"/>
    <w:rsid w:val="00830A33"/>
    <w:rsid w:val="00830B3F"/>
    <w:rsid w:val="0083156C"/>
    <w:rsid w:val="008327E7"/>
    <w:rsid w:val="008328AE"/>
    <w:rsid w:val="00832A51"/>
    <w:rsid w:val="00832BF6"/>
    <w:rsid w:val="00833347"/>
    <w:rsid w:val="0083356F"/>
    <w:rsid w:val="00833579"/>
    <w:rsid w:val="0083365C"/>
    <w:rsid w:val="00833684"/>
    <w:rsid w:val="008338D0"/>
    <w:rsid w:val="00833F0C"/>
    <w:rsid w:val="00834095"/>
    <w:rsid w:val="00834289"/>
    <w:rsid w:val="008342CB"/>
    <w:rsid w:val="008345C7"/>
    <w:rsid w:val="00834ED4"/>
    <w:rsid w:val="00835044"/>
    <w:rsid w:val="008359AF"/>
    <w:rsid w:val="00835E68"/>
    <w:rsid w:val="00836316"/>
    <w:rsid w:val="0083637C"/>
    <w:rsid w:val="008363F2"/>
    <w:rsid w:val="00836DC6"/>
    <w:rsid w:val="0083742E"/>
    <w:rsid w:val="0084076F"/>
    <w:rsid w:val="008407D9"/>
    <w:rsid w:val="00840D21"/>
    <w:rsid w:val="008415C3"/>
    <w:rsid w:val="00841C23"/>
    <w:rsid w:val="008424E1"/>
    <w:rsid w:val="00842688"/>
    <w:rsid w:val="00842823"/>
    <w:rsid w:val="00842C52"/>
    <w:rsid w:val="00842F01"/>
    <w:rsid w:val="00843370"/>
    <w:rsid w:val="008435AD"/>
    <w:rsid w:val="0084455D"/>
    <w:rsid w:val="0084456C"/>
    <w:rsid w:val="008446B2"/>
    <w:rsid w:val="00844904"/>
    <w:rsid w:val="008449A9"/>
    <w:rsid w:val="008451A6"/>
    <w:rsid w:val="00845793"/>
    <w:rsid w:val="00846C32"/>
    <w:rsid w:val="00846ECC"/>
    <w:rsid w:val="0084749B"/>
    <w:rsid w:val="0084779D"/>
    <w:rsid w:val="00847866"/>
    <w:rsid w:val="00847EF4"/>
    <w:rsid w:val="008503AC"/>
    <w:rsid w:val="008514C1"/>
    <w:rsid w:val="00851B04"/>
    <w:rsid w:val="0085250F"/>
    <w:rsid w:val="00852827"/>
    <w:rsid w:val="00853558"/>
    <w:rsid w:val="00853864"/>
    <w:rsid w:val="00853868"/>
    <w:rsid w:val="0085391A"/>
    <w:rsid w:val="00853B4A"/>
    <w:rsid w:val="0085407B"/>
    <w:rsid w:val="008541CB"/>
    <w:rsid w:val="008542F0"/>
    <w:rsid w:val="00854F96"/>
    <w:rsid w:val="00855363"/>
    <w:rsid w:val="0085547D"/>
    <w:rsid w:val="00855894"/>
    <w:rsid w:val="0085592E"/>
    <w:rsid w:val="00855BC2"/>
    <w:rsid w:val="00855E61"/>
    <w:rsid w:val="0085644E"/>
    <w:rsid w:val="008564BF"/>
    <w:rsid w:val="00856727"/>
    <w:rsid w:val="0085681C"/>
    <w:rsid w:val="00856AEB"/>
    <w:rsid w:val="00857136"/>
    <w:rsid w:val="00857582"/>
    <w:rsid w:val="008577B2"/>
    <w:rsid w:val="00860304"/>
    <w:rsid w:val="0086033C"/>
    <w:rsid w:val="00860CEF"/>
    <w:rsid w:val="00861657"/>
    <w:rsid w:val="00861661"/>
    <w:rsid w:val="00861A2C"/>
    <w:rsid w:val="00861E5B"/>
    <w:rsid w:val="008625C9"/>
    <w:rsid w:val="00862DCF"/>
    <w:rsid w:val="00864473"/>
    <w:rsid w:val="00864481"/>
    <w:rsid w:val="00864E7D"/>
    <w:rsid w:val="0086568E"/>
    <w:rsid w:val="0086582B"/>
    <w:rsid w:val="008658F1"/>
    <w:rsid w:val="0086611D"/>
    <w:rsid w:val="00866528"/>
    <w:rsid w:val="00866765"/>
    <w:rsid w:val="008673E3"/>
    <w:rsid w:val="0086772E"/>
    <w:rsid w:val="00867EEA"/>
    <w:rsid w:val="008705FA"/>
    <w:rsid w:val="00870C07"/>
    <w:rsid w:val="008712E4"/>
    <w:rsid w:val="008718F7"/>
    <w:rsid w:val="00871E41"/>
    <w:rsid w:val="00872022"/>
    <w:rsid w:val="00872AD4"/>
    <w:rsid w:val="00872ADF"/>
    <w:rsid w:val="00872DD4"/>
    <w:rsid w:val="0087336B"/>
    <w:rsid w:val="00873673"/>
    <w:rsid w:val="00873CC2"/>
    <w:rsid w:val="00873D08"/>
    <w:rsid w:val="00874D18"/>
    <w:rsid w:val="00874EB0"/>
    <w:rsid w:val="00875043"/>
    <w:rsid w:val="008756C8"/>
    <w:rsid w:val="0087587C"/>
    <w:rsid w:val="0087609D"/>
    <w:rsid w:val="008762D2"/>
    <w:rsid w:val="008772BE"/>
    <w:rsid w:val="008778E2"/>
    <w:rsid w:val="00877CA9"/>
    <w:rsid w:val="00877DFC"/>
    <w:rsid w:val="008802D3"/>
    <w:rsid w:val="00880543"/>
    <w:rsid w:val="008809E4"/>
    <w:rsid w:val="00881108"/>
    <w:rsid w:val="00881406"/>
    <w:rsid w:val="00881550"/>
    <w:rsid w:val="00881766"/>
    <w:rsid w:val="00881786"/>
    <w:rsid w:val="00881BBA"/>
    <w:rsid w:val="008821FC"/>
    <w:rsid w:val="00882264"/>
    <w:rsid w:val="008827B8"/>
    <w:rsid w:val="00882E02"/>
    <w:rsid w:val="00883738"/>
    <w:rsid w:val="00884425"/>
    <w:rsid w:val="00884AFA"/>
    <w:rsid w:val="00884DC1"/>
    <w:rsid w:val="00885B80"/>
    <w:rsid w:val="00885C99"/>
    <w:rsid w:val="008868CA"/>
    <w:rsid w:val="00886F3D"/>
    <w:rsid w:val="00886FE4"/>
    <w:rsid w:val="008904EE"/>
    <w:rsid w:val="00890566"/>
    <w:rsid w:val="00890A4C"/>
    <w:rsid w:val="00890BE5"/>
    <w:rsid w:val="00890F7F"/>
    <w:rsid w:val="00891951"/>
    <w:rsid w:val="00891D04"/>
    <w:rsid w:val="00891EB3"/>
    <w:rsid w:val="00892420"/>
    <w:rsid w:val="008926A9"/>
    <w:rsid w:val="00893474"/>
    <w:rsid w:val="00893AE7"/>
    <w:rsid w:val="00893B17"/>
    <w:rsid w:val="00894802"/>
    <w:rsid w:val="00894EF8"/>
    <w:rsid w:val="00895D29"/>
    <w:rsid w:val="00896B04"/>
    <w:rsid w:val="008970D0"/>
    <w:rsid w:val="00897A71"/>
    <w:rsid w:val="008A006D"/>
    <w:rsid w:val="008A03C6"/>
    <w:rsid w:val="008A0542"/>
    <w:rsid w:val="008A08E1"/>
    <w:rsid w:val="008A1D2A"/>
    <w:rsid w:val="008A1D7B"/>
    <w:rsid w:val="008A22EE"/>
    <w:rsid w:val="008A2A45"/>
    <w:rsid w:val="008A2A70"/>
    <w:rsid w:val="008A2C76"/>
    <w:rsid w:val="008A2F35"/>
    <w:rsid w:val="008A2F79"/>
    <w:rsid w:val="008A30FE"/>
    <w:rsid w:val="008A34C5"/>
    <w:rsid w:val="008A368A"/>
    <w:rsid w:val="008A3851"/>
    <w:rsid w:val="008A3A0D"/>
    <w:rsid w:val="008A3B4C"/>
    <w:rsid w:val="008A3EBA"/>
    <w:rsid w:val="008A42AE"/>
    <w:rsid w:val="008A4771"/>
    <w:rsid w:val="008A492A"/>
    <w:rsid w:val="008A539F"/>
    <w:rsid w:val="008A55F7"/>
    <w:rsid w:val="008A62AB"/>
    <w:rsid w:val="008A62EB"/>
    <w:rsid w:val="008A6620"/>
    <w:rsid w:val="008A6C41"/>
    <w:rsid w:val="008A6DA9"/>
    <w:rsid w:val="008A718F"/>
    <w:rsid w:val="008A74C0"/>
    <w:rsid w:val="008A774A"/>
    <w:rsid w:val="008A7D98"/>
    <w:rsid w:val="008B002C"/>
    <w:rsid w:val="008B0315"/>
    <w:rsid w:val="008B049D"/>
    <w:rsid w:val="008B0C5E"/>
    <w:rsid w:val="008B0D2F"/>
    <w:rsid w:val="008B1613"/>
    <w:rsid w:val="008B17E7"/>
    <w:rsid w:val="008B1B37"/>
    <w:rsid w:val="008B2B35"/>
    <w:rsid w:val="008B30E5"/>
    <w:rsid w:val="008B34EA"/>
    <w:rsid w:val="008B3D3F"/>
    <w:rsid w:val="008B3EEA"/>
    <w:rsid w:val="008B4491"/>
    <w:rsid w:val="008B452E"/>
    <w:rsid w:val="008B4E7B"/>
    <w:rsid w:val="008B562A"/>
    <w:rsid w:val="008B57BC"/>
    <w:rsid w:val="008B5D07"/>
    <w:rsid w:val="008B5E44"/>
    <w:rsid w:val="008B672B"/>
    <w:rsid w:val="008B676A"/>
    <w:rsid w:val="008B6D07"/>
    <w:rsid w:val="008C07CB"/>
    <w:rsid w:val="008C0B2B"/>
    <w:rsid w:val="008C1607"/>
    <w:rsid w:val="008C1B05"/>
    <w:rsid w:val="008C24A6"/>
    <w:rsid w:val="008C2941"/>
    <w:rsid w:val="008C2C0D"/>
    <w:rsid w:val="008C3B75"/>
    <w:rsid w:val="008C4532"/>
    <w:rsid w:val="008C4E0A"/>
    <w:rsid w:val="008C52E3"/>
    <w:rsid w:val="008C5D21"/>
    <w:rsid w:val="008C6737"/>
    <w:rsid w:val="008C710C"/>
    <w:rsid w:val="008C72AC"/>
    <w:rsid w:val="008C74AA"/>
    <w:rsid w:val="008C7A87"/>
    <w:rsid w:val="008C7D39"/>
    <w:rsid w:val="008C7E96"/>
    <w:rsid w:val="008D03FB"/>
    <w:rsid w:val="008D077A"/>
    <w:rsid w:val="008D0DB0"/>
    <w:rsid w:val="008D0E17"/>
    <w:rsid w:val="008D10FF"/>
    <w:rsid w:val="008D1B61"/>
    <w:rsid w:val="008D1E93"/>
    <w:rsid w:val="008D23D8"/>
    <w:rsid w:val="008D23E3"/>
    <w:rsid w:val="008D2766"/>
    <w:rsid w:val="008D283F"/>
    <w:rsid w:val="008D33BC"/>
    <w:rsid w:val="008D3E68"/>
    <w:rsid w:val="008D44D6"/>
    <w:rsid w:val="008D473B"/>
    <w:rsid w:val="008D5032"/>
    <w:rsid w:val="008D5B7C"/>
    <w:rsid w:val="008D6362"/>
    <w:rsid w:val="008D65E9"/>
    <w:rsid w:val="008D6C1D"/>
    <w:rsid w:val="008D71EE"/>
    <w:rsid w:val="008D7757"/>
    <w:rsid w:val="008D7C5D"/>
    <w:rsid w:val="008E0A22"/>
    <w:rsid w:val="008E1BC7"/>
    <w:rsid w:val="008E1C5B"/>
    <w:rsid w:val="008E223A"/>
    <w:rsid w:val="008E25E3"/>
    <w:rsid w:val="008E275F"/>
    <w:rsid w:val="008E2ABB"/>
    <w:rsid w:val="008E3047"/>
    <w:rsid w:val="008E307A"/>
    <w:rsid w:val="008E53BA"/>
    <w:rsid w:val="008E6121"/>
    <w:rsid w:val="008E6228"/>
    <w:rsid w:val="008E62DF"/>
    <w:rsid w:val="008E63C7"/>
    <w:rsid w:val="008E63F2"/>
    <w:rsid w:val="008E646D"/>
    <w:rsid w:val="008E69C1"/>
    <w:rsid w:val="008E6B6F"/>
    <w:rsid w:val="008E7143"/>
    <w:rsid w:val="008E7775"/>
    <w:rsid w:val="008E7BA4"/>
    <w:rsid w:val="008E7F94"/>
    <w:rsid w:val="008F047F"/>
    <w:rsid w:val="008F051B"/>
    <w:rsid w:val="008F0BEF"/>
    <w:rsid w:val="008F182E"/>
    <w:rsid w:val="008F1BB0"/>
    <w:rsid w:val="008F25F8"/>
    <w:rsid w:val="008F2DC3"/>
    <w:rsid w:val="008F3850"/>
    <w:rsid w:val="008F3A7A"/>
    <w:rsid w:val="008F4040"/>
    <w:rsid w:val="008F43C2"/>
    <w:rsid w:val="008F4615"/>
    <w:rsid w:val="008F4B09"/>
    <w:rsid w:val="008F4BD8"/>
    <w:rsid w:val="008F5238"/>
    <w:rsid w:val="008F5309"/>
    <w:rsid w:val="008F5747"/>
    <w:rsid w:val="008F5B2F"/>
    <w:rsid w:val="008F60D8"/>
    <w:rsid w:val="008F63FA"/>
    <w:rsid w:val="008F65DD"/>
    <w:rsid w:val="008F6818"/>
    <w:rsid w:val="008F7346"/>
    <w:rsid w:val="008F73B0"/>
    <w:rsid w:val="008F7593"/>
    <w:rsid w:val="008F76A9"/>
    <w:rsid w:val="008F7FE8"/>
    <w:rsid w:val="00900397"/>
    <w:rsid w:val="00900EAF"/>
    <w:rsid w:val="009014D9"/>
    <w:rsid w:val="009016A1"/>
    <w:rsid w:val="00901BE4"/>
    <w:rsid w:val="00901DAA"/>
    <w:rsid w:val="00901FBE"/>
    <w:rsid w:val="00902200"/>
    <w:rsid w:val="0090301E"/>
    <w:rsid w:val="00903B6A"/>
    <w:rsid w:val="00903E31"/>
    <w:rsid w:val="00904914"/>
    <w:rsid w:val="00904935"/>
    <w:rsid w:val="00904CBD"/>
    <w:rsid w:val="009056C8"/>
    <w:rsid w:val="009057BD"/>
    <w:rsid w:val="00906079"/>
    <w:rsid w:val="009061CF"/>
    <w:rsid w:val="00906CA8"/>
    <w:rsid w:val="00907661"/>
    <w:rsid w:val="009100C5"/>
    <w:rsid w:val="009108A7"/>
    <w:rsid w:val="009110C0"/>
    <w:rsid w:val="00911BF4"/>
    <w:rsid w:val="00912237"/>
    <w:rsid w:val="009133C6"/>
    <w:rsid w:val="009135CC"/>
    <w:rsid w:val="00914B80"/>
    <w:rsid w:val="00914F0E"/>
    <w:rsid w:val="00914F5B"/>
    <w:rsid w:val="009151D8"/>
    <w:rsid w:val="009163FD"/>
    <w:rsid w:val="009168EA"/>
    <w:rsid w:val="009169E1"/>
    <w:rsid w:val="00916E7E"/>
    <w:rsid w:val="009172D7"/>
    <w:rsid w:val="009175C3"/>
    <w:rsid w:val="00917A6E"/>
    <w:rsid w:val="00917F93"/>
    <w:rsid w:val="00921041"/>
    <w:rsid w:val="00921525"/>
    <w:rsid w:val="0092167C"/>
    <w:rsid w:val="0092173B"/>
    <w:rsid w:val="00921B38"/>
    <w:rsid w:val="00921DC2"/>
    <w:rsid w:val="00921E23"/>
    <w:rsid w:val="00921F42"/>
    <w:rsid w:val="0092232B"/>
    <w:rsid w:val="00922540"/>
    <w:rsid w:val="009229D7"/>
    <w:rsid w:val="00923043"/>
    <w:rsid w:val="00923A82"/>
    <w:rsid w:val="009241F3"/>
    <w:rsid w:val="00924466"/>
    <w:rsid w:val="00924A12"/>
    <w:rsid w:val="00924BDE"/>
    <w:rsid w:val="00925EDB"/>
    <w:rsid w:val="00925EE9"/>
    <w:rsid w:val="00927655"/>
    <w:rsid w:val="009305AB"/>
    <w:rsid w:val="00930DCB"/>
    <w:rsid w:val="009310C4"/>
    <w:rsid w:val="00931268"/>
    <w:rsid w:val="00931B5F"/>
    <w:rsid w:val="0093218C"/>
    <w:rsid w:val="009325DA"/>
    <w:rsid w:val="00932D7F"/>
    <w:rsid w:val="009334D3"/>
    <w:rsid w:val="0093382C"/>
    <w:rsid w:val="00933BAE"/>
    <w:rsid w:val="009345CA"/>
    <w:rsid w:val="0093462D"/>
    <w:rsid w:val="009346BD"/>
    <w:rsid w:val="0093538A"/>
    <w:rsid w:val="009356CD"/>
    <w:rsid w:val="00935E12"/>
    <w:rsid w:val="009360CF"/>
    <w:rsid w:val="00936B08"/>
    <w:rsid w:val="00936F14"/>
    <w:rsid w:val="00937510"/>
    <w:rsid w:val="009378BC"/>
    <w:rsid w:val="00940615"/>
    <w:rsid w:val="0094062D"/>
    <w:rsid w:val="009407FD"/>
    <w:rsid w:val="0094154F"/>
    <w:rsid w:val="00941750"/>
    <w:rsid w:val="009438CE"/>
    <w:rsid w:val="009440D2"/>
    <w:rsid w:val="00944264"/>
    <w:rsid w:val="009450BF"/>
    <w:rsid w:val="009459B4"/>
    <w:rsid w:val="00946602"/>
    <w:rsid w:val="0094664F"/>
    <w:rsid w:val="00946894"/>
    <w:rsid w:val="0094736A"/>
    <w:rsid w:val="00947621"/>
    <w:rsid w:val="00947C29"/>
    <w:rsid w:val="00947C32"/>
    <w:rsid w:val="00950014"/>
    <w:rsid w:val="00950EA7"/>
    <w:rsid w:val="009510C9"/>
    <w:rsid w:val="009510FF"/>
    <w:rsid w:val="00951609"/>
    <w:rsid w:val="00951699"/>
    <w:rsid w:val="00951B78"/>
    <w:rsid w:val="00952766"/>
    <w:rsid w:val="00952787"/>
    <w:rsid w:val="009533B6"/>
    <w:rsid w:val="00953562"/>
    <w:rsid w:val="0095378D"/>
    <w:rsid w:val="00953BC3"/>
    <w:rsid w:val="00953C68"/>
    <w:rsid w:val="0095422F"/>
    <w:rsid w:val="00954CCD"/>
    <w:rsid w:val="0095531F"/>
    <w:rsid w:val="0095537E"/>
    <w:rsid w:val="009553F4"/>
    <w:rsid w:val="00955489"/>
    <w:rsid w:val="00955D07"/>
    <w:rsid w:val="009561BB"/>
    <w:rsid w:val="0095677E"/>
    <w:rsid w:val="00956CB4"/>
    <w:rsid w:val="00957366"/>
    <w:rsid w:val="009576B5"/>
    <w:rsid w:val="00957ED8"/>
    <w:rsid w:val="009605CA"/>
    <w:rsid w:val="009605EA"/>
    <w:rsid w:val="009607C0"/>
    <w:rsid w:val="0096154B"/>
    <w:rsid w:val="00961731"/>
    <w:rsid w:val="00961D20"/>
    <w:rsid w:val="00961DB1"/>
    <w:rsid w:val="0096211B"/>
    <w:rsid w:val="009627CF"/>
    <w:rsid w:val="00962BE9"/>
    <w:rsid w:val="00962F7E"/>
    <w:rsid w:val="00963059"/>
    <w:rsid w:val="00963FF4"/>
    <w:rsid w:val="00964072"/>
    <w:rsid w:val="00964262"/>
    <w:rsid w:val="009663B3"/>
    <w:rsid w:val="00966D66"/>
    <w:rsid w:val="009674FA"/>
    <w:rsid w:val="00967B87"/>
    <w:rsid w:val="00967D4F"/>
    <w:rsid w:val="00970412"/>
    <w:rsid w:val="00970EF5"/>
    <w:rsid w:val="0097102A"/>
    <w:rsid w:val="009714B7"/>
    <w:rsid w:val="009716D0"/>
    <w:rsid w:val="009721AA"/>
    <w:rsid w:val="0097250B"/>
    <w:rsid w:val="00972748"/>
    <w:rsid w:val="00972A0C"/>
    <w:rsid w:val="00972C52"/>
    <w:rsid w:val="0097348E"/>
    <w:rsid w:val="00973931"/>
    <w:rsid w:val="00973DE5"/>
    <w:rsid w:val="00974642"/>
    <w:rsid w:val="009746E1"/>
    <w:rsid w:val="00974F9C"/>
    <w:rsid w:val="00975978"/>
    <w:rsid w:val="00975C4C"/>
    <w:rsid w:val="0097608E"/>
    <w:rsid w:val="00976361"/>
    <w:rsid w:val="009763C0"/>
    <w:rsid w:val="0097698D"/>
    <w:rsid w:val="00976E10"/>
    <w:rsid w:val="00977579"/>
    <w:rsid w:val="00977DCD"/>
    <w:rsid w:val="0098033C"/>
    <w:rsid w:val="009805FB"/>
    <w:rsid w:val="00980755"/>
    <w:rsid w:val="00980E49"/>
    <w:rsid w:val="00981645"/>
    <w:rsid w:val="00981B16"/>
    <w:rsid w:val="00981F51"/>
    <w:rsid w:val="0098219B"/>
    <w:rsid w:val="00982214"/>
    <w:rsid w:val="00982F05"/>
    <w:rsid w:val="00982F3F"/>
    <w:rsid w:val="00982F72"/>
    <w:rsid w:val="00983F52"/>
    <w:rsid w:val="00983FDD"/>
    <w:rsid w:val="0098467E"/>
    <w:rsid w:val="00984A3A"/>
    <w:rsid w:val="0098502E"/>
    <w:rsid w:val="0098539B"/>
    <w:rsid w:val="0098594B"/>
    <w:rsid w:val="00985CAD"/>
    <w:rsid w:val="009862AE"/>
    <w:rsid w:val="00986526"/>
    <w:rsid w:val="009865E2"/>
    <w:rsid w:val="0098795D"/>
    <w:rsid w:val="00987C84"/>
    <w:rsid w:val="00987EE6"/>
    <w:rsid w:val="009903F6"/>
    <w:rsid w:val="00990E18"/>
    <w:rsid w:val="00990F20"/>
    <w:rsid w:val="00991200"/>
    <w:rsid w:val="00991831"/>
    <w:rsid w:val="00991ED7"/>
    <w:rsid w:val="00992375"/>
    <w:rsid w:val="00993328"/>
    <w:rsid w:val="0099387D"/>
    <w:rsid w:val="00994A60"/>
    <w:rsid w:val="0099664D"/>
    <w:rsid w:val="009966A0"/>
    <w:rsid w:val="009967A6"/>
    <w:rsid w:val="00996989"/>
    <w:rsid w:val="009977CD"/>
    <w:rsid w:val="00997B0D"/>
    <w:rsid w:val="009A02E6"/>
    <w:rsid w:val="009A03F9"/>
    <w:rsid w:val="009A108A"/>
    <w:rsid w:val="009A1117"/>
    <w:rsid w:val="009A1157"/>
    <w:rsid w:val="009A130F"/>
    <w:rsid w:val="009A1D9E"/>
    <w:rsid w:val="009A37F1"/>
    <w:rsid w:val="009A3EA6"/>
    <w:rsid w:val="009A485A"/>
    <w:rsid w:val="009A51AC"/>
    <w:rsid w:val="009A5B20"/>
    <w:rsid w:val="009A65CF"/>
    <w:rsid w:val="009A6BF8"/>
    <w:rsid w:val="009A7AE0"/>
    <w:rsid w:val="009A7B44"/>
    <w:rsid w:val="009A7E69"/>
    <w:rsid w:val="009B1BCE"/>
    <w:rsid w:val="009B2166"/>
    <w:rsid w:val="009B2959"/>
    <w:rsid w:val="009B2A9B"/>
    <w:rsid w:val="009B2E20"/>
    <w:rsid w:val="009B2F24"/>
    <w:rsid w:val="009B32BD"/>
    <w:rsid w:val="009B3AA8"/>
    <w:rsid w:val="009B3DA7"/>
    <w:rsid w:val="009B43C2"/>
    <w:rsid w:val="009B47A4"/>
    <w:rsid w:val="009B4813"/>
    <w:rsid w:val="009B48B3"/>
    <w:rsid w:val="009B57E1"/>
    <w:rsid w:val="009B5BD4"/>
    <w:rsid w:val="009B5CC6"/>
    <w:rsid w:val="009B5F0F"/>
    <w:rsid w:val="009B6C18"/>
    <w:rsid w:val="009B7A73"/>
    <w:rsid w:val="009C0E64"/>
    <w:rsid w:val="009C0EF2"/>
    <w:rsid w:val="009C2021"/>
    <w:rsid w:val="009C27E9"/>
    <w:rsid w:val="009C321F"/>
    <w:rsid w:val="009C37E1"/>
    <w:rsid w:val="009C5FA6"/>
    <w:rsid w:val="009C6368"/>
    <w:rsid w:val="009C7537"/>
    <w:rsid w:val="009C77A2"/>
    <w:rsid w:val="009C793B"/>
    <w:rsid w:val="009C7E29"/>
    <w:rsid w:val="009D02C0"/>
    <w:rsid w:val="009D1111"/>
    <w:rsid w:val="009D1715"/>
    <w:rsid w:val="009D1953"/>
    <w:rsid w:val="009D1B14"/>
    <w:rsid w:val="009D2240"/>
    <w:rsid w:val="009D2790"/>
    <w:rsid w:val="009D2E98"/>
    <w:rsid w:val="009D335A"/>
    <w:rsid w:val="009D378B"/>
    <w:rsid w:val="009D3ED2"/>
    <w:rsid w:val="009D4852"/>
    <w:rsid w:val="009D4D66"/>
    <w:rsid w:val="009D696D"/>
    <w:rsid w:val="009D6C49"/>
    <w:rsid w:val="009D6C6C"/>
    <w:rsid w:val="009D6E50"/>
    <w:rsid w:val="009D7071"/>
    <w:rsid w:val="009D7103"/>
    <w:rsid w:val="009E110F"/>
    <w:rsid w:val="009E1221"/>
    <w:rsid w:val="009E15B5"/>
    <w:rsid w:val="009E2794"/>
    <w:rsid w:val="009E2822"/>
    <w:rsid w:val="009E3798"/>
    <w:rsid w:val="009E3A32"/>
    <w:rsid w:val="009E3E55"/>
    <w:rsid w:val="009E408C"/>
    <w:rsid w:val="009E41FA"/>
    <w:rsid w:val="009E46B4"/>
    <w:rsid w:val="009E4AD9"/>
    <w:rsid w:val="009E4EB3"/>
    <w:rsid w:val="009E5312"/>
    <w:rsid w:val="009E54DE"/>
    <w:rsid w:val="009E57BB"/>
    <w:rsid w:val="009E5AE9"/>
    <w:rsid w:val="009E5C0E"/>
    <w:rsid w:val="009E6031"/>
    <w:rsid w:val="009E6382"/>
    <w:rsid w:val="009E664D"/>
    <w:rsid w:val="009E684D"/>
    <w:rsid w:val="009E758E"/>
    <w:rsid w:val="009F0690"/>
    <w:rsid w:val="009F0B08"/>
    <w:rsid w:val="009F0EDC"/>
    <w:rsid w:val="009F1693"/>
    <w:rsid w:val="009F16C0"/>
    <w:rsid w:val="009F1723"/>
    <w:rsid w:val="009F2477"/>
    <w:rsid w:val="009F2D9C"/>
    <w:rsid w:val="009F2E56"/>
    <w:rsid w:val="009F304A"/>
    <w:rsid w:val="009F3763"/>
    <w:rsid w:val="009F3E4A"/>
    <w:rsid w:val="009F403B"/>
    <w:rsid w:val="009F4240"/>
    <w:rsid w:val="009F45FA"/>
    <w:rsid w:val="009F4761"/>
    <w:rsid w:val="009F606E"/>
    <w:rsid w:val="009F62A5"/>
    <w:rsid w:val="009F6376"/>
    <w:rsid w:val="009F69EF"/>
    <w:rsid w:val="009F71B1"/>
    <w:rsid w:val="009F7E1B"/>
    <w:rsid w:val="00A00023"/>
    <w:rsid w:val="00A00184"/>
    <w:rsid w:val="00A00253"/>
    <w:rsid w:val="00A0148D"/>
    <w:rsid w:val="00A01794"/>
    <w:rsid w:val="00A01FD5"/>
    <w:rsid w:val="00A02067"/>
    <w:rsid w:val="00A022CA"/>
    <w:rsid w:val="00A02AFA"/>
    <w:rsid w:val="00A0400B"/>
    <w:rsid w:val="00A0417B"/>
    <w:rsid w:val="00A046DE"/>
    <w:rsid w:val="00A04820"/>
    <w:rsid w:val="00A04D81"/>
    <w:rsid w:val="00A05167"/>
    <w:rsid w:val="00A0522C"/>
    <w:rsid w:val="00A052BB"/>
    <w:rsid w:val="00A06467"/>
    <w:rsid w:val="00A077FC"/>
    <w:rsid w:val="00A07F2F"/>
    <w:rsid w:val="00A104BD"/>
    <w:rsid w:val="00A10534"/>
    <w:rsid w:val="00A10A83"/>
    <w:rsid w:val="00A10D98"/>
    <w:rsid w:val="00A10E19"/>
    <w:rsid w:val="00A11DC7"/>
    <w:rsid w:val="00A1217C"/>
    <w:rsid w:val="00A1249B"/>
    <w:rsid w:val="00A128BE"/>
    <w:rsid w:val="00A12AEE"/>
    <w:rsid w:val="00A12FF6"/>
    <w:rsid w:val="00A13967"/>
    <w:rsid w:val="00A13ADC"/>
    <w:rsid w:val="00A145E2"/>
    <w:rsid w:val="00A14828"/>
    <w:rsid w:val="00A14940"/>
    <w:rsid w:val="00A14C86"/>
    <w:rsid w:val="00A14D32"/>
    <w:rsid w:val="00A158D3"/>
    <w:rsid w:val="00A15F4A"/>
    <w:rsid w:val="00A1613E"/>
    <w:rsid w:val="00A163CF"/>
    <w:rsid w:val="00A16A1A"/>
    <w:rsid w:val="00A16D19"/>
    <w:rsid w:val="00A16E77"/>
    <w:rsid w:val="00A1713E"/>
    <w:rsid w:val="00A17F8C"/>
    <w:rsid w:val="00A203B0"/>
    <w:rsid w:val="00A20A8A"/>
    <w:rsid w:val="00A20C8C"/>
    <w:rsid w:val="00A2137B"/>
    <w:rsid w:val="00A21685"/>
    <w:rsid w:val="00A21B97"/>
    <w:rsid w:val="00A226D7"/>
    <w:rsid w:val="00A227F1"/>
    <w:rsid w:val="00A22A11"/>
    <w:rsid w:val="00A22EB5"/>
    <w:rsid w:val="00A22F9C"/>
    <w:rsid w:val="00A23050"/>
    <w:rsid w:val="00A23620"/>
    <w:rsid w:val="00A23B21"/>
    <w:rsid w:val="00A23C93"/>
    <w:rsid w:val="00A23DCA"/>
    <w:rsid w:val="00A23E5B"/>
    <w:rsid w:val="00A2450D"/>
    <w:rsid w:val="00A259B8"/>
    <w:rsid w:val="00A25CA9"/>
    <w:rsid w:val="00A26057"/>
    <w:rsid w:val="00A26CDC"/>
    <w:rsid w:val="00A26EF5"/>
    <w:rsid w:val="00A278B9"/>
    <w:rsid w:val="00A306C9"/>
    <w:rsid w:val="00A3096E"/>
    <w:rsid w:val="00A309EA"/>
    <w:rsid w:val="00A318B6"/>
    <w:rsid w:val="00A31A05"/>
    <w:rsid w:val="00A32A67"/>
    <w:rsid w:val="00A32AD2"/>
    <w:rsid w:val="00A32D12"/>
    <w:rsid w:val="00A32DF1"/>
    <w:rsid w:val="00A32E38"/>
    <w:rsid w:val="00A33360"/>
    <w:rsid w:val="00A334C2"/>
    <w:rsid w:val="00A33C00"/>
    <w:rsid w:val="00A341BD"/>
    <w:rsid w:val="00A34E26"/>
    <w:rsid w:val="00A35182"/>
    <w:rsid w:val="00A35278"/>
    <w:rsid w:val="00A35EF8"/>
    <w:rsid w:val="00A36254"/>
    <w:rsid w:val="00A36EB6"/>
    <w:rsid w:val="00A37C92"/>
    <w:rsid w:val="00A37E54"/>
    <w:rsid w:val="00A400DC"/>
    <w:rsid w:val="00A401B5"/>
    <w:rsid w:val="00A401C9"/>
    <w:rsid w:val="00A40897"/>
    <w:rsid w:val="00A40FB2"/>
    <w:rsid w:val="00A41100"/>
    <w:rsid w:val="00A41841"/>
    <w:rsid w:val="00A41AA0"/>
    <w:rsid w:val="00A41DD4"/>
    <w:rsid w:val="00A4255F"/>
    <w:rsid w:val="00A436D5"/>
    <w:rsid w:val="00A43E85"/>
    <w:rsid w:val="00A43F3E"/>
    <w:rsid w:val="00A44076"/>
    <w:rsid w:val="00A440CF"/>
    <w:rsid w:val="00A44BF4"/>
    <w:rsid w:val="00A44C65"/>
    <w:rsid w:val="00A451F5"/>
    <w:rsid w:val="00A45E79"/>
    <w:rsid w:val="00A46208"/>
    <w:rsid w:val="00A46C26"/>
    <w:rsid w:val="00A4713B"/>
    <w:rsid w:val="00A4739D"/>
    <w:rsid w:val="00A47B0E"/>
    <w:rsid w:val="00A505AA"/>
    <w:rsid w:val="00A50B24"/>
    <w:rsid w:val="00A52078"/>
    <w:rsid w:val="00A52149"/>
    <w:rsid w:val="00A528D5"/>
    <w:rsid w:val="00A52979"/>
    <w:rsid w:val="00A532DD"/>
    <w:rsid w:val="00A536D8"/>
    <w:rsid w:val="00A539E4"/>
    <w:rsid w:val="00A540C8"/>
    <w:rsid w:val="00A5453C"/>
    <w:rsid w:val="00A54842"/>
    <w:rsid w:val="00A54DC5"/>
    <w:rsid w:val="00A551D3"/>
    <w:rsid w:val="00A553CC"/>
    <w:rsid w:val="00A55613"/>
    <w:rsid w:val="00A558A4"/>
    <w:rsid w:val="00A55D0B"/>
    <w:rsid w:val="00A56984"/>
    <w:rsid w:val="00A56B3C"/>
    <w:rsid w:val="00A5721B"/>
    <w:rsid w:val="00A574D4"/>
    <w:rsid w:val="00A60422"/>
    <w:rsid w:val="00A6052A"/>
    <w:rsid w:val="00A61016"/>
    <w:rsid w:val="00A6160E"/>
    <w:rsid w:val="00A62366"/>
    <w:rsid w:val="00A62CE1"/>
    <w:rsid w:val="00A634B1"/>
    <w:rsid w:val="00A634FA"/>
    <w:rsid w:val="00A64692"/>
    <w:rsid w:val="00A64964"/>
    <w:rsid w:val="00A649AA"/>
    <w:rsid w:val="00A64AF8"/>
    <w:rsid w:val="00A64F8A"/>
    <w:rsid w:val="00A653D8"/>
    <w:rsid w:val="00A65669"/>
    <w:rsid w:val="00A65EC0"/>
    <w:rsid w:val="00A6604A"/>
    <w:rsid w:val="00A662E5"/>
    <w:rsid w:val="00A66574"/>
    <w:rsid w:val="00A67808"/>
    <w:rsid w:val="00A67B48"/>
    <w:rsid w:val="00A67E04"/>
    <w:rsid w:val="00A70585"/>
    <w:rsid w:val="00A720A8"/>
    <w:rsid w:val="00A72CBF"/>
    <w:rsid w:val="00A7381B"/>
    <w:rsid w:val="00A73D4B"/>
    <w:rsid w:val="00A73EB8"/>
    <w:rsid w:val="00A7480E"/>
    <w:rsid w:val="00A74F97"/>
    <w:rsid w:val="00A754B2"/>
    <w:rsid w:val="00A75FD2"/>
    <w:rsid w:val="00A76049"/>
    <w:rsid w:val="00A763B6"/>
    <w:rsid w:val="00A76ACF"/>
    <w:rsid w:val="00A77678"/>
    <w:rsid w:val="00A77DA0"/>
    <w:rsid w:val="00A80DE3"/>
    <w:rsid w:val="00A811A1"/>
    <w:rsid w:val="00A8228B"/>
    <w:rsid w:val="00A82F07"/>
    <w:rsid w:val="00A82FE6"/>
    <w:rsid w:val="00A83B52"/>
    <w:rsid w:val="00A83F47"/>
    <w:rsid w:val="00A8436C"/>
    <w:rsid w:val="00A84595"/>
    <w:rsid w:val="00A84CAD"/>
    <w:rsid w:val="00A850B2"/>
    <w:rsid w:val="00A86375"/>
    <w:rsid w:val="00A86B29"/>
    <w:rsid w:val="00A86B42"/>
    <w:rsid w:val="00A86DB4"/>
    <w:rsid w:val="00A87367"/>
    <w:rsid w:val="00A87550"/>
    <w:rsid w:val="00A87B5E"/>
    <w:rsid w:val="00A90357"/>
    <w:rsid w:val="00A909DA"/>
    <w:rsid w:val="00A90A97"/>
    <w:rsid w:val="00A90DE2"/>
    <w:rsid w:val="00A917A4"/>
    <w:rsid w:val="00A920E1"/>
    <w:rsid w:val="00A92172"/>
    <w:rsid w:val="00A92562"/>
    <w:rsid w:val="00A9363F"/>
    <w:rsid w:val="00A93B56"/>
    <w:rsid w:val="00A93BCC"/>
    <w:rsid w:val="00A93D70"/>
    <w:rsid w:val="00A94334"/>
    <w:rsid w:val="00A9459C"/>
    <w:rsid w:val="00A94B4C"/>
    <w:rsid w:val="00A94C84"/>
    <w:rsid w:val="00A95010"/>
    <w:rsid w:val="00A95BA8"/>
    <w:rsid w:val="00A95FA9"/>
    <w:rsid w:val="00A96021"/>
    <w:rsid w:val="00A96CA9"/>
    <w:rsid w:val="00A979B5"/>
    <w:rsid w:val="00A97DCE"/>
    <w:rsid w:val="00AA008C"/>
    <w:rsid w:val="00AA0BAE"/>
    <w:rsid w:val="00AA0D48"/>
    <w:rsid w:val="00AA0D63"/>
    <w:rsid w:val="00AA148E"/>
    <w:rsid w:val="00AA161C"/>
    <w:rsid w:val="00AA1E62"/>
    <w:rsid w:val="00AA21A8"/>
    <w:rsid w:val="00AA2FE6"/>
    <w:rsid w:val="00AA32B1"/>
    <w:rsid w:val="00AA35B5"/>
    <w:rsid w:val="00AA43CE"/>
    <w:rsid w:val="00AA466A"/>
    <w:rsid w:val="00AA4965"/>
    <w:rsid w:val="00AA59AE"/>
    <w:rsid w:val="00AA607F"/>
    <w:rsid w:val="00AA610C"/>
    <w:rsid w:val="00AA649D"/>
    <w:rsid w:val="00AA68DC"/>
    <w:rsid w:val="00AA6E13"/>
    <w:rsid w:val="00AA74F1"/>
    <w:rsid w:val="00AA761E"/>
    <w:rsid w:val="00AA7E84"/>
    <w:rsid w:val="00AB0029"/>
    <w:rsid w:val="00AB082D"/>
    <w:rsid w:val="00AB083D"/>
    <w:rsid w:val="00AB0F4C"/>
    <w:rsid w:val="00AB1176"/>
    <w:rsid w:val="00AB13AA"/>
    <w:rsid w:val="00AB17CE"/>
    <w:rsid w:val="00AB1823"/>
    <w:rsid w:val="00AB188F"/>
    <w:rsid w:val="00AB1DF4"/>
    <w:rsid w:val="00AB2342"/>
    <w:rsid w:val="00AB23A7"/>
    <w:rsid w:val="00AB29F6"/>
    <w:rsid w:val="00AB305B"/>
    <w:rsid w:val="00AB3497"/>
    <w:rsid w:val="00AB3F3B"/>
    <w:rsid w:val="00AB404B"/>
    <w:rsid w:val="00AB431D"/>
    <w:rsid w:val="00AB504C"/>
    <w:rsid w:val="00AB561F"/>
    <w:rsid w:val="00AB5A68"/>
    <w:rsid w:val="00AB5A94"/>
    <w:rsid w:val="00AB6BF8"/>
    <w:rsid w:val="00AB7072"/>
    <w:rsid w:val="00AB72D5"/>
    <w:rsid w:val="00AB7312"/>
    <w:rsid w:val="00AB7816"/>
    <w:rsid w:val="00AB785C"/>
    <w:rsid w:val="00AB78A9"/>
    <w:rsid w:val="00AB7972"/>
    <w:rsid w:val="00AC0213"/>
    <w:rsid w:val="00AC02B9"/>
    <w:rsid w:val="00AC0D49"/>
    <w:rsid w:val="00AC1608"/>
    <w:rsid w:val="00AC178F"/>
    <w:rsid w:val="00AC1AF3"/>
    <w:rsid w:val="00AC1E0A"/>
    <w:rsid w:val="00AC1F3F"/>
    <w:rsid w:val="00AC2B6D"/>
    <w:rsid w:val="00AC304F"/>
    <w:rsid w:val="00AC32E5"/>
    <w:rsid w:val="00AC347A"/>
    <w:rsid w:val="00AC45C5"/>
    <w:rsid w:val="00AC469C"/>
    <w:rsid w:val="00AC5BBA"/>
    <w:rsid w:val="00AC6127"/>
    <w:rsid w:val="00AC642C"/>
    <w:rsid w:val="00AC68D1"/>
    <w:rsid w:val="00AC6D52"/>
    <w:rsid w:val="00AC7858"/>
    <w:rsid w:val="00AD05DE"/>
    <w:rsid w:val="00AD0E38"/>
    <w:rsid w:val="00AD1778"/>
    <w:rsid w:val="00AD1917"/>
    <w:rsid w:val="00AD212A"/>
    <w:rsid w:val="00AD2662"/>
    <w:rsid w:val="00AD2A29"/>
    <w:rsid w:val="00AD2B28"/>
    <w:rsid w:val="00AD2D0D"/>
    <w:rsid w:val="00AD2FE7"/>
    <w:rsid w:val="00AD3D9E"/>
    <w:rsid w:val="00AD455E"/>
    <w:rsid w:val="00AD4CA3"/>
    <w:rsid w:val="00AD55F6"/>
    <w:rsid w:val="00AD5DC8"/>
    <w:rsid w:val="00AD5F22"/>
    <w:rsid w:val="00AD5FD1"/>
    <w:rsid w:val="00AD6285"/>
    <w:rsid w:val="00AD6528"/>
    <w:rsid w:val="00AD6541"/>
    <w:rsid w:val="00AD6744"/>
    <w:rsid w:val="00AD75C8"/>
    <w:rsid w:val="00AD768B"/>
    <w:rsid w:val="00AD7982"/>
    <w:rsid w:val="00AD79F9"/>
    <w:rsid w:val="00AD7D8D"/>
    <w:rsid w:val="00AE07AF"/>
    <w:rsid w:val="00AE0D88"/>
    <w:rsid w:val="00AE0FC5"/>
    <w:rsid w:val="00AE19DB"/>
    <w:rsid w:val="00AE1AB1"/>
    <w:rsid w:val="00AE1CF3"/>
    <w:rsid w:val="00AE3343"/>
    <w:rsid w:val="00AE3576"/>
    <w:rsid w:val="00AE4488"/>
    <w:rsid w:val="00AE46B3"/>
    <w:rsid w:val="00AE4E1A"/>
    <w:rsid w:val="00AE4FA2"/>
    <w:rsid w:val="00AE610E"/>
    <w:rsid w:val="00AE650B"/>
    <w:rsid w:val="00AE652F"/>
    <w:rsid w:val="00AE6AD3"/>
    <w:rsid w:val="00AE74B2"/>
    <w:rsid w:val="00AE78E1"/>
    <w:rsid w:val="00AE7A8F"/>
    <w:rsid w:val="00AE7DEC"/>
    <w:rsid w:val="00AF0414"/>
    <w:rsid w:val="00AF04D6"/>
    <w:rsid w:val="00AF0E69"/>
    <w:rsid w:val="00AF0FF5"/>
    <w:rsid w:val="00AF1665"/>
    <w:rsid w:val="00AF1DF6"/>
    <w:rsid w:val="00AF23A3"/>
    <w:rsid w:val="00AF295A"/>
    <w:rsid w:val="00AF2A11"/>
    <w:rsid w:val="00AF386C"/>
    <w:rsid w:val="00AF3971"/>
    <w:rsid w:val="00AF3F2F"/>
    <w:rsid w:val="00AF402D"/>
    <w:rsid w:val="00AF4164"/>
    <w:rsid w:val="00AF41BB"/>
    <w:rsid w:val="00AF4952"/>
    <w:rsid w:val="00AF5042"/>
    <w:rsid w:val="00AF6269"/>
    <w:rsid w:val="00AF6A60"/>
    <w:rsid w:val="00AF7E21"/>
    <w:rsid w:val="00AF7F86"/>
    <w:rsid w:val="00B0000F"/>
    <w:rsid w:val="00B00CAA"/>
    <w:rsid w:val="00B013D1"/>
    <w:rsid w:val="00B0282B"/>
    <w:rsid w:val="00B02939"/>
    <w:rsid w:val="00B0370C"/>
    <w:rsid w:val="00B03A75"/>
    <w:rsid w:val="00B03BA9"/>
    <w:rsid w:val="00B04750"/>
    <w:rsid w:val="00B0595C"/>
    <w:rsid w:val="00B068D2"/>
    <w:rsid w:val="00B06B50"/>
    <w:rsid w:val="00B07FEE"/>
    <w:rsid w:val="00B10688"/>
    <w:rsid w:val="00B106EE"/>
    <w:rsid w:val="00B10F98"/>
    <w:rsid w:val="00B111CB"/>
    <w:rsid w:val="00B11412"/>
    <w:rsid w:val="00B11B60"/>
    <w:rsid w:val="00B1247A"/>
    <w:rsid w:val="00B124B8"/>
    <w:rsid w:val="00B126BC"/>
    <w:rsid w:val="00B12A84"/>
    <w:rsid w:val="00B12FF7"/>
    <w:rsid w:val="00B13CE0"/>
    <w:rsid w:val="00B13E95"/>
    <w:rsid w:val="00B142EF"/>
    <w:rsid w:val="00B14C77"/>
    <w:rsid w:val="00B14FAE"/>
    <w:rsid w:val="00B150F3"/>
    <w:rsid w:val="00B166AC"/>
    <w:rsid w:val="00B16700"/>
    <w:rsid w:val="00B171BD"/>
    <w:rsid w:val="00B17434"/>
    <w:rsid w:val="00B17EE2"/>
    <w:rsid w:val="00B2008A"/>
    <w:rsid w:val="00B20C27"/>
    <w:rsid w:val="00B21619"/>
    <w:rsid w:val="00B2164D"/>
    <w:rsid w:val="00B21D11"/>
    <w:rsid w:val="00B224C2"/>
    <w:rsid w:val="00B22634"/>
    <w:rsid w:val="00B226CB"/>
    <w:rsid w:val="00B22DFB"/>
    <w:rsid w:val="00B23087"/>
    <w:rsid w:val="00B24940"/>
    <w:rsid w:val="00B256ED"/>
    <w:rsid w:val="00B25970"/>
    <w:rsid w:val="00B25FDB"/>
    <w:rsid w:val="00B2648D"/>
    <w:rsid w:val="00B26C26"/>
    <w:rsid w:val="00B26DEB"/>
    <w:rsid w:val="00B26F51"/>
    <w:rsid w:val="00B273E1"/>
    <w:rsid w:val="00B27487"/>
    <w:rsid w:val="00B27C08"/>
    <w:rsid w:val="00B30061"/>
    <w:rsid w:val="00B303CD"/>
    <w:rsid w:val="00B30AE7"/>
    <w:rsid w:val="00B31C9A"/>
    <w:rsid w:val="00B32040"/>
    <w:rsid w:val="00B324BB"/>
    <w:rsid w:val="00B3291D"/>
    <w:rsid w:val="00B32926"/>
    <w:rsid w:val="00B32933"/>
    <w:rsid w:val="00B32E27"/>
    <w:rsid w:val="00B3397E"/>
    <w:rsid w:val="00B3447A"/>
    <w:rsid w:val="00B344BC"/>
    <w:rsid w:val="00B348B1"/>
    <w:rsid w:val="00B34CF4"/>
    <w:rsid w:val="00B357AD"/>
    <w:rsid w:val="00B35C85"/>
    <w:rsid w:val="00B36351"/>
    <w:rsid w:val="00B36451"/>
    <w:rsid w:val="00B367A5"/>
    <w:rsid w:val="00B37747"/>
    <w:rsid w:val="00B37895"/>
    <w:rsid w:val="00B378DE"/>
    <w:rsid w:val="00B37C7A"/>
    <w:rsid w:val="00B40404"/>
    <w:rsid w:val="00B405CD"/>
    <w:rsid w:val="00B406A7"/>
    <w:rsid w:val="00B408E1"/>
    <w:rsid w:val="00B409EF"/>
    <w:rsid w:val="00B41603"/>
    <w:rsid w:val="00B4164F"/>
    <w:rsid w:val="00B4178E"/>
    <w:rsid w:val="00B42145"/>
    <w:rsid w:val="00B428E0"/>
    <w:rsid w:val="00B43087"/>
    <w:rsid w:val="00B436B3"/>
    <w:rsid w:val="00B43A5E"/>
    <w:rsid w:val="00B43BA3"/>
    <w:rsid w:val="00B447AF"/>
    <w:rsid w:val="00B454C6"/>
    <w:rsid w:val="00B45714"/>
    <w:rsid w:val="00B45B28"/>
    <w:rsid w:val="00B45C21"/>
    <w:rsid w:val="00B46AC7"/>
    <w:rsid w:val="00B474A1"/>
    <w:rsid w:val="00B47A79"/>
    <w:rsid w:val="00B47C36"/>
    <w:rsid w:val="00B47E6C"/>
    <w:rsid w:val="00B47F21"/>
    <w:rsid w:val="00B50060"/>
    <w:rsid w:val="00B5027B"/>
    <w:rsid w:val="00B50ECE"/>
    <w:rsid w:val="00B51B0A"/>
    <w:rsid w:val="00B5249C"/>
    <w:rsid w:val="00B52808"/>
    <w:rsid w:val="00B52A09"/>
    <w:rsid w:val="00B531D4"/>
    <w:rsid w:val="00B53353"/>
    <w:rsid w:val="00B540EE"/>
    <w:rsid w:val="00B550D9"/>
    <w:rsid w:val="00B56A63"/>
    <w:rsid w:val="00B5706A"/>
    <w:rsid w:val="00B578B9"/>
    <w:rsid w:val="00B57CB7"/>
    <w:rsid w:val="00B60B77"/>
    <w:rsid w:val="00B60E06"/>
    <w:rsid w:val="00B61CEF"/>
    <w:rsid w:val="00B62245"/>
    <w:rsid w:val="00B62504"/>
    <w:rsid w:val="00B62D7D"/>
    <w:rsid w:val="00B6339F"/>
    <w:rsid w:val="00B635E1"/>
    <w:rsid w:val="00B63989"/>
    <w:rsid w:val="00B639A6"/>
    <w:rsid w:val="00B640FD"/>
    <w:rsid w:val="00B64DA6"/>
    <w:rsid w:val="00B659FE"/>
    <w:rsid w:val="00B65AE7"/>
    <w:rsid w:val="00B65B4D"/>
    <w:rsid w:val="00B661EC"/>
    <w:rsid w:val="00B66577"/>
    <w:rsid w:val="00B66801"/>
    <w:rsid w:val="00B66840"/>
    <w:rsid w:val="00B66A78"/>
    <w:rsid w:val="00B67108"/>
    <w:rsid w:val="00B671F1"/>
    <w:rsid w:val="00B67D79"/>
    <w:rsid w:val="00B702FF"/>
    <w:rsid w:val="00B70A02"/>
    <w:rsid w:val="00B70A6B"/>
    <w:rsid w:val="00B712BE"/>
    <w:rsid w:val="00B712FF"/>
    <w:rsid w:val="00B713FB"/>
    <w:rsid w:val="00B71541"/>
    <w:rsid w:val="00B727E4"/>
    <w:rsid w:val="00B72A1D"/>
    <w:rsid w:val="00B72FB3"/>
    <w:rsid w:val="00B732FC"/>
    <w:rsid w:val="00B735C1"/>
    <w:rsid w:val="00B73950"/>
    <w:rsid w:val="00B73AA5"/>
    <w:rsid w:val="00B73EA9"/>
    <w:rsid w:val="00B74145"/>
    <w:rsid w:val="00B7450F"/>
    <w:rsid w:val="00B74AD6"/>
    <w:rsid w:val="00B750E8"/>
    <w:rsid w:val="00B7521B"/>
    <w:rsid w:val="00B75649"/>
    <w:rsid w:val="00B75A98"/>
    <w:rsid w:val="00B76A3B"/>
    <w:rsid w:val="00B8006E"/>
    <w:rsid w:val="00B80C64"/>
    <w:rsid w:val="00B81263"/>
    <w:rsid w:val="00B814C8"/>
    <w:rsid w:val="00B81AA1"/>
    <w:rsid w:val="00B81B31"/>
    <w:rsid w:val="00B81C9A"/>
    <w:rsid w:val="00B83879"/>
    <w:rsid w:val="00B83B77"/>
    <w:rsid w:val="00B83D1B"/>
    <w:rsid w:val="00B8427E"/>
    <w:rsid w:val="00B84925"/>
    <w:rsid w:val="00B84A1F"/>
    <w:rsid w:val="00B8572E"/>
    <w:rsid w:val="00B8574B"/>
    <w:rsid w:val="00B85AF9"/>
    <w:rsid w:val="00B86809"/>
    <w:rsid w:val="00B870E1"/>
    <w:rsid w:val="00B87453"/>
    <w:rsid w:val="00B8754E"/>
    <w:rsid w:val="00B90087"/>
    <w:rsid w:val="00B9008C"/>
    <w:rsid w:val="00B90E6A"/>
    <w:rsid w:val="00B91116"/>
    <w:rsid w:val="00B913CB"/>
    <w:rsid w:val="00B9177B"/>
    <w:rsid w:val="00B922F1"/>
    <w:rsid w:val="00B92528"/>
    <w:rsid w:val="00B92584"/>
    <w:rsid w:val="00B92682"/>
    <w:rsid w:val="00B92B41"/>
    <w:rsid w:val="00B92DDB"/>
    <w:rsid w:val="00B934B3"/>
    <w:rsid w:val="00B934F0"/>
    <w:rsid w:val="00B93942"/>
    <w:rsid w:val="00B93C9A"/>
    <w:rsid w:val="00B93E36"/>
    <w:rsid w:val="00B9472B"/>
    <w:rsid w:val="00B94A7A"/>
    <w:rsid w:val="00B951DB"/>
    <w:rsid w:val="00B95879"/>
    <w:rsid w:val="00B9587F"/>
    <w:rsid w:val="00B96263"/>
    <w:rsid w:val="00B9639F"/>
    <w:rsid w:val="00B96401"/>
    <w:rsid w:val="00BA0D80"/>
    <w:rsid w:val="00BA145A"/>
    <w:rsid w:val="00BA16B8"/>
    <w:rsid w:val="00BA1B37"/>
    <w:rsid w:val="00BA3385"/>
    <w:rsid w:val="00BA3429"/>
    <w:rsid w:val="00BA345E"/>
    <w:rsid w:val="00BA4EC4"/>
    <w:rsid w:val="00BA5BB5"/>
    <w:rsid w:val="00BA5D32"/>
    <w:rsid w:val="00BA6F20"/>
    <w:rsid w:val="00BA7B69"/>
    <w:rsid w:val="00BB273F"/>
    <w:rsid w:val="00BB33EF"/>
    <w:rsid w:val="00BB3C59"/>
    <w:rsid w:val="00BB439C"/>
    <w:rsid w:val="00BB49E6"/>
    <w:rsid w:val="00BB4A17"/>
    <w:rsid w:val="00BB4A64"/>
    <w:rsid w:val="00BB5148"/>
    <w:rsid w:val="00BB5CB0"/>
    <w:rsid w:val="00BB69BD"/>
    <w:rsid w:val="00BB722C"/>
    <w:rsid w:val="00BB7883"/>
    <w:rsid w:val="00BB7F02"/>
    <w:rsid w:val="00BC0560"/>
    <w:rsid w:val="00BC146E"/>
    <w:rsid w:val="00BC1BB3"/>
    <w:rsid w:val="00BC1C71"/>
    <w:rsid w:val="00BC2463"/>
    <w:rsid w:val="00BC2B29"/>
    <w:rsid w:val="00BC30BD"/>
    <w:rsid w:val="00BC3A87"/>
    <w:rsid w:val="00BC43F6"/>
    <w:rsid w:val="00BC4427"/>
    <w:rsid w:val="00BC449A"/>
    <w:rsid w:val="00BC4F8F"/>
    <w:rsid w:val="00BC4FE1"/>
    <w:rsid w:val="00BC5999"/>
    <w:rsid w:val="00BC5B5B"/>
    <w:rsid w:val="00BC5F46"/>
    <w:rsid w:val="00BC67F1"/>
    <w:rsid w:val="00BC7016"/>
    <w:rsid w:val="00BC7AB8"/>
    <w:rsid w:val="00BC7D27"/>
    <w:rsid w:val="00BC7F04"/>
    <w:rsid w:val="00BD0205"/>
    <w:rsid w:val="00BD092A"/>
    <w:rsid w:val="00BD0ACD"/>
    <w:rsid w:val="00BD10E7"/>
    <w:rsid w:val="00BD1483"/>
    <w:rsid w:val="00BD1CB3"/>
    <w:rsid w:val="00BD2023"/>
    <w:rsid w:val="00BD290F"/>
    <w:rsid w:val="00BD32DA"/>
    <w:rsid w:val="00BD3405"/>
    <w:rsid w:val="00BD393D"/>
    <w:rsid w:val="00BD3D4A"/>
    <w:rsid w:val="00BD4045"/>
    <w:rsid w:val="00BD4FC0"/>
    <w:rsid w:val="00BD524C"/>
    <w:rsid w:val="00BD5C27"/>
    <w:rsid w:val="00BD5C9C"/>
    <w:rsid w:val="00BD6212"/>
    <w:rsid w:val="00BD679F"/>
    <w:rsid w:val="00BD6D5E"/>
    <w:rsid w:val="00BD78AE"/>
    <w:rsid w:val="00BD798A"/>
    <w:rsid w:val="00BD7BE3"/>
    <w:rsid w:val="00BE13DB"/>
    <w:rsid w:val="00BE166A"/>
    <w:rsid w:val="00BE1DA9"/>
    <w:rsid w:val="00BE1E32"/>
    <w:rsid w:val="00BE332E"/>
    <w:rsid w:val="00BE3427"/>
    <w:rsid w:val="00BE3AF4"/>
    <w:rsid w:val="00BE4357"/>
    <w:rsid w:val="00BE49DE"/>
    <w:rsid w:val="00BE56C1"/>
    <w:rsid w:val="00BE5FB9"/>
    <w:rsid w:val="00BE604F"/>
    <w:rsid w:val="00BE6336"/>
    <w:rsid w:val="00BE65CB"/>
    <w:rsid w:val="00BE6687"/>
    <w:rsid w:val="00BF0056"/>
    <w:rsid w:val="00BF01B8"/>
    <w:rsid w:val="00BF03B9"/>
    <w:rsid w:val="00BF04F5"/>
    <w:rsid w:val="00BF12F0"/>
    <w:rsid w:val="00BF1582"/>
    <w:rsid w:val="00BF18BD"/>
    <w:rsid w:val="00BF1BF9"/>
    <w:rsid w:val="00BF1E83"/>
    <w:rsid w:val="00BF231F"/>
    <w:rsid w:val="00BF2547"/>
    <w:rsid w:val="00BF256F"/>
    <w:rsid w:val="00BF26A8"/>
    <w:rsid w:val="00BF297E"/>
    <w:rsid w:val="00BF2CFC"/>
    <w:rsid w:val="00BF2FE6"/>
    <w:rsid w:val="00BF323F"/>
    <w:rsid w:val="00BF3821"/>
    <w:rsid w:val="00BF398A"/>
    <w:rsid w:val="00BF3F6E"/>
    <w:rsid w:val="00BF46D8"/>
    <w:rsid w:val="00BF505F"/>
    <w:rsid w:val="00BF515E"/>
    <w:rsid w:val="00BF56CB"/>
    <w:rsid w:val="00BF58F7"/>
    <w:rsid w:val="00BF5CBA"/>
    <w:rsid w:val="00BF6BA0"/>
    <w:rsid w:val="00BF6F10"/>
    <w:rsid w:val="00BF713E"/>
    <w:rsid w:val="00BF7508"/>
    <w:rsid w:val="00C00028"/>
    <w:rsid w:val="00C001BE"/>
    <w:rsid w:val="00C00752"/>
    <w:rsid w:val="00C00A3A"/>
    <w:rsid w:val="00C00B3F"/>
    <w:rsid w:val="00C00B5C"/>
    <w:rsid w:val="00C013FD"/>
    <w:rsid w:val="00C016B8"/>
    <w:rsid w:val="00C0184D"/>
    <w:rsid w:val="00C01B14"/>
    <w:rsid w:val="00C0272B"/>
    <w:rsid w:val="00C027F2"/>
    <w:rsid w:val="00C05215"/>
    <w:rsid w:val="00C05289"/>
    <w:rsid w:val="00C053FA"/>
    <w:rsid w:val="00C05C1B"/>
    <w:rsid w:val="00C05CB3"/>
    <w:rsid w:val="00C05DE1"/>
    <w:rsid w:val="00C0616C"/>
    <w:rsid w:val="00C06B18"/>
    <w:rsid w:val="00C10422"/>
    <w:rsid w:val="00C10BCE"/>
    <w:rsid w:val="00C10E1F"/>
    <w:rsid w:val="00C1176E"/>
    <w:rsid w:val="00C12381"/>
    <w:rsid w:val="00C1247D"/>
    <w:rsid w:val="00C128EE"/>
    <w:rsid w:val="00C12E99"/>
    <w:rsid w:val="00C13050"/>
    <w:rsid w:val="00C13420"/>
    <w:rsid w:val="00C134C7"/>
    <w:rsid w:val="00C14B4C"/>
    <w:rsid w:val="00C14BE6"/>
    <w:rsid w:val="00C150B1"/>
    <w:rsid w:val="00C1540A"/>
    <w:rsid w:val="00C15D7D"/>
    <w:rsid w:val="00C162C2"/>
    <w:rsid w:val="00C165EF"/>
    <w:rsid w:val="00C1694D"/>
    <w:rsid w:val="00C16D72"/>
    <w:rsid w:val="00C16FFB"/>
    <w:rsid w:val="00C17992"/>
    <w:rsid w:val="00C205AC"/>
    <w:rsid w:val="00C208A5"/>
    <w:rsid w:val="00C213EB"/>
    <w:rsid w:val="00C21951"/>
    <w:rsid w:val="00C220DC"/>
    <w:rsid w:val="00C22FCF"/>
    <w:rsid w:val="00C23F2A"/>
    <w:rsid w:val="00C2419D"/>
    <w:rsid w:val="00C24D25"/>
    <w:rsid w:val="00C24F50"/>
    <w:rsid w:val="00C250E3"/>
    <w:rsid w:val="00C25168"/>
    <w:rsid w:val="00C25275"/>
    <w:rsid w:val="00C26134"/>
    <w:rsid w:val="00C2660C"/>
    <w:rsid w:val="00C26B6A"/>
    <w:rsid w:val="00C271E7"/>
    <w:rsid w:val="00C272DF"/>
    <w:rsid w:val="00C27483"/>
    <w:rsid w:val="00C30757"/>
    <w:rsid w:val="00C30C9F"/>
    <w:rsid w:val="00C30E6A"/>
    <w:rsid w:val="00C30F2C"/>
    <w:rsid w:val="00C310FA"/>
    <w:rsid w:val="00C3119D"/>
    <w:rsid w:val="00C311DE"/>
    <w:rsid w:val="00C3195F"/>
    <w:rsid w:val="00C31C24"/>
    <w:rsid w:val="00C322AE"/>
    <w:rsid w:val="00C326EA"/>
    <w:rsid w:val="00C3367E"/>
    <w:rsid w:val="00C33D3C"/>
    <w:rsid w:val="00C3552E"/>
    <w:rsid w:val="00C355BB"/>
    <w:rsid w:val="00C35DAF"/>
    <w:rsid w:val="00C363D2"/>
    <w:rsid w:val="00C36D75"/>
    <w:rsid w:val="00C3708A"/>
    <w:rsid w:val="00C370C9"/>
    <w:rsid w:val="00C37272"/>
    <w:rsid w:val="00C372AD"/>
    <w:rsid w:val="00C37F1F"/>
    <w:rsid w:val="00C41994"/>
    <w:rsid w:val="00C41BA0"/>
    <w:rsid w:val="00C41D28"/>
    <w:rsid w:val="00C423C8"/>
    <w:rsid w:val="00C42ED8"/>
    <w:rsid w:val="00C42F16"/>
    <w:rsid w:val="00C42F9D"/>
    <w:rsid w:val="00C4306D"/>
    <w:rsid w:val="00C431B9"/>
    <w:rsid w:val="00C4379A"/>
    <w:rsid w:val="00C43B6E"/>
    <w:rsid w:val="00C44403"/>
    <w:rsid w:val="00C44AEE"/>
    <w:rsid w:val="00C4521F"/>
    <w:rsid w:val="00C4536E"/>
    <w:rsid w:val="00C454C7"/>
    <w:rsid w:val="00C45F86"/>
    <w:rsid w:val="00C46121"/>
    <w:rsid w:val="00C46152"/>
    <w:rsid w:val="00C463C8"/>
    <w:rsid w:val="00C46993"/>
    <w:rsid w:val="00C46C3D"/>
    <w:rsid w:val="00C476B7"/>
    <w:rsid w:val="00C47C63"/>
    <w:rsid w:val="00C50171"/>
    <w:rsid w:val="00C5223D"/>
    <w:rsid w:val="00C5248C"/>
    <w:rsid w:val="00C53350"/>
    <w:rsid w:val="00C53391"/>
    <w:rsid w:val="00C534B7"/>
    <w:rsid w:val="00C53738"/>
    <w:rsid w:val="00C53DC0"/>
    <w:rsid w:val="00C5463C"/>
    <w:rsid w:val="00C552D5"/>
    <w:rsid w:val="00C55F4A"/>
    <w:rsid w:val="00C55FEB"/>
    <w:rsid w:val="00C56266"/>
    <w:rsid w:val="00C56D94"/>
    <w:rsid w:val="00C573C5"/>
    <w:rsid w:val="00C600E3"/>
    <w:rsid w:val="00C6093A"/>
    <w:rsid w:val="00C613DB"/>
    <w:rsid w:val="00C6150C"/>
    <w:rsid w:val="00C615B5"/>
    <w:rsid w:val="00C628CF"/>
    <w:rsid w:val="00C62906"/>
    <w:rsid w:val="00C62A4E"/>
    <w:rsid w:val="00C634A5"/>
    <w:rsid w:val="00C63C0C"/>
    <w:rsid w:val="00C63C4E"/>
    <w:rsid w:val="00C63D13"/>
    <w:rsid w:val="00C640FB"/>
    <w:rsid w:val="00C65696"/>
    <w:rsid w:val="00C67C1C"/>
    <w:rsid w:val="00C701CE"/>
    <w:rsid w:val="00C70232"/>
    <w:rsid w:val="00C70260"/>
    <w:rsid w:val="00C70AFB"/>
    <w:rsid w:val="00C71F59"/>
    <w:rsid w:val="00C7234B"/>
    <w:rsid w:val="00C725E6"/>
    <w:rsid w:val="00C72FC2"/>
    <w:rsid w:val="00C7376C"/>
    <w:rsid w:val="00C74030"/>
    <w:rsid w:val="00C751AB"/>
    <w:rsid w:val="00C7524A"/>
    <w:rsid w:val="00C7605D"/>
    <w:rsid w:val="00C76240"/>
    <w:rsid w:val="00C76684"/>
    <w:rsid w:val="00C76761"/>
    <w:rsid w:val="00C76CF1"/>
    <w:rsid w:val="00C76ED1"/>
    <w:rsid w:val="00C7751C"/>
    <w:rsid w:val="00C777A7"/>
    <w:rsid w:val="00C779E7"/>
    <w:rsid w:val="00C80403"/>
    <w:rsid w:val="00C8079F"/>
    <w:rsid w:val="00C80BC5"/>
    <w:rsid w:val="00C80D19"/>
    <w:rsid w:val="00C814BE"/>
    <w:rsid w:val="00C8150C"/>
    <w:rsid w:val="00C81BF2"/>
    <w:rsid w:val="00C81D37"/>
    <w:rsid w:val="00C81E36"/>
    <w:rsid w:val="00C82082"/>
    <w:rsid w:val="00C83090"/>
    <w:rsid w:val="00C83214"/>
    <w:rsid w:val="00C83631"/>
    <w:rsid w:val="00C84B3D"/>
    <w:rsid w:val="00C85510"/>
    <w:rsid w:val="00C8563F"/>
    <w:rsid w:val="00C85B39"/>
    <w:rsid w:val="00C85EA1"/>
    <w:rsid w:val="00C86449"/>
    <w:rsid w:val="00C8649A"/>
    <w:rsid w:val="00C86729"/>
    <w:rsid w:val="00C86866"/>
    <w:rsid w:val="00C86B23"/>
    <w:rsid w:val="00C87A05"/>
    <w:rsid w:val="00C9068D"/>
    <w:rsid w:val="00C90938"/>
    <w:rsid w:val="00C90B36"/>
    <w:rsid w:val="00C91032"/>
    <w:rsid w:val="00C913E4"/>
    <w:rsid w:val="00C9145F"/>
    <w:rsid w:val="00C91E4A"/>
    <w:rsid w:val="00C921F3"/>
    <w:rsid w:val="00C92DCC"/>
    <w:rsid w:val="00C93950"/>
    <w:rsid w:val="00C94427"/>
    <w:rsid w:val="00C944EB"/>
    <w:rsid w:val="00C949F0"/>
    <w:rsid w:val="00C94EE3"/>
    <w:rsid w:val="00C95469"/>
    <w:rsid w:val="00C956DD"/>
    <w:rsid w:val="00C95FA6"/>
    <w:rsid w:val="00C9647C"/>
    <w:rsid w:val="00C96E82"/>
    <w:rsid w:val="00C97391"/>
    <w:rsid w:val="00C973B7"/>
    <w:rsid w:val="00C977A1"/>
    <w:rsid w:val="00C97FCD"/>
    <w:rsid w:val="00CA0A0E"/>
    <w:rsid w:val="00CA0CD8"/>
    <w:rsid w:val="00CA0E63"/>
    <w:rsid w:val="00CA1BB9"/>
    <w:rsid w:val="00CA1D82"/>
    <w:rsid w:val="00CA239E"/>
    <w:rsid w:val="00CA2522"/>
    <w:rsid w:val="00CA33F9"/>
    <w:rsid w:val="00CA3602"/>
    <w:rsid w:val="00CA4277"/>
    <w:rsid w:val="00CA45C7"/>
    <w:rsid w:val="00CA50DD"/>
    <w:rsid w:val="00CA50FE"/>
    <w:rsid w:val="00CA56EE"/>
    <w:rsid w:val="00CA5793"/>
    <w:rsid w:val="00CA58CE"/>
    <w:rsid w:val="00CA5D1B"/>
    <w:rsid w:val="00CA5DDF"/>
    <w:rsid w:val="00CA5E61"/>
    <w:rsid w:val="00CA7009"/>
    <w:rsid w:val="00CA7159"/>
    <w:rsid w:val="00CA7908"/>
    <w:rsid w:val="00CA7B67"/>
    <w:rsid w:val="00CB092C"/>
    <w:rsid w:val="00CB0E6C"/>
    <w:rsid w:val="00CB12E2"/>
    <w:rsid w:val="00CB1A49"/>
    <w:rsid w:val="00CB23E4"/>
    <w:rsid w:val="00CB3E6F"/>
    <w:rsid w:val="00CB421E"/>
    <w:rsid w:val="00CB4D85"/>
    <w:rsid w:val="00CB5622"/>
    <w:rsid w:val="00CB6509"/>
    <w:rsid w:val="00CB651C"/>
    <w:rsid w:val="00CB6B1A"/>
    <w:rsid w:val="00CB7647"/>
    <w:rsid w:val="00CB7953"/>
    <w:rsid w:val="00CB7D3D"/>
    <w:rsid w:val="00CC038A"/>
    <w:rsid w:val="00CC188E"/>
    <w:rsid w:val="00CC235C"/>
    <w:rsid w:val="00CC2FFB"/>
    <w:rsid w:val="00CC337D"/>
    <w:rsid w:val="00CC481B"/>
    <w:rsid w:val="00CC58E4"/>
    <w:rsid w:val="00CC5A72"/>
    <w:rsid w:val="00CC5EFB"/>
    <w:rsid w:val="00CC6A68"/>
    <w:rsid w:val="00CC6DF4"/>
    <w:rsid w:val="00CC7EF5"/>
    <w:rsid w:val="00CD0115"/>
    <w:rsid w:val="00CD02E3"/>
    <w:rsid w:val="00CD0AAB"/>
    <w:rsid w:val="00CD0E1B"/>
    <w:rsid w:val="00CD14D2"/>
    <w:rsid w:val="00CD1C79"/>
    <w:rsid w:val="00CD2D63"/>
    <w:rsid w:val="00CD2F6C"/>
    <w:rsid w:val="00CD31B9"/>
    <w:rsid w:val="00CD34E0"/>
    <w:rsid w:val="00CD34F6"/>
    <w:rsid w:val="00CD3A1D"/>
    <w:rsid w:val="00CD3FB4"/>
    <w:rsid w:val="00CD40F1"/>
    <w:rsid w:val="00CD42BE"/>
    <w:rsid w:val="00CD4982"/>
    <w:rsid w:val="00CD4A7D"/>
    <w:rsid w:val="00CD5096"/>
    <w:rsid w:val="00CD5A14"/>
    <w:rsid w:val="00CD64CA"/>
    <w:rsid w:val="00CD67B8"/>
    <w:rsid w:val="00CD67E3"/>
    <w:rsid w:val="00CD6E0E"/>
    <w:rsid w:val="00CD6F9C"/>
    <w:rsid w:val="00CE05C3"/>
    <w:rsid w:val="00CE1BDD"/>
    <w:rsid w:val="00CE2A23"/>
    <w:rsid w:val="00CE2B7E"/>
    <w:rsid w:val="00CE4896"/>
    <w:rsid w:val="00CE4BA8"/>
    <w:rsid w:val="00CE4E66"/>
    <w:rsid w:val="00CE52DC"/>
    <w:rsid w:val="00CE54D8"/>
    <w:rsid w:val="00CE5694"/>
    <w:rsid w:val="00CE5983"/>
    <w:rsid w:val="00CE6ED1"/>
    <w:rsid w:val="00CE7D37"/>
    <w:rsid w:val="00CF0769"/>
    <w:rsid w:val="00CF0F05"/>
    <w:rsid w:val="00CF1725"/>
    <w:rsid w:val="00CF1F21"/>
    <w:rsid w:val="00CF1F42"/>
    <w:rsid w:val="00CF1F84"/>
    <w:rsid w:val="00CF2C43"/>
    <w:rsid w:val="00CF2EF4"/>
    <w:rsid w:val="00CF3226"/>
    <w:rsid w:val="00CF37B0"/>
    <w:rsid w:val="00CF388C"/>
    <w:rsid w:val="00CF3952"/>
    <w:rsid w:val="00CF3B1C"/>
    <w:rsid w:val="00CF46F4"/>
    <w:rsid w:val="00CF4BD7"/>
    <w:rsid w:val="00CF5059"/>
    <w:rsid w:val="00CF561C"/>
    <w:rsid w:val="00CF6323"/>
    <w:rsid w:val="00CF6CBA"/>
    <w:rsid w:val="00CF70E8"/>
    <w:rsid w:val="00CF7259"/>
    <w:rsid w:val="00CF7356"/>
    <w:rsid w:val="00CF7BFE"/>
    <w:rsid w:val="00CF7E4A"/>
    <w:rsid w:val="00D003BF"/>
    <w:rsid w:val="00D00CDC"/>
    <w:rsid w:val="00D013FF"/>
    <w:rsid w:val="00D014DA"/>
    <w:rsid w:val="00D0154F"/>
    <w:rsid w:val="00D01694"/>
    <w:rsid w:val="00D026BC"/>
    <w:rsid w:val="00D02817"/>
    <w:rsid w:val="00D03BC1"/>
    <w:rsid w:val="00D042C9"/>
    <w:rsid w:val="00D04814"/>
    <w:rsid w:val="00D05344"/>
    <w:rsid w:val="00D060BA"/>
    <w:rsid w:val="00D06694"/>
    <w:rsid w:val="00D0679F"/>
    <w:rsid w:val="00D06A36"/>
    <w:rsid w:val="00D06BE1"/>
    <w:rsid w:val="00D101CA"/>
    <w:rsid w:val="00D105C2"/>
    <w:rsid w:val="00D1083D"/>
    <w:rsid w:val="00D10A1B"/>
    <w:rsid w:val="00D10ABB"/>
    <w:rsid w:val="00D10B86"/>
    <w:rsid w:val="00D11206"/>
    <w:rsid w:val="00D11FCD"/>
    <w:rsid w:val="00D1209B"/>
    <w:rsid w:val="00D12115"/>
    <w:rsid w:val="00D12241"/>
    <w:rsid w:val="00D1248B"/>
    <w:rsid w:val="00D12AC6"/>
    <w:rsid w:val="00D13B44"/>
    <w:rsid w:val="00D14119"/>
    <w:rsid w:val="00D14215"/>
    <w:rsid w:val="00D1437D"/>
    <w:rsid w:val="00D146BC"/>
    <w:rsid w:val="00D14B34"/>
    <w:rsid w:val="00D14C7C"/>
    <w:rsid w:val="00D14E7F"/>
    <w:rsid w:val="00D14F74"/>
    <w:rsid w:val="00D152B1"/>
    <w:rsid w:val="00D15FFA"/>
    <w:rsid w:val="00D16E87"/>
    <w:rsid w:val="00D178E3"/>
    <w:rsid w:val="00D17CE3"/>
    <w:rsid w:val="00D206F5"/>
    <w:rsid w:val="00D20BDA"/>
    <w:rsid w:val="00D21A0D"/>
    <w:rsid w:val="00D21C9C"/>
    <w:rsid w:val="00D21E2C"/>
    <w:rsid w:val="00D2253D"/>
    <w:rsid w:val="00D23099"/>
    <w:rsid w:val="00D241B6"/>
    <w:rsid w:val="00D24A28"/>
    <w:rsid w:val="00D25DD4"/>
    <w:rsid w:val="00D2610B"/>
    <w:rsid w:val="00D26245"/>
    <w:rsid w:val="00D26498"/>
    <w:rsid w:val="00D26ACE"/>
    <w:rsid w:val="00D2710C"/>
    <w:rsid w:val="00D27E41"/>
    <w:rsid w:val="00D3120B"/>
    <w:rsid w:val="00D3167F"/>
    <w:rsid w:val="00D31796"/>
    <w:rsid w:val="00D32A79"/>
    <w:rsid w:val="00D32CBB"/>
    <w:rsid w:val="00D32F59"/>
    <w:rsid w:val="00D3356A"/>
    <w:rsid w:val="00D33ADD"/>
    <w:rsid w:val="00D3446C"/>
    <w:rsid w:val="00D348BE"/>
    <w:rsid w:val="00D34F2B"/>
    <w:rsid w:val="00D34FDC"/>
    <w:rsid w:val="00D35128"/>
    <w:rsid w:val="00D35A9C"/>
    <w:rsid w:val="00D36949"/>
    <w:rsid w:val="00D36B1E"/>
    <w:rsid w:val="00D37521"/>
    <w:rsid w:val="00D37971"/>
    <w:rsid w:val="00D4045B"/>
    <w:rsid w:val="00D40D44"/>
    <w:rsid w:val="00D41414"/>
    <w:rsid w:val="00D414AF"/>
    <w:rsid w:val="00D414CB"/>
    <w:rsid w:val="00D423AF"/>
    <w:rsid w:val="00D426B9"/>
    <w:rsid w:val="00D429FB"/>
    <w:rsid w:val="00D42DB9"/>
    <w:rsid w:val="00D435F5"/>
    <w:rsid w:val="00D43BAE"/>
    <w:rsid w:val="00D43BC0"/>
    <w:rsid w:val="00D448AB"/>
    <w:rsid w:val="00D44983"/>
    <w:rsid w:val="00D44ECA"/>
    <w:rsid w:val="00D44FE4"/>
    <w:rsid w:val="00D45889"/>
    <w:rsid w:val="00D46488"/>
    <w:rsid w:val="00D466C1"/>
    <w:rsid w:val="00D46C30"/>
    <w:rsid w:val="00D471BF"/>
    <w:rsid w:val="00D4727F"/>
    <w:rsid w:val="00D4735F"/>
    <w:rsid w:val="00D47F4F"/>
    <w:rsid w:val="00D50977"/>
    <w:rsid w:val="00D50AC9"/>
    <w:rsid w:val="00D50EEA"/>
    <w:rsid w:val="00D5140B"/>
    <w:rsid w:val="00D5184D"/>
    <w:rsid w:val="00D51903"/>
    <w:rsid w:val="00D5190A"/>
    <w:rsid w:val="00D51970"/>
    <w:rsid w:val="00D519EC"/>
    <w:rsid w:val="00D51A34"/>
    <w:rsid w:val="00D51A6E"/>
    <w:rsid w:val="00D51BC2"/>
    <w:rsid w:val="00D51E48"/>
    <w:rsid w:val="00D522AA"/>
    <w:rsid w:val="00D5278E"/>
    <w:rsid w:val="00D529D7"/>
    <w:rsid w:val="00D52BCF"/>
    <w:rsid w:val="00D533BB"/>
    <w:rsid w:val="00D53815"/>
    <w:rsid w:val="00D5452D"/>
    <w:rsid w:val="00D54913"/>
    <w:rsid w:val="00D550F4"/>
    <w:rsid w:val="00D556CE"/>
    <w:rsid w:val="00D55AC3"/>
    <w:rsid w:val="00D56B9C"/>
    <w:rsid w:val="00D57560"/>
    <w:rsid w:val="00D57947"/>
    <w:rsid w:val="00D57A31"/>
    <w:rsid w:val="00D57B97"/>
    <w:rsid w:val="00D60290"/>
    <w:rsid w:val="00D6082D"/>
    <w:rsid w:val="00D60DDC"/>
    <w:rsid w:val="00D61160"/>
    <w:rsid w:val="00D6142E"/>
    <w:rsid w:val="00D6206A"/>
    <w:rsid w:val="00D62462"/>
    <w:rsid w:val="00D63C24"/>
    <w:rsid w:val="00D65CBA"/>
    <w:rsid w:val="00D672CA"/>
    <w:rsid w:val="00D67482"/>
    <w:rsid w:val="00D6758C"/>
    <w:rsid w:val="00D67CAA"/>
    <w:rsid w:val="00D67FB1"/>
    <w:rsid w:val="00D701CE"/>
    <w:rsid w:val="00D702D9"/>
    <w:rsid w:val="00D7090B"/>
    <w:rsid w:val="00D711FD"/>
    <w:rsid w:val="00D717C3"/>
    <w:rsid w:val="00D71A61"/>
    <w:rsid w:val="00D72341"/>
    <w:rsid w:val="00D74190"/>
    <w:rsid w:val="00D74BA1"/>
    <w:rsid w:val="00D74FD4"/>
    <w:rsid w:val="00D751D1"/>
    <w:rsid w:val="00D754E5"/>
    <w:rsid w:val="00D75726"/>
    <w:rsid w:val="00D75882"/>
    <w:rsid w:val="00D765FC"/>
    <w:rsid w:val="00D77465"/>
    <w:rsid w:val="00D775F2"/>
    <w:rsid w:val="00D77CFC"/>
    <w:rsid w:val="00D80226"/>
    <w:rsid w:val="00D80BEC"/>
    <w:rsid w:val="00D80FBB"/>
    <w:rsid w:val="00D815CC"/>
    <w:rsid w:val="00D818F4"/>
    <w:rsid w:val="00D82557"/>
    <w:rsid w:val="00D82E2E"/>
    <w:rsid w:val="00D82E46"/>
    <w:rsid w:val="00D8373D"/>
    <w:rsid w:val="00D83D6F"/>
    <w:rsid w:val="00D8515F"/>
    <w:rsid w:val="00D85AAF"/>
    <w:rsid w:val="00D86018"/>
    <w:rsid w:val="00D862E8"/>
    <w:rsid w:val="00D86678"/>
    <w:rsid w:val="00D9083D"/>
    <w:rsid w:val="00D90F23"/>
    <w:rsid w:val="00D90F93"/>
    <w:rsid w:val="00D9260A"/>
    <w:rsid w:val="00D927A4"/>
    <w:rsid w:val="00D92CDA"/>
    <w:rsid w:val="00D93471"/>
    <w:rsid w:val="00D93491"/>
    <w:rsid w:val="00D93ACE"/>
    <w:rsid w:val="00D93AFE"/>
    <w:rsid w:val="00D9509A"/>
    <w:rsid w:val="00D95A5E"/>
    <w:rsid w:val="00D966DA"/>
    <w:rsid w:val="00D96AFC"/>
    <w:rsid w:val="00D96C17"/>
    <w:rsid w:val="00D970E7"/>
    <w:rsid w:val="00D977C0"/>
    <w:rsid w:val="00DA021A"/>
    <w:rsid w:val="00DA070C"/>
    <w:rsid w:val="00DA14D4"/>
    <w:rsid w:val="00DA158D"/>
    <w:rsid w:val="00DA1747"/>
    <w:rsid w:val="00DA1B00"/>
    <w:rsid w:val="00DA209F"/>
    <w:rsid w:val="00DA26A3"/>
    <w:rsid w:val="00DA2BE5"/>
    <w:rsid w:val="00DA31F3"/>
    <w:rsid w:val="00DA358C"/>
    <w:rsid w:val="00DA374C"/>
    <w:rsid w:val="00DA3D22"/>
    <w:rsid w:val="00DA407A"/>
    <w:rsid w:val="00DA5974"/>
    <w:rsid w:val="00DA735F"/>
    <w:rsid w:val="00DA7858"/>
    <w:rsid w:val="00DA7B74"/>
    <w:rsid w:val="00DA7BD1"/>
    <w:rsid w:val="00DA7CCA"/>
    <w:rsid w:val="00DA7FBE"/>
    <w:rsid w:val="00DB01EB"/>
    <w:rsid w:val="00DB02EB"/>
    <w:rsid w:val="00DB06BD"/>
    <w:rsid w:val="00DB0736"/>
    <w:rsid w:val="00DB0A02"/>
    <w:rsid w:val="00DB0C7E"/>
    <w:rsid w:val="00DB12CB"/>
    <w:rsid w:val="00DB1332"/>
    <w:rsid w:val="00DB1962"/>
    <w:rsid w:val="00DB1A6B"/>
    <w:rsid w:val="00DB1C5B"/>
    <w:rsid w:val="00DB1E50"/>
    <w:rsid w:val="00DB22EF"/>
    <w:rsid w:val="00DB251C"/>
    <w:rsid w:val="00DB2D86"/>
    <w:rsid w:val="00DB2F62"/>
    <w:rsid w:val="00DB3879"/>
    <w:rsid w:val="00DB3C15"/>
    <w:rsid w:val="00DB3DC2"/>
    <w:rsid w:val="00DB482C"/>
    <w:rsid w:val="00DB5302"/>
    <w:rsid w:val="00DB538F"/>
    <w:rsid w:val="00DB5540"/>
    <w:rsid w:val="00DB55FB"/>
    <w:rsid w:val="00DB5BE1"/>
    <w:rsid w:val="00DB5C1C"/>
    <w:rsid w:val="00DB62A8"/>
    <w:rsid w:val="00DB63A5"/>
    <w:rsid w:val="00DB650B"/>
    <w:rsid w:val="00DB698E"/>
    <w:rsid w:val="00DB6B7C"/>
    <w:rsid w:val="00DB6CA3"/>
    <w:rsid w:val="00DB701C"/>
    <w:rsid w:val="00DB73A0"/>
    <w:rsid w:val="00DB7D3B"/>
    <w:rsid w:val="00DC04C5"/>
    <w:rsid w:val="00DC13D4"/>
    <w:rsid w:val="00DC15BD"/>
    <w:rsid w:val="00DC16D7"/>
    <w:rsid w:val="00DC1772"/>
    <w:rsid w:val="00DC2ACE"/>
    <w:rsid w:val="00DC3C66"/>
    <w:rsid w:val="00DC3D8F"/>
    <w:rsid w:val="00DC4000"/>
    <w:rsid w:val="00DC44DE"/>
    <w:rsid w:val="00DC4937"/>
    <w:rsid w:val="00DC49E6"/>
    <w:rsid w:val="00DC4B17"/>
    <w:rsid w:val="00DC53EF"/>
    <w:rsid w:val="00DC5502"/>
    <w:rsid w:val="00DC5706"/>
    <w:rsid w:val="00DC5790"/>
    <w:rsid w:val="00DC589B"/>
    <w:rsid w:val="00DC5950"/>
    <w:rsid w:val="00DC5C7F"/>
    <w:rsid w:val="00DC5D2D"/>
    <w:rsid w:val="00DC7545"/>
    <w:rsid w:val="00DC7CE3"/>
    <w:rsid w:val="00DC7E00"/>
    <w:rsid w:val="00DC7F88"/>
    <w:rsid w:val="00DD021D"/>
    <w:rsid w:val="00DD0351"/>
    <w:rsid w:val="00DD036A"/>
    <w:rsid w:val="00DD0CBB"/>
    <w:rsid w:val="00DD0F6D"/>
    <w:rsid w:val="00DD1275"/>
    <w:rsid w:val="00DD25DF"/>
    <w:rsid w:val="00DD2AF9"/>
    <w:rsid w:val="00DD3415"/>
    <w:rsid w:val="00DD3805"/>
    <w:rsid w:val="00DD4729"/>
    <w:rsid w:val="00DD479F"/>
    <w:rsid w:val="00DD561A"/>
    <w:rsid w:val="00DD598D"/>
    <w:rsid w:val="00DD6D5A"/>
    <w:rsid w:val="00DD7308"/>
    <w:rsid w:val="00DD7A3B"/>
    <w:rsid w:val="00DE0A57"/>
    <w:rsid w:val="00DE0DBE"/>
    <w:rsid w:val="00DE14E4"/>
    <w:rsid w:val="00DE15EE"/>
    <w:rsid w:val="00DE1743"/>
    <w:rsid w:val="00DE246B"/>
    <w:rsid w:val="00DE2B63"/>
    <w:rsid w:val="00DE3715"/>
    <w:rsid w:val="00DE395C"/>
    <w:rsid w:val="00DE3DE6"/>
    <w:rsid w:val="00DE482E"/>
    <w:rsid w:val="00DE4BA9"/>
    <w:rsid w:val="00DE4CF0"/>
    <w:rsid w:val="00DE50F0"/>
    <w:rsid w:val="00DE5856"/>
    <w:rsid w:val="00DE5F82"/>
    <w:rsid w:val="00DE6074"/>
    <w:rsid w:val="00DE63AE"/>
    <w:rsid w:val="00DE6B11"/>
    <w:rsid w:val="00DE6FCC"/>
    <w:rsid w:val="00DE76E4"/>
    <w:rsid w:val="00DE7B0C"/>
    <w:rsid w:val="00DE7BFB"/>
    <w:rsid w:val="00DE7C6D"/>
    <w:rsid w:val="00DE7E26"/>
    <w:rsid w:val="00DF17B1"/>
    <w:rsid w:val="00DF1B06"/>
    <w:rsid w:val="00DF1B16"/>
    <w:rsid w:val="00DF1C83"/>
    <w:rsid w:val="00DF20F5"/>
    <w:rsid w:val="00DF2557"/>
    <w:rsid w:val="00DF42C9"/>
    <w:rsid w:val="00DF46E9"/>
    <w:rsid w:val="00DF4FC2"/>
    <w:rsid w:val="00DF5225"/>
    <w:rsid w:val="00DF56C5"/>
    <w:rsid w:val="00DF60F7"/>
    <w:rsid w:val="00DF63C0"/>
    <w:rsid w:val="00DF65D7"/>
    <w:rsid w:val="00DF71C9"/>
    <w:rsid w:val="00DF74EE"/>
    <w:rsid w:val="00DF7B4A"/>
    <w:rsid w:val="00DF7CAD"/>
    <w:rsid w:val="00E0002E"/>
    <w:rsid w:val="00E00044"/>
    <w:rsid w:val="00E00259"/>
    <w:rsid w:val="00E002E3"/>
    <w:rsid w:val="00E006A1"/>
    <w:rsid w:val="00E00C40"/>
    <w:rsid w:val="00E00C75"/>
    <w:rsid w:val="00E01200"/>
    <w:rsid w:val="00E0148C"/>
    <w:rsid w:val="00E017EC"/>
    <w:rsid w:val="00E017F0"/>
    <w:rsid w:val="00E01D66"/>
    <w:rsid w:val="00E01F22"/>
    <w:rsid w:val="00E023E7"/>
    <w:rsid w:val="00E036C5"/>
    <w:rsid w:val="00E037A3"/>
    <w:rsid w:val="00E0428C"/>
    <w:rsid w:val="00E04445"/>
    <w:rsid w:val="00E04534"/>
    <w:rsid w:val="00E04A35"/>
    <w:rsid w:val="00E04ACA"/>
    <w:rsid w:val="00E04AEB"/>
    <w:rsid w:val="00E05B9B"/>
    <w:rsid w:val="00E05C2E"/>
    <w:rsid w:val="00E061BF"/>
    <w:rsid w:val="00E06537"/>
    <w:rsid w:val="00E0679D"/>
    <w:rsid w:val="00E06C13"/>
    <w:rsid w:val="00E06F71"/>
    <w:rsid w:val="00E0788C"/>
    <w:rsid w:val="00E07E69"/>
    <w:rsid w:val="00E103A6"/>
    <w:rsid w:val="00E1062F"/>
    <w:rsid w:val="00E108F4"/>
    <w:rsid w:val="00E1223E"/>
    <w:rsid w:val="00E1272C"/>
    <w:rsid w:val="00E12950"/>
    <w:rsid w:val="00E13511"/>
    <w:rsid w:val="00E13580"/>
    <w:rsid w:val="00E1362B"/>
    <w:rsid w:val="00E1365E"/>
    <w:rsid w:val="00E13C3B"/>
    <w:rsid w:val="00E13DF2"/>
    <w:rsid w:val="00E13E87"/>
    <w:rsid w:val="00E15249"/>
    <w:rsid w:val="00E15573"/>
    <w:rsid w:val="00E156E4"/>
    <w:rsid w:val="00E15726"/>
    <w:rsid w:val="00E157F1"/>
    <w:rsid w:val="00E15E3B"/>
    <w:rsid w:val="00E16289"/>
    <w:rsid w:val="00E16463"/>
    <w:rsid w:val="00E166CC"/>
    <w:rsid w:val="00E16B0E"/>
    <w:rsid w:val="00E175C0"/>
    <w:rsid w:val="00E17E61"/>
    <w:rsid w:val="00E20796"/>
    <w:rsid w:val="00E20C8C"/>
    <w:rsid w:val="00E20D60"/>
    <w:rsid w:val="00E212D2"/>
    <w:rsid w:val="00E2232D"/>
    <w:rsid w:val="00E2235D"/>
    <w:rsid w:val="00E22A25"/>
    <w:rsid w:val="00E22B5B"/>
    <w:rsid w:val="00E24389"/>
    <w:rsid w:val="00E24E7E"/>
    <w:rsid w:val="00E25D52"/>
    <w:rsid w:val="00E25D76"/>
    <w:rsid w:val="00E27063"/>
    <w:rsid w:val="00E274B1"/>
    <w:rsid w:val="00E307B8"/>
    <w:rsid w:val="00E30A3B"/>
    <w:rsid w:val="00E30AB8"/>
    <w:rsid w:val="00E3199B"/>
    <w:rsid w:val="00E322D2"/>
    <w:rsid w:val="00E32B2F"/>
    <w:rsid w:val="00E32BD5"/>
    <w:rsid w:val="00E32C7F"/>
    <w:rsid w:val="00E33377"/>
    <w:rsid w:val="00E34718"/>
    <w:rsid w:val="00E349EC"/>
    <w:rsid w:val="00E34D1C"/>
    <w:rsid w:val="00E35254"/>
    <w:rsid w:val="00E35E0F"/>
    <w:rsid w:val="00E363DD"/>
    <w:rsid w:val="00E376D9"/>
    <w:rsid w:val="00E37D19"/>
    <w:rsid w:val="00E404F6"/>
    <w:rsid w:val="00E40C2E"/>
    <w:rsid w:val="00E4183E"/>
    <w:rsid w:val="00E41862"/>
    <w:rsid w:val="00E41A94"/>
    <w:rsid w:val="00E41E61"/>
    <w:rsid w:val="00E42083"/>
    <w:rsid w:val="00E422B9"/>
    <w:rsid w:val="00E428CA"/>
    <w:rsid w:val="00E438F2"/>
    <w:rsid w:val="00E43913"/>
    <w:rsid w:val="00E44332"/>
    <w:rsid w:val="00E447B6"/>
    <w:rsid w:val="00E44A06"/>
    <w:rsid w:val="00E44B49"/>
    <w:rsid w:val="00E45639"/>
    <w:rsid w:val="00E45A52"/>
    <w:rsid w:val="00E46345"/>
    <w:rsid w:val="00E464D5"/>
    <w:rsid w:val="00E4653D"/>
    <w:rsid w:val="00E46B52"/>
    <w:rsid w:val="00E46D8A"/>
    <w:rsid w:val="00E4713E"/>
    <w:rsid w:val="00E47F51"/>
    <w:rsid w:val="00E5111E"/>
    <w:rsid w:val="00E5140F"/>
    <w:rsid w:val="00E51F85"/>
    <w:rsid w:val="00E52039"/>
    <w:rsid w:val="00E5296E"/>
    <w:rsid w:val="00E52EAC"/>
    <w:rsid w:val="00E5319E"/>
    <w:rsid w:val="00E531FB"/>
    <w:rsid w:val="00E53A88"/>
    <w:rsid w:val="00E53B04"/>
    <w:rsid w:val="00E53D67"/>
    <w:rsid w:val="00E53D9B"/>
    <w:rsid w:val="00E53F3B"/>
    <w:rsid w:val="00E54202"/>
    <w:rsid w:val="00E543D5"/>
    <w:rsid w:val="00E544B0"/>
    <w:rsid w:val="00E54D7C"/>
    <w:rsid w:val="00E54EC1"/>
    <w:rsid w:val="00E550BB"/>
    <w:rsid w:val="00E552EA"/>
    <w:rsid w:val="00E55456"/>
    <w:rsid w:val="00E555D6"/>
    <w:rsid w:val="00E56468"/>
    <w:rsid w:val="00E567E1"/>
    <w:rsid w:val="00E570E4"/>
    <w:rsid w:val="00E57452"/>
    <w:rsid w:val="00E57D44"/>
    <w:rsid w:val="00E607E0"/>
    <w:rsid w:val="00E621B7"/>
    <w:rsid w:val="00E623F9"/>
    <w:rsid w:val="00E627AF"/>
    <w:rsid w:val="00E62963"/>
    <w:rsid w:val="00E62FAD"/>
    <w:rsid w:val="00E64DA6"/>
    <w:rsid w:val="00E65A06"/>
    <w:rsid w:val="00E65EC4"/>
    <w:rsid w:val="00E66356"/>
    <w:rsid w:val="00E66401"/>
    <w:rsid w:val="00E67236"/>
    <w:rsid w:val="00E6777B"/>
    <w:rsid w:val="00E67FF2"/>
    <w:rsid w:val="00E7122A"/>
    <w:rsid w:val="00E72303"/>
    <w:rsid w:val="00E72855"/>
    <w:rsid w:val="00E72B07"/>
    <w:rsid w:val="00E730D6"/>
    <w:rsid w:val="00E734AF"/>
    <w:rsid w:val="00E735B9"/>
    <w:rsid w:val="00E75991"/>
    <w:rsid w:val="00E75AA4"/>
    <w:rsid w:val="00E76325"/>
    <w:rsid w:val="00E76422"/>
    <w:rsid w:val="00E76CE4"/>
    <w:rsid w:val="00E802FE"/>
    <w:rsid w:val="00E81BF1"/>
    <w:rsid w:val="00E81BF4"/>
    <w:rsid w:val="00E81CF2"/>
    <w:rsid w:val="00E8228E"/>
    <w:rsid w:val="00E82A80"/>
    <w:rsid w:val="00E83318"/>
    <w:rsid w:val="00E83525"/>
    <w:rsid w:val="00E836FD"/>
    <w:rsid w:val="00E839DE"/>
    <w:rsid w:val="00E83FF2"/>
    <w:rsid w:val="00E84ADC"/>
    <w:rsid w:val="00E84E75"/>
    <w:rsid w:val="00E8563D"/>
    <w:rsid w:val="00E85722"/>
    <w:rsid w:val="00E85C8B"/>
    <w:rsid w:val="00E85E52"/>
    <w:rsid w:val="00E8606B"/>
    <w:rsid w:val="00E86123"/>
    <w:rsid w:val="00E86919"/>
    <w:rsid w:val="00E86C74"/>
    <w:rsid w:val="00E870EC"/>
    <w:rsid w:val="00E8756E"/>
    <w:rsid w:val="00E87C85"/>
    <w:rsid w:val="00E87CE3"/>
    <w:rsid w:val="00E87E90"/>
    <w:rsid w:val="00E90033"/>
    <w:rsid w:val="00E9032E"/>
    <w:rsid w:val="00E907C3"/>
    <w:rsid w:val="00E90A21"/>
    <w:rsid w:val="00E9171D"/>
    <w:rsid w:val="00E918B2"/>
    <w:rsid w:val="00E91961"/>
    <w:rsid w:val="00E92183"/>
    <w:rsid w:val="00E92C2A"/>
    <w:rsid w:val="00E94255"/>
    <w:rsid w:val="00E9482A"/>
    <w:rsid w:val="00E94AAA"/>
    <w:rsid w:val="00E94B42"/>
    <w:rsid w:val="00E9546F"/>
    <w:rsid w:val="00E9549D"/>
    <w:rsid w:val="00E95526"/>
    <w:rsid w:val="00E9619D"/>
    <w:rsid w:val="00E96326"/>
    <w:rsid w:val="00E96562"/>
    <w:rsid w:val="00E96747"/>
    <w:rsid w:val="00E9692F"/>
    <w:rsid w:val="00E969EE"/>
    <w:rsid w:val="00E973E1"/>
    <w:rsid w:val="00E9748D"/>
    <w:rsid w:val="00E976DE"/>
    <w:rsid w:val="00EA0041"/>
    <w:rsid w:val="00EA0334"/>
    <w:rsid w:val="00EA0606"/>
    <w:rsid w:val="00EA149B"/>
    <w:rsid w:val="00EA1A2A"/>
    <w:rsid w:val="00EA1DCA"/>
    <w:rsid w:val="00EA22CC"/>
    <w:rsid w:val="00EA295F"/>
    <w:rsid w:val="00EA37CA"/>
    <w:rsid w:val="00EA3B96"/>
    <w:rsid w:val="00EA40ED"/>
    <w:rsid w:val="00EA45A3"/>
    <w:rsid w:val="00EA5598"/>
    <w:rsid w:val="00EA5C6D"/>
    <w:rsid w:val="00EA63A9"/>
    <w:rsid w:val="00EA6FC0"/>
    <w:rsid w:val="00EA7430"/>
    <w:rsid w:val="00EA77D7"/>
    <w:rsid w:val="00EA7826"/>
    <w:rsid w:val="00EA7936"/>
    <w:rsid w:val="00EB0C80"/>
    <w:rsid w:val="00EB1716"/>
    <w:rsid w:val="00EB18C1"/>
    <w:rsid w:val="00EB26AD"/>
    <w:rsid w:val="00EB335E"/>
    <w:rsid w:val="00EB44C0"/>
    <w:rsid w:val="00EB4BC4"/>
    <w:rsid w:val="00EB60E3"/>
    <w:rsid w:val="00EB6B5F"/>
    <w:rsid w:val="00EB78AA"/>
    <w:rsid w:val="00EC04AE"/>
    <w:rsid w:val="00EC05AF"/>
    <w:rsid w:val="00EC072B"/>
    <w:rsid w:val="00EC0E87"/>
    <w:rsid w:val="00EC2204"/>
    <w:rsid w:val="00EC2494"/>
    <w:rsid w:val="00EC261A"/>
    <w:rsid w:val="00EC26F9"/>
    <w:rsid w:val="00EC2D7C"/>
    <w:rsid w:val="00EC317E"/>
    <w:rsid w:val="00EC32DC"/>
    <w:rsid w:val="00EC3F8E"/>
    <w:rsid w:val="00EC41DC"/>
    <w:rsid w:val="00EC4817"/>
    <w:rsid w:val="00EC583F"/>
    <w:rsid w:val="00EC5863"/>
    <w:rsid w:val="00EC61C3"/>
    <w:rsid w:val="00EC6E91"/>
    <w:rsid w:val="00EC7EF6"/>
    <w:rsid w:val="00ED0531"/>
    <w:rsid w:val="00ED0A00"/>
    <w:rsid w:val="00ED1B41"/>
    <w:rsid w:val="00ED25A6"/>
    <w:rsid w:val="00ED26C0"/>
    <w:rsid w:val="00ED285D"/>
    <w:rsid w:val="00ED3B20"/>
    <w:rsid w:val="00ED42D0"/>
    <w:rsid w:val="00ED57F1"/>
    <w:rsid w:val="00ED5805"/>
    <w:rsid w:val="00ED5B1D"/>
    <w:rsid w:val="00ED607E"/>
    <w:rsid w:val="00ED627E"/>
    <w:rsid w:val="00ED6355"/>
    <w:rsid w:val="00ED716D"/>
    <w:rsid w:val="00ED7385"/>
    <w:rsid w:val="00ED747E"/>
    <w:rsid w:val="00ED74FF"/>
    <w:rsid w:val="00EE0500"/>
    <w:rsid w:val="00EE08D4"/>
    <w:rsid w:val="00EE0D69"/>
    <w:rsid w:val="00EE176F"/>
    <w:rsid w:val="00EE1E6E"/>
    <w:rsid w:val="00EE20A8"/>
    <w:rsid w:val="00EE25CE"/>
    <w:rsid w:val="00EE2D19"/>
    <w:rsid w:val="00EE3323"/>
    <w:rsid w:val="00EE3BD6"/>
    <w:rsid w:val="00EE3EDA"/>
    <w:rsid w:val="00EE5064"/>
    <w:rsid w:val="00EE53BC"/>
    <w:rsid w:val="00EE5BCA"/>
    <w:rsid w:val="00EE7984"/>
    <w:rsid w:val="00EF041E"/>
    <w:rsid w:val="00EF0484"/>
    <w:rsid w:val="00EF0CA5"/>
    <w:rsid w:val="00EF0DE9"/>
    <w:rsid w:val="00EF113C"/>
    <w:rsid w:val="00EF1679"/>
    <w:rsid w:val="00EF226D"/>
    <w:rsid w:val="00EF2A96"/>
    <w:rsid w:val="00EF40D5"/>
    <w:rsid w:val="00EF4105"/>
    <w:rsid w:val="00EF4D49"/>
    <w:rsid w:val="00EF5465"/>
    <w:rsid w:val="00EF583E"/>
    <w:rsid w:val="00EF608C"/>
    <w:rsid w:val="00EF6915"/>
    <w:rsid w:val="00EF6C2A"/>
    <w:rsid w:val="00EF744F"/>
    <w:rsid w:val="00EF74D3"/>
    <w:rsid w:val="00EF75A1"/>
    <w:rsid w:val="00EF7B64"/>
    <w:rsid w:val="00EF7C99"/>
    <w:rsid w:val="00F0001F"/>
    <w:rsid w:val="00F0023D"/>
    <w:rsid w:val="00F00555"/>
    <w:rsid w:val="00F010BE"/>
    <w:rsid w:val="00F010FD"/>
    <w:rsid w:val="00F015BE"/>
    <w:rsid w:val="00F01F87"/>
    <w:rsid w:val="00F02572"/>
    <w:rsid w:val="00F026C7"/>
    <w:rsid w:val="00F02F41"/>
    <w:rsid w:val="00F02FE4"/>
    <w:rsid w:val="00F03C4C"/>
    <w:rsid w:val="00F040FE"/>
    <w:rsid w:val="00F0427C"/>
    <w:rsid w:val="00F04CE2"/>
    <w:rsid w:val="00F054C0"/>
    <w:rsid w:val="00F0603C"/>
    <w:rsid w:val="00F060E7"/>
    <w:rsid w:val="00F061E8"/>
    <w:rsid w:val="00F065BC"/>
    <w:rsid w:val="00F06CE7"/>
    <w:rsid w:val="00F06FAC"/>
    <w:rsid w:val="00F07263"/>
    <w:rsid w:val="00F0734C"/>
    <w:rsid w:val="00F076D3"/>
    <w:rsid w:val="00F07C57"/>
    <w:rsid w:val="00F103F8"/>
    <w:rsid w:val="00F1046E"/>
    <w:rsid w:val="00F107D4"/>
    <w:rsid w:val="00F11051"/>
    <w:rsid w:val="00F1129A"/>
    <w:rsid w:val="00F11F03"/>
    <w:rsid w:val="00F127C2"/>
    <w:rsid w:val="00F13462"/>
    <w:rsid w:val="00F1362E"/>
    <w:rsid w:val="00F13DCE"/>
    <w:rsid w:val="00F13F73"/>
    <w:rsid w:val="00F14624"/>
    <w:rsid w:val="00F152E4"/>
    <w:rsid w:val="00F1541C"/>
    <w:rsid w:val="00F157D9"/>
    <w:rsid w:val="00F15A7F"/>
    <w:rsid w:val="00F15CED"/>
    <w:rsid w:val="00F15EE0"/>
    <w:rsid w:val="00F15EE4"/>
    <w:rsid w:val="00F164B7"/>
    <w:rsid w:val="00F1780E"/>
    <w:rsid w:val="00F17993"/>
    <w:rsid w:val="00F17A87"/>
    <w:rsid w:val="00F20286"/>
    <w:rsid w:val="00F203D3"/>
    <w:rsid w:val="00F203F3"/>
    <w:rsid w:val="00F2045D"/>
    <w:rsid w:val="00F21CEA"/>
    <w:rsid w:val="00F2231A"/>
    <w:rsid w:val="00F22553"/>
    <w:rsid w:val="00F22964"/>
    <w:rsid w:val="00F22F99"/>
    <w:rsid w:val="00F2422D"/>
    <w:rsid w:val="00F24491"/>
    <w:rsid w:val="00F249CB"/>
    <w:rsid w:val="00F25759"/>
    <w:rsid w:val="00F25C03"/>
    <w:rsid w:val="00F25E8B"/>
    <w:rsid w:val="00F2604C"/>
    <w:rsid w:val="00F260D6"/>
    <w:rsid w:val="00F2636A"/>
    <w:rsid w:val="00F264E4"/>
    <w:rsid w:val="00F26826"/>
    <w:rsid w:val="00F26BE4"/>
    <w:rsid w:val="00F276E7"/>
    <w:rsid w:val="00F27B3A"/>
    <w:rsid w:val="00F30B1D"/>
    <w:rsid w:val="00F30D7D"/>
    <w:rsid w:val="00F30E30"/>
    <w:rsid w:val="00F310A8"/>
    <w:rsid w:val="00F3147E"/>
    <w:rsid w:val="00F316D3"/>
    <w:rsid w:val="00F31A02"/>
    <w:rsid w:val="00F322DD"/>
    <w:rsid w:val="00F33530"/>
    <w:rsid w:val="00F33CBA"/>
    <w:rsid w:val="00F3448E"/>
    <w:rsid w:val="00F353F2"/>
    <w:rsid w:val="00F366B0"/>
    <w:rsid w:val="00F36ECD"/>
    <w:rsid w:val="00F37871"/>
    <w:rsid w:val="00F3794F"/>
    <w:rsid w:val="00F37AAC"/>
    <w:rsid w:val="00F37FE1"/>
    <w:rsid w:val="00F40125"/>
    <w:rsid w:val="00F40AB1"/>
    <w:rsid w:val="00F40B38"/>
    <w:rsid w:val="00F41233"/>
    <w:rsid w:val="00F41304"/>
    <w:rsid w:val="00F41CF9"/>
    <w:rsid w:val="00F41DAA"/>
    <w:rsid w:val="00F42ADF"/>
    <w:rsid w:val="00F42FB1"/>
    <w:rsid w:val="00F43417"/>
    <w:rsid w:val="00F437EF"/>
    <w:rsid w:val="00F440FA"/>
    <w:rsid w:val="00F4429D"/>
    <w:rsid w:val="00F443F5"/>
    <w:rsid w:val="00F44C67"/>
    <w:rsid w:val="00F4671E"/>
    <w:rsid w:val="00F47105"/>
    <w:rsid w:val="00F4723D"/>
    <w:rsid w:val="00F474AF"/>
    <w:rsid w:val="00F503AB"/>
    <w:rsid w:val="00F50A24"/>
    <w:rsid w:val="00F50BA8"/>
    <w:rsid w:val="00F513A1"/>
    <w:rsid w:val="00F514D2"/>
    <w:rsid w:val="00F51797"/>
    <w:rsid w:val="00F51891"/>
    <w:rsid w:val="00F51D74"/>
    <w:rsid w:val="00F5291F"/>
    <w:rsid w:val="00F52C44"/>
    <w:rsid w:val="00F52FD5"/>
    <w:rsid w:val="00F53196"/>
    <w:rsid w:val="00F53D3D"/>
    <w:rsid w:val="00F54602"/>
    <w:rsid w:val="00F54A29"/>
    <w:rsid w:val="00F55243"/>
    <w:rsid w:val="00F5571B"/>
    <w:rsid w:val="00F5578D"/>
    <w:rsid w:val="00F568C4"/>
    <w:rsid w:val="00F56F69"/>
    <w:rsid w:val="00F57160"/>
    <w:rsid w:val="00F57674"/>
    <w:rsid w:val="00F608BF"/>
    <w:rsid w:val="00F60A2A"/>
    <w:rsid w:val="00F60B13"/>
    <w:rsid w:val="00F60D9D"/>
    <w:rsid w:val="00F6144C"/>
    <w:rsid w:val="00F61672"/>
    <w:rsid w:val="00F61FF1"/>
    <w:rsid w:val="00F6210A"/>
    <w:rsid w:val="00F625A2"/>
    <w:rsid w:val="00F6306C"/>
    <w:rsid w:val="00F630F4"/>
    <w:rsid w:val="00F64EEC"/>
    <w:rsid w:val="00F659D2"/>
    <w:rsid w:val="00F65A16"/>
    <w:rsid w:val="00F66283"/>
    <w:rsid w:val="00F67155"/>
    <w:rsid w:val="00F678AC"/>
    <w:rsid w:val="00F67E5A"/>
    <w:rsid w:val="00F67F1A"/>
    <w:rsid w:val="00F7010E"/>
    <w:rsid w:val="00F70124"/>
    <w:rsid w:val="00F70842"/>
    <w:rsid w:val="00F70CB2"/>
    <w:rsid w:val="00F718DB"/>
    <w:rsid w:val="00F7197A"/>
    <w:rsid w:val="00F71FA3"/>
    <w:rsid w:val="00F7230C"/>
    <w:rsid w:val="00F7265D"/>
    <w:rsid w:val="00F72B28"/>
    <w:rsid w:val="00F72EB0"/>
    <w:rsid w:val="00F731D3"/>
    <w:rsid w:val="00F73462"/>
    <w:rsid w:val="00F738B8"/>
    <w:rsid w:val="00F74668"/>
    <w:rsid w:val="00F74DFB"/>
    <w:rsid w:val="00F7500E"/>
    <w:rsid w:val="00F75564"/>
    <w:rsid w:val="00F75999"/>
    <w:rsid w:val="00F75CB2"/>
    <w:rsid w:val="00F75F65"/>
    <w:rsid w:val="00F77534"/>
    <w:rsid w:val="00F80A0A"/>
    <w:rsid w:val="00F80EED"/>
    <w:rsid w:val="00F811F9"/>
    <w:rsid w:val="00F81560"/>
    <w:rsid w:val="00F81907"/>
    <w:rsid w:val="00F819A7"/>
    <w:rsid w:val="00F82617"/>
    <w:rsid w:val="00F82A93"/>
    <w:rsid w:val="00F82AC5"/>
    <w:rsid w:val="00F838F6"/>
    <w:rsid w:val="00F83944"/>
    <w:rsid w:val="00F845A9"/>
    <w:rsid w:val="00F846E5"/>
    <w:rsid w:val="00F8597E"/>
    <w:rsid w:val="00F868DA"/>
    <w:rsid w:val="00F869B5"/>
    <w:rsid w:val="00F87B2A"/>
    <w:rsid w:val="00F87BE9"/>
    <w:rsid w:val="00F91636"/>
    <w:rsid w:val="00F91C3A"/>
    <w:rsid w:val="00F91CE4"/>
    <w:rsid w:val="00F920F6"/>
    <w:rsid w:val="00F92D64"/>
    <w:rsid w:val="00F93579"/>
    <w:rsid w:val="00F93913"/>
    <w:rsid w:val="00F93C02"/>
    <w:rsid w:val="00F954B2"/>
    <w:rsid w:val="00F95872"/>
    <w:rsid w:val="00F9611F"/>
    <w:rsid w:val="00F963AD"/>
    <w:rsid w:val="00F97738"/>
    <w:rsid w:val="00F97871"/>
    <w:rsid w:val="00FA03A9"/>
    <w:rsid w:val="00FA049C"/>
    <w:rsid w:val="00FA055B"/>
    <w:rsid w:val="00FA06DD"/>
    <w:rsid w:val="00FA0979"/>
    <w:rsid w:val="00FA16DD"/>
    <w:rsid w:val="00FA2AFB"/>
    <w:rsid w:val="00FA2DA1"/>
    <w:rsid w:val="00FA3B2C"/>
    <w:rsid w:val="00FA3F3E"/>
    <w:rsid w:val="00FA4292"/>
    <w:rsid w:val="00FA4E4F"/>
    <w:rsid w:val="00FA5AB8"/>
    <w:rsid w:val="00FA62DB"/>
    <w:rsid w:val="00FA62EB"/>
    <w:rsid w:val="00FA6F06"/>
    <w:rsid w:val="00FB016A"/>
    <w:rsid w:val="00FB0787"/>
    <w:rsid w:val="00FB08F2"/>
    <w:rsid w:val="00FB137E"/>
    <w:rsid w:val="00FB13AA"/>
    <w:rsid w:val="00FB2116"/>
    <w:rsid w:val="00FB2B35"/>
    <w:rsid w:val="00FB2DE7"/>
    <w:rsid w:val="00FB37B0"/>
    <w:rsid w:val="00FB3C8B"/>
    <w:rsid w:val="00FB3CF2"/>
    <w:rsid w:val="00FB5096"/>
    <w:rsid w:val="00FB5224"/>
    <w:rsid w:val="00FB53CD"/>
    <w:rsid w:val="00FB57B9"/>
    <w:rsid w:val="00FB614E"/>
    <w:rsid w:val="00FB64CA"/>
    <w:rsid w:val="00FB6798"/>
    <w:rsid w:val="00FB67BE"/>
    <w:rsid w:val="00FB6841"/>
    <w:rsid w:val="00FB6A4C"/>
    <w:rsid w:val="00FB6AB9"/>
    <w:rsid w:val="00FB6CB2"/>
    <w:rsid w:val="00FB7780"/>
    <w:rsid w:val="00FC0858"/>
    <w:rsid w:val="00FC0F52"/>
    <w:rsid w:val="00FC18F0"/>
    <w:rsid w:val="00FC1946"/>
    <w:rsid w:val="00FC19BB"/>
    <w:rsid w:val="00FC22DF"/>
    <w:rsid w:val="00FC28A6"/>
    <w:rsid w:val="00FC2EFE"/>
    <w:rsid w:val="00FC304F"/>
    <w:rsid w:val="00FC3ED1"/>
    <w:rsid w:val="00FC3FDB"/>
    <w:rsid w:val="00FC408A"/>
    <w:rsid w:val="00FC4CD8"/>
    <w:rsid w:val="00FC4D4D"/>
    <w:rsid w:val="00FC4F12"/>
    <w:rsid w:val="00FC565B"/>
    <w:rsid w:val="00FC57F1"/>
    <w:rsid w:val="00FC5FD3"/>
    <w:rsid w:val="00FC62FC"/>
    <w:rsid w:val="00FC66DE"/>
    <w:rsid w:val="00FC7422"/>
    <w:rsid w:val="00FC791C"/>
    <w:rsid w:val="00FD0346"/>
    <w:rsid w:val="00FD0888"/>
    <w:rsid w:val="00FD0C57"/>
    <w:rsid w:val="00FD0F49"/>
    <w:rsid w:val="00FD1483"/>
    <w:rsid w:val="00FD14E3"/>
    <w:rsid w:val="00FD18A6"/>
    <w:rsid w:val="00FD1B45"/>
    <w:rsid w:val="00FD1FCA"/>
    <w:rsid w:val="00FD204E"/>
    <w:rsid w:val="00FD23A2"/>
    <w:rsid w:val="00FD260A"/>
    <w:rsid w:val="00FD377D"/>
    <w:rsid w:val="00FD3DC1"/>
    <w:rsid w:val="00FD42EE"/>
    <w:rsid w:val="00FD4410"/>
    <w:rsid w:val="00FD4DD5"/>
    <w:rsid w:val="00FD56D6"/>
    <w:rsid w:val="00FD5A81"/>
    <w:rsid w:val="00FD6075"/>
    <w:rsid w:val="00FD6203"/>
    <w:rsid w:val="00FD620C"/>
    <w:rsid w:val="00FE01B8"/>
    <w:rsid w:val="00FE051A"/>
    <w:rsid w:val="00FE091B"/>
    <w:rsid w:val="00FE0B5E"/>
    <w:rsid w:val="00FE0BE4"/>
    <w:rsid w:val="00FE0EA2"/>
    <w:rsid w:val="00FE11BB"/>
    <w:rsid w:val="00FE1E2E"/>
    <w:rsid w:val="00FE25D4"/>
    <w:rsid w:val="00FE2BE6"/>
    <w:rsid w:val="00FE384B"/>
    <w:rsid w:val="00FE3B8F"/>
    <w:rsid w:val="00FE3D00"/>
    <w:rsid w:val="00FE4189"/>
    <w:rsid w:val="00FE4250"/>
    <w:rsid w:val="00FE4335"/>
    <w:rsid w:val="00FE4F00"/>
    <w:rsid w:val="00FE51CD"/>
    <w:rsid w:val="00FE5655"/>
    <w:rsid w:val="00FE6024"/>
    <w:rsid w:val="00FE6B18"/>
    <w:rsid w:val="00FE6F19"/>
    <w:rsid w:val="00FE778E"/>
    <w:rsid w:val="00FE7AC9"/>
    <w:rsid w:val="00FE7CF7"/>
    <w:rsid w:val="00FF0A57"/>
    <w:rsid w:val="00FF12AA"/>
    <w:rsid w:val="00FF15DE"/>
    <w:rsid w:val="00FF1688"/>
    <w:rsid w:val="00FF1B48"/>
    <w:rsid w:val="00FF2A6C"/>
    <w:rsid w:val="00FF2DE0"/>
    <w:rsid w:val="00FF2E16"/>
    <w:rsid w:val="00FF344D"/>
    <w:rsid w:val="00FF347C"/>
    <w:rsid w:val="00FF355E"/>
    <w:rsid w:val="00FF3932"/>
    <w:rsid w:val="00FF4183"/>
    <w:rsid w:val="00FF5169"/>
    <w:rsid w:val="00FF55BE"/>
    <w:rsid w:val="00FF6A13"/>
    <w:rsid w:val="00FF6D64"/>
    <w:rsid w:val="00FF6D74"/>
    <w:rsid w:val="00FF7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cf,#ff6"/>
    </o:shapedefaults>
    <o:shapelayout v:ext="edit">
      <o:idmap v:ext="edit" data="1"/>
    </o:shapelayout>
  </w:shapeDefaults>
  <w:decimalSymbol w:val=","/>
  <w:listSeparator w:val=";"/>
  <w15:docId w15:val="{68FAD408-E042-4F8F-87C5-BA954A6F1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98A"/>
  </w:style>
  <w:style w:type="paragraph" w:styleId="1">
    <w:name w:val="heading 1"/>
    <w:basedOn w:val="a"/>
    <w:next w:val="a"/>
    <w:link w:val="10"/>
    <w:qFormat/>
    <w:rsid w:val="001F183B"/>
    <w:pPr>
      <w:keepNext/>
      <w:spacing w:after="0" w:line="240" w:lineRule="auto"/>
      <w:jc w:val="center"/>
      <w:outlineLvl w:val="0"/>
    </w:pPr>
    <w:rPr>
      <w:rFonts w:ascii="Times New Roman" w:eastAsia="Times New Roman" w:hAnsi="Times New Roman" w:cs="Times New Roman"/>
      <w:sz w:val="28"/>
      <w:szCs w:val="20"/>
      <w:lang w:val="uk-UA" w:eastAsia="uk-UA"/>
    </w:rPr>
  </w:style>
  <w:style w:type="paragraph" w:styleId="2">
    <w:name w:val="heading 2"/>
    <w:basedOn w:val="a"/>
    <w:next w:val="a"/>
    <w:link w:val="20"/>
    <w:unhideWhenUsed/>
    <w:qFormat/>
    <w:rsid w:val="00E46D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D07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183B"/>
    <w:rPr>
      <w:rFonts w:ascii="Times New Roman" w:eastAsia="Times New Roman" w:hAnsi="Times New Roman" w:cs="Times New Roman"/>
      <w:sz w:val="28"/>
      <w:szCs w:val="20"/>
      <w:lang w:val="uk-UA" w:eastAsia="uk-UA"/>
    </w:rPr>
  </w:style>
  <w:style w:type="character" w:customStyle="1" w:styleId="20">
    <w:name w:val="Заголовок 2 Знак"/>
    <w:basedOn w:val="a0"/>
    <w:link w:val="2"/>
    <w:rsid w:val="00E46D8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8D077A"/>
    <w:rPr>
      <w:rFonts w:asciiTheme="majorHAnsi" w:eastAsiaTheme="majorEastAsia" w:hAnsiTheme="majorHAnsi" w:cstheme="majorBidi"/>
      <w:b/>
      <w:bCs/>
      <w:color w:val="4F81BD" w:themeColor="accent1"/>
    </w:rPr>
  </w:style>
  <w:style w:type="table" w:styleId="a3">
    <w:name w:val="Table Grid"/>
    <w:basedOn w:val="a1"/>
    <w:uiPriority w:val="39"/>
    <w:rsid w:val="008E30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6761A"/>
    <w:pPr>
      <w:ind w:left="720"/>
      <w:contextualSpacing/>
    </w:pPr>
  </w:style>
  <w:style w:type="paragraph" w:styleId="a5">
    <w:name w:val="Body Text"/>
    <w:basedOn w:val="a"/>
    <w:link w:val="a6"/>
    <w:rsid w:val="005401A3"/>
    <w:pPr>
      <w:spacing w:after="0" w:line="240" w:lineRule="auto"/>
      <w:jc w:val="both"/>
    </w:pPr>
    <w:rPr>
      <w:rFonts w:ascii="Arial" w:eastAsia="Times New Roman" w:hAnsi="Arial" w:cs="Times New Roman"/>
      <w:sz w:val="24"/>
      <w:szCs w:val="20"/>
      <w:lang w:val="uk-UA" w:eastAsia="ru-RU"/>
    </w:rPr>
  </w:style>
  <w:style w:type="character" w:customStyle="1" w:styleId="a6">
    <w:name w:val="Основной текст Знак"/>
    <w:basedOn w:val="a0"/>
    <w:link w:val="a5"/>
    <w:rsid w:val="005401A3"/>
    <w:rPr>
      <w:rFonts w:ascii="Arial" w:eastAsia="Times New Roman" w:hAnsi="Arial" w:cs="Times New Roman"/>
      <w:sz w:val="24"/>
      <w:szCs w:val="20"/>
      <w:lang w:val="uk-UA" w:eastAsia="ru-RU"/>
    </w:rPr>
  </w:style>
  <w:style w:type="paragraph" w:styleId="a7">
    <w:name w:val="Balloon Text"/>
    <w:basedOn w:val="a"/>
    <w:link w:val="a8"/>
    <w:semiHidden/>
    <w:unhideWhenUsed/>
    <w:rsid w:val="00CC337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C337D"/>
    <w:rPr>
      <w:rFonts w:ascii="Tahoma" w:hAnsi="Tahoma" w:cs="Tahoma"/>
      <w:sz w:val="16"/>
      <w:szCs w:val="16"/>
    </w:rPr>
  </w:style>
  <w:style w:type="paragraph" w:customStyle="1" w:styleId="a9">
    <w:name w:val="Стиль"/>
    <w:uiPriority w:val="99"/>
    <w:rsid w:val="000C322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653709"/>
    <w:pPr>
      <w:spacing w:before="100" w:beforeAutospacing="1" w:after="115" w:line="240" w:lineRule="auto"/>
    </w:pPr>
    <w:rPr>
      <w:rFonts w:ascii="Times New Roman" w:eastAsia="Times New Roman" w:hAnsi="Times New Roman" w:cs="Times New Roman"/>
      <w:color w:val="000000"/>
      <w:sz w:val="24"/>
      <w:szCs w:val="24"/>
      <w:lang w:eastAsia="ru-RU"/>
    </w:rPr>
  </w:style>
  <w:style w:type="paragraph" w:customStyle="1" w:styleId="rvps2">
    <w:name w:val="rvps2"/>
    <w:basedOn w:val="a"/>
    <w:rsid w:val="001F18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unhideWhenUsed/>
    <w:rsid w:val="00713951"/>
    <w:rPr>
      <w:color w:val="0066CC"/>
      <w:u w:val="single"/>
    </w:rPr>
  </w:style>
  <w:style w:type="paragraph" w:styleId="ab">
    <w:name w:val="header"/>
    <w:basedOn w:val="a"/>
    <w:link w:val="ac"/>
    <w:unhideWhenUsed/>
    <w:rsid w:val="000B07E2"/>
    <w:pPr>
      <w:tabs>
        <w:tab w:val="center" w:pos="4677"/>
        <w:tab w:val="right" w:pos="9355"/>
      </w:tabs>
      <w:spacing w:after="0" w:line="240" w:lineRule="auto"/>
    </w:pPr>
  </w:style>
  <w:style w:type="character" w:customStyle="1" w:styleId="ac">
    <w:name w:val="Верхний колонтитул Знак"/>
    <w:basedOn w:val="a0"/>
    <w:link w:val="ab"/>
    <w:rsid w:val="000B07E2"/>
  </w:style>
  <w:style w:type="paragraph" w:styleId="ad">
    <w:name w:val="footer"/>
    <w:basedOn w:val="a"/>
    <w:link w:val="ae"/>
    <w:uiPriority w:val="99"/>
    <w:unhideWhenUsed/>
    <w:rsid w:val="000B07E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B07E2"/>
  </w:style>
  <w:style w:type="paragraph" w:styleId="af">
    <w:name w:val="Normal (Web)"/>
    <w:aliases w:val="Обычный (Web)"/>
    <w:basedOn w:val="a"/>
    <w:uiPriority w:val="99"/>
    <w:rsid w:val="00473D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0">
    <w:name w:val="Нормальний текст"/>
    <w:basedOn w:val="a"/>
    <w:link w:val="af1"/>
    <w:qFormat/>
    <w:rsid w:val="00473D59"/>
    <w:pPr>
      <w:spacing w:before="120" w:after="0" w:line="240" w:lineRule="auto"/>
      <w:ind w:firstLine="567"/>
      <w:jc w:val="both"/>
    </w:pPr>
    <w:rPr>
      <w:rFonts w:ascii="Antiqua" w:eastAsia="Times New Roman" w:hAnsi="Antiqua" w:cs="Antiqua"/>
      <w:sz w:val="26"/>
      <w:szCs w:val="26"/>
      <w:lang w:val="uk-UA" w:eastAsia="ru-RU"/>
    </w:rPr>
  </w:style>
  <w:style w:type="character" w:customStyle="1" w:styleId="af1">
    <w:name w:val="Нормальний текст Знак"/>
    <w:link w:val="af0"/>
    <w:locked/>
    <w:rsid w:val="00E44A06"/>
    <w:rPr>
      <w:rFonts w:ascii="Antiqua" w:eastAsia="Times New Roman" w:hAnsi="Antiqua" w:cs="Antiqua"/>
      <w:sz w:val="26"/>
      <w:szCs w:val="26"/>
      <w:lang w:val="uk-UA" w:eastAsia="ru-RU"/>
    </w:rPr>
  </w:style>
  <w:style w:type="paragraph" w:styleId="af2">
    <w:name w:val="caption"/>
    <w:basedOn w:val="a"/>
    <w:next w:val="a"/>
    <w:unhideWhenUsed/>
    <w:qFormat/>
    <w:rsid w:val="00F41CF9"/>
    <w:pPr>
      <w:spacing w:line="240" w:lineRule="auto"/>
    </w:pPr>
    <w:rPr>
      <w:b/>
      <w:bCs/>
      <w:color w:val="4F81BD" w:themeColor="accent1"/>
      <w:sz w:val="18"/>
      <w:szCs w:val="18"/>
    </w:rPr>
  </w:style>
  <w:style w:type="paragraph" w:customStyle="1" w:styleId="af3">
    <w:name w:val="Знак Знак Знак"/>
    <w:basedOn w:val="a"/>
    <w:rsid w:val="00AB7072"/>
    <w:pPr>
      <w:spacing w:after="0" w:line="240" w:lineRule="auto"/>
    </w:pPr>
    <w:rPr>
      <w:rFonts w:ascii="Verdana" w:eastAsia="Times New Roman" w:hAnsi="Verdana" w:cs="Verdana"/>
      <w:sz w:val="20"/>
      <w:szCs w:val="20"/>
      <w:lang w:val="en-US"/>
    </w:rPr>
  </w:style>
  <w:style w:type="paragraph" w:styleId="af4">
    <w:name w:val="Plain Text"/>
    <w:basedOn w:val="a"/>
    <w:link w:val="af5"/>
    <w:uiPriority w:val="99"/>
    <w:unhideWhenUsed/>
    <w:rsid w:val="00E04534"/>
    <w:pPr>
      <w:spacing w:after="0" w:line="240" w:lineRule="auto"/>
    </w:pPr>
    <w:rPr>
      <w:rFonts w:ascii="Consolas" w:hAnsi="Consolas"/>
      <w:sz w:val="21"/>
      <w:szCs w:val="21"/>
    </w:rPr>
  </w:style>
  <w:style w:type="character" w:customStyle="1" w:styleId="af5">
    <w:name w:val="Текст Знак"/>
    <w:basedOn w:val="a0"/>
    <w:link w:val="af4"/>
    <w:uiPriority w:val="99"/>
    <w:rsid w:val="00E04534"/>
    <w:rPr>
      <w:rFonts w:ascii="Consolas" w:hAnsi="Consolas"/>
      <w:sz w:val="21"/>
      <w:szCs w:val="21"/>
    </w:rPr>
  </w:style>
  <w:style w:type="paragraph" w:customStyle="1" w:styleId="rvps12">
    <w:name w:val="rvps12"/>
    <w:basedOn w:val="a"/>
    <w:rsid w:val="00F22F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Strong"/>
    <w:basedOn w:val="a0"/>
    <w:uiPriority w:val="22"/>
    <w:qFormat/>
    <w:rsid w:val="00670147"/>
    <w:rPr>
      <w:b/>
      <w:bCs/>
    </w:rPr>
  </w:style>
  <w:style w:type="character" w:customStyle="1" w:styleId="apple-converted-space">
    <w:name w:val="apple-converted-space"/>
    <w:basedOn w:val="a0"/>
    <w:rsid w:val="008B1613"/>
  </w:style>
  <w:style w:type="paragraph" w:styleId="af7">
    <w:name w:val="No Spacing"/>
    <w:uiPriority w:val="1"/>
    <w:qFormat/>
    <w:rsid w:val="008B1613"/>
    <w:pPr>
      <w:spacing w:after="0" w:line="240" w:lineRule="auto"/>
    </w:pPr>
    <w:rPr>
      <w:rFonts w:ascii="Calibri" w:eastAsia="Calibri" w:hAnsi="Calibri" w:cs="Times New Roman"/>
    </w:rPr>
  </w:style>
  <w:style w:type="paragraph" w:styleId="af8">
    <w:name w:val="Title"/>
    <w:basedOn w:val="a"/>
    <w:link w:val="af9"/>
    <w:qFormat/>
    <w:rsid w:val="00464577"/>
    <w:pPr>
      <w:spacing w:after="0" w:line="240" w:lineRule="auto"/>
      <w:ind w:firstLine="709"/>
      <w:jc w:val="center"/>
    </w:pPr>
    <w:rPr>
      <w:rFonts w:ascii="Times New Roman" w:eastAsia="Times New Roman" w:hAnsi="Times New Roman" w:cs="Times New Roman"/>
      <w:b/>
      <w:sz w:val="28"/>
      <w:szCs w:val="20"/>
      <w:lang w:val="uk-UA" w:eastAsia="ru-RU"/>
    </w:rPr>
  </w:style>
  <w:style w:type="character" w:customStyle="1" w:styleId="af9">
    <w:name w:val="Название Знак"/>
    <w:basedOn w:val="a0"/>
    <w:link w:val="af8"/>
    <w:rsid w:val="00464577"/>
    <w:rPr>
      <w:rFonts w:ascii="Times New Roman" w:eastAsia="Times New Roman" w:hAnsi="Times New Roman" w:cs="Times New Roman"/>
      <w:b/>
      <w:sz w:val="28"/>
      <w:szCs w:val="20"/>
      <w:lang w:val="uk-UA" w:eastAsia="ru-RU"/>
    </w:rPr>
  </w:style>
  <w:style w:type="character" w:customStyle="1" w:styleId="rvts23">
    <w:name w:val="rvts23"/>
    <w:basedOn w:val="a0"/>
    <w:rsid w:val="00464577"/>
  </w:style>
  <w:style w:type="character" w:customStyle="1" w:styleId="shorttext">
    <w:name w:val="short_text"/>
    <w:basedOn w:val="a0"/>
    <w:rsid w:val="00464577"/>
  </w:style>
  <w:style w:type="character" w:customStyle="1" w:styleId="hps">
    <w:name w:val="hps"/>
    <w:basedOn w:val="a0"/>
    <w:rsid w:val="00464577"/>
  </w:style>
  <w:style w:type="character" w:customStyle="1" w:styleId="rvts0">
    <w:name w:val="rvts0"/>
    <w:basedOn w:val="a0"/>
    <w:rsid w:val="00464577"/>
  </w:style>
  <w:style w:type="paragraph" w:styleId="21">
    <w:name w:val="Body Text Indent 2"/>
    <w:basedOn w:val="a"/>
    <w:link w:val="22"/>
    <w:uiPriority w:val="99"/>
    <w:rsid w:val="00C10BCE"/>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C10BCE"/>
    <w:rPr>
      <w:rFonts w:ascii="Times New Roman" w:eastAsia="Times New Roman" w:hAnsi="Times New Roman" w:cs="Times New Roman"/>
      <w:sz w:val="24"/>
      <w:szCs w:val="24"/>
      <w:lang w:eastAsia="ru-RU"/>
    </w:rPr>
  </w:style>
  <w:style w:type="paragraph" w:customStyle="1" w:styleId="afa">
    <w:name w:val="Базовый"/>
    <w:rsid w:val="006F66DD"/>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lang w:eastAsia="ru-RU"/>
    </w:rPr>
  </w:style>
  <w:style w:type="character" w:styleId="afb">
    <w:name w:val="Placeholder Text"/>
    <w:basedOn w:val="a0"/>
    <w:uiPriority w:val="99"/>
    <w:semiHidden/>
    <w:rsid w:val="003B5DC1"/>
    <w:rPr>
      <w:color w:val="808080"/>
    </w:rPr>
  </w:style>
  <w:style w:type="character" w:customStyle="1" w:styleId="rvts46">
    <w:name w:val="rvts46"/>
    <w:basedOn w:val="a0"/>
    <w:rsid w:val="00AB083D"/>
  </w:style>
  <w:style w:type="paragraph" w:styleId="afc">
    <w:name w:val="Document Map"/>
    <w:basedOn w:val="a"/>
    <w:link w:val="afd"/>
    <w:rsid w:val="001B7BB8"/>
    <w:pPr>
      <w:spacing w:after="0" w:line="240" w:lineRule="auto"/>
    </w:pPr>
    <w:rPr>
      <w:rFonts w:ascii="Tahoma" w:eastAsia="Times New Roman" w:hAnsi="Tahoma" w:cs="Tahoma"/>
      <w:sz w:val="16"/>
      <w:szCs w:val="16"/>
      <w:lang w:eastAsia="ru-RU"/>
    </w:rPr>
  </w:style>
  <w:style w:type="character" w:customStyle="1" w:styleId="afd">
    <w:name w:val="Схема документа Знак"/>
    <w:basedOn w:val="a0"/>
    <w:link w:val="afc"/>
    <w:rsid w:val="001B7BB8"/>
    <w:rPr>
      <w:rFonts w:ascii="Tahoma" w:eastAsia="Times New Roman" w:hAnsi="Tahoma" w:cs="Tahoma"/>
      <w:sz w:val="16"/>
      <w:szCs w:val="16"/>
      <w:lang w:eastAsia="ru-RU"/>
    </w:rPr>
  </w:style>
  <w:style w:type="character" w:customStyle="1" w:styleId="rvts15">
    <w:name w:val="rvts15"/>
    <w:basedOn w:val="a0"/>
    <w:rsid w:val="001B7BB8"/>
  </w:style>
  <w:style w:type="paragraph" w:styleId="afe">
    <w:name w:val="Subtitle"/>
    <w:basedOn w:val="a"/>
    <w:next w:val="a"/>
    <w:link w:val="aff"/>
    <w:uiPriority w:val="11"/>
    <w:qFormat/>
    <w:rsid w:val="00CD2D63"/>
    <w:pPr>
      <w:numPr>
        <w:ilvl w:val="1"/>
      </w:numPr>
      <w:spacing w:after="160"/>
    </w:pPr>
    <w:rPr>
      <w:rFonts w:eastAsiaTheme="minorEastAsia"/>
      <w:color w:val="5A5A5A" w:themeColor="text1" w:themeTint="A5"/>
      <w:spacing w:val="15"/>
    </w:rPr>
  </w:style>
  <w:style w:type="character" w:customStyle="1" w:styleId="aff">
    <w:name w:val="Подзаголовок Знак"/>
    <w:basedOn w:val="a0"/>
    <w:link w:val="afe"/>
    <w:uiPriority w:val="11"/>
    <w:rsid w:val="00CD2D63"/>
    <w:rPr>
      <w:rFonts w:eastAsiaTheme="minorEastAsia"/>
      <w:color w:val="5A5A5A" w:themeColor="text1" w:themeTint="A5"/>
      <w:spacing w:val="15"/>
    </w:rPr>
  </w:style>
  <w:style w:type="paragraph" w:customStyle="1" w:styleId="11">
    <w:name w:val="Обычный1"/>
    <w:rsid w:val="00C42F9D"/>
    <w:rPr>
      <w:rFonts w:ascii="Calibri" w:eastAsia="Calibri" w:hAnsi="Calibri" w:cs="Calibri"/>
      <w:color w:val="000000"/>
      <w:lang w:eastAsia="ru-RU"/>
    </w:rPr>
  </w:style>
  <w:style w:type="paragraph" w:customStyle="1" w:styleId="12">
    <w:name w:val="Без інтервалів1"/>
    <w:qFormat/>
    <w:rsid w:val="00C42F9D"/>
    <w:pPr>
      <w:spacing w:after="0" w:line="240" w:lineRule="auto"/>
    </w:pPr>
    <w:rPr>
      <w:rFonts w:ascii="Calibri" w:eastAsia="Calibri" w:hAnsi="Calibri" w:cs="Times New Roman"/>
    </w:rPr>
  </w:style>
  <w:style w:type="character" w:customStyle="1" w:styleId="rvts44">
    <w:name w:val="rvts44"/>
    <w:basedOn w:val="a0"/>
    <w:rsid w:val="00D75882"/>
  </w:style>
  <w:style w:type="character" w:customStyle="1" w:styleId="rvts11">
    <w:name w:val="rvts11"/>
    <w:basedOn w:val="a0"/>
    <w:rsid w:val="00DB06BD"/>
  </w:style>
  <w:style w:type="table" w:customStyle="1" w:styleId="13">
    <w:name w:val="Сітка таблиці1"/>
    <w:basedOn w:val="a1"/>
    <w:next w:val="a3"/>
    <w:uiPriority w:val="39"/>
    <w:rsid w:val="00F61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basedOn w:val="a0"/>
    <w:rsid w:val="008A2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34573">
      <w:bodyDiv w:val="1"/>
      <w:marLeft w:val="0"/>
      <w:marRight w:val="0"/>
      <w:marTop w:val="0"/>
      <w:marBottom w:val="0"/>
      <w:divBdr>
        <w:top w:val="none" w:sz="0" w:space="0" w:color="auto"/>
        <w:left w:val="none" w:sz="0" w:space="0" w:color="auto"/>
        <w:bottom w:val="none" w:sz="0" w:space="0" w:color="auto"/>
        <w:right w:val="none" w:sz="0" w:space="0" w:color="auto"/>
      </w:divBdr>
    </w:div>
    <w:div w:id="76751079">
      <w:bodyDiv w:val="1"/>
      <w:marLeft w:val="0"/>
      <w:marRight w:val="0"/>
      <w:marTop w:val="0"/>
      <w:marBottom w:val="0"/>
      <w:divBdr>
        <w:top w:val="none" w:sz="0" w:space="0" w:color="auto"/>
        <w:left w:val="none" w:sz="0" w:space="0" w:color="auto"/>
        <w:bottom w:val="none" w:sz="0" w:space="0" w:color="auto"/>
        <w:right w:val="none" w:sz="0" w:space="0" w:color="auto"/>
      </w:divBdr>
      <w:divsChild>
        <w:div w:id="120612978">
          <w:marLeft w:val="547"/>
          <w:marRight w:val="0"/>
          <w:marTop w:val="0"/>
          <w:marBottom w:val="0"/>
          <w:divBdr>
            <w:top w:val="none" w:sz="0" w:space="0" w:color="auto"/>
            <w:left w:val="none" w:sz="0" w:space="0" w:color="auto"/>
            <w:bottom w:val="none" w:sz="0" w:space="0" w:color="auto"/>
            <w:right w:val="none" w:sz="0" w:space="0" w:color="auto"/>
          </w:divBdr>
        </w:div>
      </w:divsChild>
    </w:div>
    <w:div w:id="82070796">
      <w:bodyDiv w:val="1"/>
      <w:marLeft w:val="0"/>
      <w:marRight w:val="0"/>
      <w:marTop w:val="0"/>
      <w:marBottom w:val="0"/>
      <w:divBdr>
        <w:top w:val="none" w:sz="0" w:space="0" w:color="auto"/>
        <w:left w:val="none" w:sz="0" w:space="0" w:color="auto"/>
        <w:bottom w:val="none" w:sz="0" w:space="0" w:color="auto"/>
        <w:right w:val="none" w:sz="0" w:space="0" w:color="auto"/>
      </w:divBdr>
    </w:div>
    <w:div w:id="111633447">
      <w:bodyDiv w:val="1"/>
      <w:marLeft w:val="0"/>
      <w:marRight w:val="0"/>
      <w:marTop w:val="0"/>
      <w:marBottom w:val="0"/>
      <w:divBdr>
        <w:top w:val="none" w:sz="0" w:space="0" w:color="auto"/>
        <w:left w:val="none" w:sz="0" w:space="0" w:color="auto"/>
        <w:bottom w:val="none" w:sz="0" w:space="0" w:color="auto"/>
        <w:right w:val="none" w:sz="0" w:space="0" w:color="auto"/>
      </w:divBdr>
    </w:div>
    <w:div w:id="172108469">
      <w:bodyDiv w:val="1"/>
      <w:marLeft w:val="0"/>
      <w:marRight w:val="0"/>
      <w:marTop w:val="0"/>
      <w:marBottom w:val="0"/>
      <w:divBdr>
        <w:top w:val="none" w:sz="0" w:space="0" w:color="auto"/>
        <w:left w:val="none" w:sz="0" w:space="0" w:color="auto"/>
        <w:bottom w:val="none" w:sz="0" w:space="0" w:color="auto"/>
        <w:right w:val="none" w:sz="0" w:space="0" w:color="auto"/>
      </w:divBdr>
    </w:div>
    <w:div w:id="331378897">
      <w:bodyDiv w:val="1"/>
      <w:marLeft w:val="0"/>
      <w:marRight w:val="0"/>
      <w:marTop w:val="0"/>
      <w:marBottom w:val="0"/>
      <w:divBdr>
        <w:top w:val="none" w:sz="0" w:space="0" w:color="auto"/>
        <w:left w:val="none" w:sz="0" w:space="0" w:color="auto"/>
        <w:bottom w:val="none" w:sz="0" w:space="0" w:color="auto"/>
        <w:right w:val="none" w:sz="0" w:space="0" w:color="auto"/>
      </w:divBdr>
    </w:div>
    <w:div w:id="369955944">
      <w:bodyDiv w:val="1"/>
      <w:marLeft w:val="0"/>
      <w:marRight w:val="0"/>
      <w:marTop w:val="0"/>
      <w:marBottom w:val="0"/>
      <w:divBdr>
        <w:top w:val="none" w:sz="0" w:space="0" w:color="auto"/>
        <w:left w:val="none" w:sz="0" w:space="0" w:color="auto"/>
        <w:bottom w:val="none" w:sz="0" w:space="0" w:color="auto"/>
        <w:right w:val="none" w:sz="0" w:space="0" w:color="auto"/>
      </w:divBdr>
    </w:div>
    <w:div w:id="412433032">
      <w:bodyDiv w:val="1"/>
      <w:marLeft w:val="0"/>
      <w:marRight w:val="0"/>
      <w:marTop w:val="0"/>
      <w:marBottom w:val="0"/>
      <w:divBdr>
        <w:top w:val="none" w:sz="0" w:space="0" w:color="auto"/>
        <w:left w:val="none" w:sz="0" w:space="0" w:color="auto"/>
        <w:bottom w:val="none" w:sz="0" w:space="0" w:color="auto"/>
        <w:right w:val="none" w:sz="0" w:space="0" w:color="auto"/>
      </w:divBdr>
      <w:divsChild>
        <w:div w:id="1944146229">
          <w:marLeft w:val="547"/>
          <w:marRight w:val="0"/>
          <w:marTop w:val="0"/>
          <w:marBottom w:val="0"/>
          <w:divBdr>
            <w:top w:val="none" w:sz="0" w:space="0" w:color="auto"/>
            <w:left w:val="none" w:sz="0" w:space="0" w:color="auto"/>
            <w:bottom w:val="none" w:sz="0" w:space="0" w:color="auto"/>
            <w:right w:val="none" w:sz="0" w:space="0" w:color="auto"/>
          </w:divBdr>
        </w:div>
        <w:div w:id="505246495">
          <w:marLeft w:val="547"/>
          <w:marRight w:val="0"/>
          <w:marTop w:val="0"/>
          <w:marBottom w:val="0"/>
          <w:divBdr>
            <w:top w:val="none" w:sz="0" w:space="0" w:color="auto"/>
            <w:left w:val="none" w:sz="0" w:space="0" w:color="auto"/>
            <w:bottom w:val="none" w:sz="0" w:space="0" w:color="auto"/>
            <w:right w:val="none" w:sz="0" w:space="0" w:color="auto"/>
          </w:divBdr>
        </w:div>
      </w:divsChild>
    </w:div>
    <w:div w:id="480074854">
      <w:bodyDiv w:val="1"/>
      <w:marLeft w:val="0"/>
      <w:marRight w:val="0"/>
      <w:marTop w:val="0"/>
      <w:marBottom w:val="0"/>
      <w:divBdr>
        <w:top w:val="none" w:sz="0" w:space="0" w:color="auto"/>
        <w:left w:val="none" w:sz="0" w:space="0" w:color="auto"/>
        <w:bottom w:val="none" w:sz="0" w:space="0" w:color="auto"/>
        <w:right w:val="none" w:sz="0" w:space="0" w:color="auto"/>
      </w:divBdr>
    </w:div>
    <w:div w:id="480118104">
      <w:bodyDiv w:val="1"/>
      <w:marLeft w:val="0"/>
      <w:marRight w:val="0"/>
      <w:marTop w:val="0"/>
      <w:marBottom w:val="0"/>
      <w:divBdr>
        <w:top w:val="none" w:sz="0" w:space="0" w:color="auto"/>
        <w:left w:val="none" w:sz="0" w:space="0" w:color="auto"/>
        <w:bottom w:val="none" w:sz="0" w:space="0" w:color="auto"/>
        <w:right w:val="none" w:sz="0" w:space="0" w:color="auto"/>
      </w:divBdr>
      <w:divsChild>
        <w:div w:id="1194271270">
          <w:marLeft w:val="547"/>
          <w:marRight w:val="0"/>
          <w:marTop w:val="0"/>
          <w:marBottom w:val="0"/>
          <w:divBdr>
            <w:top w:val="none" w:sz="0" w:space="0" w:color="auto"/>
            <w:left w:val="none" w:sz="0" w:space="0" w:color="auto"/>
            <w:bottom w:val="none" w:sz="0" w:space="0" w:color="auto"/>
            <w:right w:val="none" w:sz="0" w:space="0" w:color="auto"/>
          </w:divBdr>
        </w:div>
        <w:div w:id="923799010">
          <w:marLeft w:val="547"/>
          <w:marRight w:val="0"/>
          <w:marTop w:val="0"/>
          <w:marBottom w:val="0"/>
          <w:divBdr>
            <w:top w:val="none" w:sz="0" w:space="0" w:color="auto"/>
            <w:left w:val="none" w:sz="0" w:space="0" w:color="auto"/>
            <w:bottom w:val="none" w:sz="0" w:space="0" w:color="auto"/>
            <w:right w:val="none" w:sz="0" w:space="0" w:color="auto"/>
          </w:divBdr>
        </w:div>
      </w:divsChild>
    </w:div>
    <w:div w:id="745419600">
      <w:bodyDiv w:val="1"/>
      <w:marLeft w:val="0"/>
      <w:marRight w:val="0"/>
      <w:marTop w:val="0"/>
      <w:marBottom w:val="0"/>
      <w:divBdr>
        <w:top w:val="none" w:sz="0" w:space="0" w:color="auto"/>
        <w:left w:val="none" w:sz="0" w:space="0" w:color="auto"/>
        <w:bottom w:val="none" w:sz="0" w:space="0" w:color="auto"/>
        <w:right w:val="none" w:sz="0" w:space="0" w:color="auto"/>
      </w:divBdr>
    </w:div>
    <w:div w:id="999844594">
      <w:bodyDiv w:val="1"/>
      <w:marLeft w:val="0"/>
      <w:marRight w:val="0"/>
      <w:marTop w:val="0"/>
      <w:marBottom w:val="0"/>
      <w:divBdr>
        <w:top w:val="none" w:sz="0" w:space="0" w:color="auto"/>
        <w:left w:val="none" w:sz="0" w:space="0" w:color="auto"/>
        <w:bottom w:val="none" w:sz="0" w:space="0" w:color="auto"/>
        <w:right w:val="none" w:sz="0" w:space="0" w:color="auto"/>
      </w:divBdr>
    </w:div>
    <w:div w:id="1076824845">
      <w:bodyDiv w:val="1"/>
      <w:marLeft w:val="0"/>
      <w:marRight w:val="0"/>
      <w:marTop w:val="0"/>
      <w:marBottom w:val="0"/>
      <w:divBdr>
        <w:top w:val="none" w:sz="0" w:space="0" w:color="auto"/>
        <w:left w:val="none" w:sz="0" w:space="0" w:color="auto"/>
        <w:bottom w:val="none" w:sz="0" w:space="0" w:color="auto"/>
        <w:right w:val="none" w:sz="0" w:space="0" w:color="auto"/>
      </w:divBdr>
    </w:div>
    <w:div w:id="1186792733">
      <w:bodyDiv w:val="1"/>
      <w:marLeft w:val="0"/>
      <w:marRight w:val="0"/>
      <w:marTop w:val="0"/>
      <w:marBottom w:val="0"/>
      <w:divBdr>
        <w:top w:val="none" w:sz="0" w:space="0" w:color="auto"/>
        <w:left w:val="none" w:sz="0" w:space="0" w:color="auto"/>
        <w:bottom w:val="none" w:sz="0" w:space="0" w:color="auto"/>
        <w:right w:val="none" w:sz="0" w:space="0" w:color="auto"/>
      </w:divBdr>
    </w:div>
    <w:div w:id="1221669479">
      <w:bodyDiv w:val="1"/>
      <w:marLeft w:val="0"/>
      <w:marRight w:val="0"/>
      <w:marTop w:val="0"/>
      <w:marBottom w:val="0"/>
      <w:divBdr>
        <w:top w:val="none" w:sz="0" w:space="0" w:color="auto"/>
        <w:left w:val="none" w:sz="0" w:space="0" w:color="auto"/>
        <w:bottom w:val="none" w:sz="0" w:space="0" w:color="auto"/>
        <w:right w:val="none" w:sz="0" w:space="0" w:color="auto"/>
      </w:divBdr>
    </w:div>
    <w:div w:id="1240286971">
      <w:bodyDiv w:val="1"/>
      <w:marLeft w:val="0"/>
      <w:marRight w:val="0"/>
      <w:marTop w:val="0"/>
      <w:marBottom w:val="0"/>
      <w:divBdr>
        <w:top w:val="none" w:sz="0" w:space="0" w:color="auto"/>
        <w:left w:val="none" w:sz="0" w:space="0" w:color="auto"/>
        <w:bottom w:val="none" w:sz="0" w:space="0" w:color="auto"/>
        <w:right w:val="none" w:sz="0" w:space="0" w:color="auto"/>
      </w:divBdr>
    </w:div>
    <w:div w:id="1302616956">
      <w:bodyDiv w:val="1"/>
      <w:marLeft w:val="0"/>
      <w:marRight w:val="0"/>
      <w:marTop w:val="0"/>
      <w:marBottom w:val="0"/>
      <w:divBdr>
        <w:top w:val="none" w:sz="0" w:space="0" w:color="auto"/>
        <w:left w:val="none" w:sz="0" w:space="0" w:color="auto"/>
        <w:bottom w:val="none" w:sz="0" w:space="0" w:color="auto"/>
        <w:right w:val="none" w:sz="0" w:space="0" w:color="auto"/>
      </w:divBdr>
    </w:div>
    <w:div w:id="1309088489">
      <w:bodyDiv w:val="1"/>
      <w:marLeft w:val="0"/>
      <w:marRight w:val="0"/>
      <w:marTop w:val="0"/>
      <w:marBottom w:val="0"/>
      <w:divBdr>
        <w:top w:val="none" w:sz="0" w:space="0" w:color="auto"/>
        <w:left w:val="none" w:sz="0" w:space="0" w:color="auto"/>
        <w:bottom w:val="none" w:sz="0" w:space="0" w:color="auto"/>
        <w:right w:val="none" w:sz="0" w:space="0" w:color="auto"/>
      </w:divBdr>
      <w:divsChild>
        <w:div w:id="949625787">
          <w:marLeft w:val="547"/>
          <w:marRight w:val="0"/>
          <w:marTop w:val="0"/>
          <w:marBottom w:val="0"/>
          <w:divBdr>
            <w:top w:val="none" w:sz="0" w:space="0" w:color="auto"/>
            <w:left w:val="none" w:sz="0" w:space="0" w:color="auto"/>
            <w:bottom w:val="none" w:sz="0" w:space="0" w:color="auto"/>
            <w:right w:val="none" w:sz="0" w:space="0" w:color="auto"/>
          </w:divBdr>
        </w:div>
      </w:divsChild>
    </w:div>
    <w:div w:id="1320621749">
      <w:bodyDiv w:val="1"/>
      <w:marLeft w:val="0"/>
      <w:marRight w:val="0"/>
      <w:marTop w:val="0"/>
      <w:marBottom w:val="0"/>
      <w:divBdr>
        <w:top w:val="none" w:sz="0" w:space="0" w:color="auto"/>
        <w:left w:val="none" w:sz="0" w:space="0" w:color="auto"/>
        <w:bottom w:val="none" w:sz="0" w:space="0" w:color="auto"/>
        <w:right w:val="none" w:sz="0" w:space="0" w:color="auto"/>
      </w:divBdr>
    </w:div>
    <w:div w:id="1362394639">
      <w:bodyDiv w:val="1"/>
      <w:marLeft w:val="0"/>
      <w:marRight w:val="0"/>
      <w:marTop w:val="0"/>
      <w:marBottom w:val="0"/>
      <w:divBdr>
        <w:top w:val="none" w:sz="0" w:space="0" w:color="auto"/>
        <w:left w:val="none" w:sz="0" w:space="0" w:color="auto"/>
        <w:bottom w:val="none" w:sz="0" w:space="0" w:color="auto"/>
        <w:right w:val="none" w:sz="0" w:space="0" w:color="auto"/>
      </w:divBdr>
    </w:div>
    <w:div w:id="1538347476">
      <w:bodyDiv w:val="1"/>
      <w:marLeft w:val="0"/>
      <w:marRight w:val="0"/>
      <w:marTop w:val="0"/>
      <w:marBottom w:val="0"/>
      <w:divBdr>
        <w:top w:val="none" w:sz="0" w:space="0" w:color="auto"/>
        <w:left w:val="none" w:sz="0" w:space="0" w:color="auto"/>
        <w:bottom w:val="none" w:sz="0" w:space="0" w:color="auto"/>
        <w:right w:val="none" w:sz="0" w:space="0" w:color="auto"/>
      </w:divBdr>
    </w:div>
    <w:div w:id="1675067342">
      <w:bodyDiv w:val="1"/>
      <w:marLeft w:val="0"/>
      <w:marRight w:val="0"/>
      <w:marTop w:val="0"/>
      <w:marBottom w:val="0"/>
      <w:divBdr>
        <w:top w:val="none" w:sz="0" w:space="0" w:color="auto"/>
        <w:left w:val="none" w:sz="0" w:space="0" w:color="auto"/>
        <w:bottom w:val="none" w:sz="0" w:space="0" w:color="auto"/>
        <w:right w:val="none" w:sz="0" w:space="0" w:color="auto"/>
      </w:divBdr>
      <w:divsChild>
        <w:div w:id="1992175955">
          <w:marLeft w:val="547"/>
          <w:marRight w:val="0"/>
          <w:marTop w:val="0"/>
          <w:marBottom w:val="0"/>
          <w:divBdr>
            <w:top w:val="none" w:sz="0" w:space="0" w:color="auto"/>
            <w:left w:val="none" w:sz="0" w:space="0" w:color="auto"/>
            <w:bottom w:val="none" w:sz="0" w:space="0" w:color="auto"/>
            <w:right w:val="none" w:sz="0" w:space="0" w:color="auto"/>
          </w:divBdr>
        </w:div>
      </w:divsChild>
    </w:div>
    <w:div w:id="1734574005">
      <w:bodyDiv w:val="1"/>
      <w:marLeft w:val="0"/>
      <w:marRight w:val="0"/>
      <w:marTop w:val="0"/>
      <w:marBottom w:val="0"/>
      <w:divBdr>
        <w:top w:val="none" w:sz="0" w:space="0" w:color="auto"/>
        <w:left w:val="none" w:sz="0" w:space="0" w:color="auto"/>
        <w:bottom w:val="none" w:sz="0" w:space="0" w:color="auto"/>
        <w:right w:val="none" w:sz="0" w:space="0" w:color="auto"/>
      </w:divBdr>
    </w:div>
    <w:div w:id="1807892635">
      <w:bodyDiv w:val="1"/>
      <w:marLeft w:val="0"/>
      <w:marRight w:val="0"/>
      <w:marTop w:val="0"/>
      <w:marBottom w:val="0"/>
      <w:divBdr>
        <w:top w:val="none" w:sz="0" w:space="0" w:color="auto"/>
        <w:left w:val="none" w:sz="0" w:space="0" w:color="auto"/>
        <w:bottom w:val="none" w:sz="0" w:space="0" w:color="auto"/>
        <w:right w:val="none" w:sz="0" w:space="0" w:color="auto"/>
      </w:divBdr>
    </w:div>
    <w:div w:id="199629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2.xml"/><Relationship Id="rId18" Type="http://schemas.openxmlformats.org/officeDocument/2006/relationships/chart" Target="charts/chart4.xml"/><Relationship Id="rId26" Type="http://schemas.openxmlformats.org/officeDocument/2006/relationships/diagramData" Target="diagrams/data2.xml"/><Relationship Id="rId39"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diagramData" Target="diagrams/data1.xml"/><Relationship Id="rId34" Type="http://schemas.openxmlformats.org/officeDocument/2006/relationships/diagramQuickStyle" Target="diagrams/quickStyle3.xml"/><Relationship Id="rId42" Type="http://schemas.openxmlformats.org/officeDocument/2006/relationships/chart" Target="charts/chart13.xm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rada/show/3551-12" TargetMode="External"/><Relationship Id="rId17" Type="http://schemas.openxmlformats.org/officeDocument/2006/relationships/hyperlink" Target="https://zakon.rada.gov.ua/laws/show/2755-17" TargetMode="External"/><Relationship Id="rId25" Type="http://schemas.microsoft.com/office/2007/relationships/diagramDrawing" Target="diagrams/drawing1.xml"/><Relationship Id="rId33" Type="http://schemas.openxmlformats.org/officeDocument/2006/relationships/diagramLayout" Target="diagrams/layout3.xml"/><Relationship Id="rId38" Type="http://schemas.openxmlformats.org/officeDocument/2006/relationships/chart" Target="charts/chart9.xml"/><Relationship Id="rId46" Type="http://schemas.openxmlformats.org/officeDocument/2006/relationships/chart" Target="charts/chart17.xml"/><Relationship Id="rId2" Type="http://schemas.openxmlformats.org/officeDocument/2006/relationships/numbering" Target="numbering.xml"/><Relationship Id="rId16" Type="http://schemas.openxmlformats.org/officeDocument/2006/relationships/hyperlink" Target="https://zakon.rada.gov.ua/laws/show/2456-17" TargetMode="External"/><Relationship Id="rId20" Type="http://schemas.openxmlformats.org/officeDocument/2006/relationships/chart" Target="charts/chart6.xml"/><Relationship Id="rId29" Type="http://schemas.openxmlformats.org/officeDocument/2006/relationships/diagramColors" Target="diagrams/colors2.xml"/><Relationship Id="rId41"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rada/show/3551-12" TargetMode="External"/><Relationship Id="rId24" Type="http://schemas.openxmlformats.org/officeDocument/2006/relationships/diagramColors" Target="diagrams/colors1.xml"/><Relationship Id="rId32" Type="http://schemas.openxmlformats.org/officeDocument/2006/relationships/diagramData" Target="diagrams/data3.xml"/><Relationship Id="rId37" Type="http://schemas.openxmlformats.org/officeDocument/2006/relationships/chart" Target="charts/chart8.xml"/><Relationship Id="rId40" Type="http://schemas.openxmlformats.org/officeDocument/2006/relationships/chart" Target="charts/chart11.xml"/><Relationship Id="rId45" Type="http://schemas.openxmlformats.org/officeDocument/2006/relationships/chart" Target="charts/chart16.xml"/><Relationship Id="rId5" Type="http://schemas.openxmlformats.org/officeDocument/2006/relationships/webSettings" Target="webSettings.xml"/><Relationship Id="rId15" Type="http://schemas.openxmlformats.org/officeDocument/2006/relationships/hyperlink" Target="https://zakon.rada.gov.ua/laws/show/2456-17" TargetMode="External"/><Relationship Id="rId23" Type="http://schemas.openxmlformats.org/officeDocument/2006/relationships/diagramQuickStyle" Target="diagrams/quickStyle1.xml"/><Relationship Id="rId28" Type="http://schemas.openxmlformats.org/officeDocument/2006/relationships/diagramQuickStyle" Target="diagrams/quickStyle2.xml"/><Relationship Id="rId36" Type="http://schemas.microsoft.com/office/2007/relationships/diagramDrawing" Target="diagrams/drawing3.xml"/><Relationship Id="rId49"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chart" Target="charts/chart5.xml"/><Relationship Id="rId31" Type="http://schemas.openxmlformats.org/officeDocument/2006/relationships/chart" Target="charts/chart7.xml"/><Relationship Id="rId44" Type="http://schemas.openxmlformats.org/officeDocument/2006/relationships/chart" Target="charts/chart15.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chart" Target="charts/chart3.xml"/><Relationship Id="rId22" Type="http://schemas.openxmlformats.org/officeDocument/2006/relationships/diagramLayout" Target="diagrams/layout1.xml"/><Relationship Id="rId27" Type="http://schemas.openxmlformats.org/officeDocument/2006/relationships/diagramLayout" Target="diagrams/layout2.xml"/><Relationship Id="rId30" Type="http://schemas.microsoft.com/office/2007/relationships/diagramDrawing" Target="diagrams/drawing2.xml"/><Relationship Id="rId35" Type="http://schemas.openxmlformats.org/officeDocument/2006/relationships/diagramColors" Target="diagrams/colors3.xml"/><Relationship Id="rId43" Type="http://schemas.openxmlformats.org/officeDocument/2006/relationships/chart" Target="charts/chart14.xml"/><Relationship Id="rId48" Type="http://schemas.openxmlformats.org/officeDocument/2006/relationships/footer" Target="footer2.xml"/><Relationship Id="rId8"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4.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7.xml"/><Relationship Id="rId1" Type="http://schemas.microsoft.com/office/2011/relationships/chartStyle" Target="style7.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8.xml"/><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package" Target="../embeddings/Microsoft_Excel_Worksheet9.xlsx"/></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package" Target="../embeddings/Microsoft_Excel_Worksheet10.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6.xml.rels><?xml version="1.0" encoding="UTF-8" standalone="yes"?>
<Relationships xmlns="http://schemas.openxmlformats.org/package/2006/relationships"><Relationship Id="rId3" Type="http://schemas.openxmlformats.org/officeDocument/2006/relationships/package" Target="../embeddings/Microsoft_Excel_Worksheet12.xlsx"/><Relationship Id="rId2" Type="http://schemas.microsoft.com/office/2011/relationships/chartColorStyle" Target="colors8.xml"/><Relationship Id="rId1" Type="http://schemas.microsoft.com/office/2011/relationships/chartStyle" Target="style8.xml"/></Relationships>
</file>

<file path=word/charts/_rels/chart17.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H:\SHARE\0-&#1057;&#1090;&#1072;&#1088;&#1099;&#1077;%20&#1076;&#1072;&#1085;&#1085;&#1099;&#1077;\SHARE\_&#1041;&#1070;&#1044;&#1046;&#1045;&#1058;&#1053;&#1048;&#1049;%20&#1054;&#1058;&#1044;&#1045;&#1051;\&#1042;&#1040;&#1051;&#1071;\&#1041;&#1102;&#1076;&#1078;&#1077;&#1090;%202021\&#1076;&#1080;&#1072;&#1075;&#1088;&#1072;&#1084;&#1072;\&#1051;&#1080;&#1089;&#1090;%20Microsoft%20Office%20Excel.xlsx" TargetMode="Externa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embeddings/oleObject1.bin"/><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4.xml"/></Relationships>
</file>

<file path=word/charts/_rels/chart5.xml.rels><?xml version="1.0" encoding="UTF-8" standalone="yes"?>
<Relationships xmlns="http://schemas.openxmlformats.org/package/2006/relationships"><Relationship Id="rId3" Type="http://schemas.openxmlformats.org/officeDocument/2006/relationships/oleObject" Target="../embeddings/oleObject2.bin"/><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5.xml"/><Relationship Id="rId1" Type="http://schemas.microsoft.com/office/2011/relationships/chartStyle" Target="style5.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6.xml"/><Relationship Id="rId1" Type="http://schemas.microsoft.com/office/2011/relationships/chartStyle" Target="style6.xml"/></Relationships>
</file>

<file path=word/charts/_rels/chart9.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0" i="0" u="none" strike="noStrike" baseline="0">
                <a:solidFill>
                  <a:srgbClr val="000000"/>
                </a:solidFill>
                <a:latin typeface="Calibri"/>
                <a:ea typeface="Calibri"/>
                <a:cs typeface="Calibri"/>
              </a:defRPr>
            </a:pPr>
            <a:r>
              <a:rPr lang="ru-RU" sz="1110" b="1" i="0" u="none" strike="noStrike" baseline="0">
                <a:solidFill>
                  <a:srgbClr val="000000"/>
                </a:solidFill>
                <a:latin typeface="Calibri"/>
                <a:cs typeface="Calibri"/>
              </a:rPr>
              <a:t>Динаміка надходжень до бюджету </a:t>
            </a:r>
          </a:p>
          <a:p>
            <a:pPr>
              <a:defRPr sz="1000" b="0" i="0" u="none" strike="noStrike" baseline="0">
                <a:solidFill>
                  <a:srgbClr val="000000"/>
                </a:solidFill>
                <a:latin typeface="Calibri"/>
                <a:ea typeface="Calibri"/>
                <a:cs typeface="Calibri"/>
              </a:defRPr>
            </a:pPr>
            <a:r>
              <a:rPr lang="ru-RU" sz="1110" b="1" i="0" u="none" strike="noStrike" baseline="0">
                <a:solidFill>
                  <a:srgbClr val="000000"/>
                </a:solidFill>
                <a:latin typeface="Calibri"/>
                <a:cs typeface="Calibri"/>
              </a:rPr>
              <a:t>Чорноморської міської територіальної громади,</a:t>
            </a:r>
            <a:endParaRPr lang="ru-RU" sz="1200" b="1" i="0" u="none" strike="noStrike" baseline="0">
              <a:solidFill>
                <a:srgbClr val="000000"/>
              </a:solidFill>
              <a:latin typeface="Calibri"/>
              <a:cs typeface="Calibri"/>
            </a:endParaRPr>
          </a:p>
          <a:p>
            <a:pPr>
              <a:defRPr sz="1000" b="0" i="0" u="none" strike="noStrike" baseline="0">
                <a:solidFill>
                  <a:srgbClr val="000000"/>
                </a:solidFill>
                <a:latin typeface="Calibri"/>
                <a:ea typeface="Calibri"/>
                <a:cs typeface="Calibri"/>
              </a:defRPr>
            </a:pPr>
            <a:r>
              <a:rPr lang="ru-RU" sz="1110" b="1" i="0" u="none" strike="noStrike" baseline="0">
                <a:solidFill>
                  <a:srgbClr val="000000"/>
                </a:solidFill>
                <a:latin typeface="Calibri"/>
                <a:cs typeface="Calibri"/>
              </a:rPr>
              <a:t> млн. грн</a:t>
            </a:r>
          </a:p>
        </c:rich>
      </c:tx>
      <c:layout>
        <c:manualLayout>
          <c:xMode val="edge"/>
          <c:yMode val="edge"/>
          <c:x val="0.27558238039628308"/>
          <c:y val="1.0374376279888091E-2"/>
        </c:manualLayout>
      </c:layout>
      <c:overlay val="0"/>
    </c:title>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8.9115346478342405E-2"/>
          <c:y val="0.25217632796376632"/>
          <c:w val="0.88839340230030495"/>
          <c:h val="0.67250737470106359"/>
        </c:manualLayout>
      </c:layout>
      <c:bar3DChart>
        <c:barDir val="col"/>
        <c:grouping val="clustered"/>
        <c:varyColors val="0"/>
        <c:ser>
          <c:idx val="0"/>
          <c:order val="0"/>
          <c:tx>
            <c:strRef>
              <c:f>Лист1!$B$1</c:f>
              <c:strCache>
                <c:ptCount val="1"/>
                <c:pt idx="0">
                  <c:v>Столбец1</c:v>
                </c:pt>
              </c:strCache>
            </c:strRef>
          </c:tx>
          <c:spPr>
            <a:gradFill>
              <a:gsLst>
                <a:gs pos="0">
                  <a:schemeClr val="accent5">
                    <a:lumMod val="20000"/>
                    <a:lumOff val="80000"/>
                  </a:schemeClr>
                </a:gs>
                <a:gs pos="16000">
                  <a:srgbClr val="00CCCC"/>
                </a:gs>
                <a:gs pos="47000">
                  <a:srgbClr val="9999FF"/>
                </a:gs>
                <a:gs pos="60001">
                  <a:srgbClr val="2E6792"/>
                </a:gs>
                <a:gs pos="71001">
                  <a:srgbClr val="3333CC"/>
                </a:gs>
                <a:gs pos="81000">
                  <a:srgbClr val="1170FF"/>
                </a:gs>
                <a:gs pos="100000">
                  <a:srgbClr val="006699"/>
                </a:gs>
              </a:gsLst>
              <a:lin ang="5400000" scaled="0"/>
            </a:gradFill>
          </c:spPr>
          <c:invertIfNegative val="0"/>
          <c:dLbls>
            <c:dLbl>
              <c:idx val="0"/>
              <c:layout>
                <c:manualLayout>
                  <c:x val="3.9351829034909032E-2"/>
                  <c:y val="-3.9301326968199282E-2"/>
                </c:manualLayout>
              </c:layout>
              <c:tx>
                <c:rich>
                  <a:bodyPr/>
                  <a:lstStyle/>
                  <a:p>
                    <a:pPr>
                      <a:defRPr sz="1169" b="1" i="0" u="none" strike="noStrike" baseline="0">
                        <a:solidFill>
                          <a:srgbClr val="000000"/>
                        </a:solidFill>
                        <a:latin typeface="Calibri"/>
                        <a:ea typeface="Calibri"/>
                        <a:cs typeface="Calibri"/>
                      </a:defRPr>
                    </a:pPr>
                    <a:r>
                      <a:rPr lang="en-US"/>
                      <a:t>635,9</a:t>
                    </a:r>
                  </a:p>
                </c:rich>
              </c:tx>
              <c:spPr>
                <a:noFill/>
                <a:ln w="25034">
                  <a:noFill/>
                </a:ln>
              </c:spPr>
              <c:showLegendKey val="0"/>
              <c:showVal val="0"/>
              <c:showCatName val="0"/>
              <c:showSerName val="0"/>
              <c:showPercent val="0"/>
              <c:showBubbleSize val="0"/>
              <c:extLst>
                <c:ext xmlns:c15="http://schemas.microsoft.com/office/drawing/2012/chart" uri="{CE6537A1-D6FC-4f65-9D91-7224C49458BB}"/>
              </c:extLst>
            </c:dLbl>
            <c:dLbl>
              <c:idx val="1"/>
              <c:layout>
                <c:manualLayout>
                  <c:x val="3.7036995324501332E-2"/>
                  <c:y val="-6.3491989798445003E-2"/>
                </c:manualLayout>
              </c:layout>
              <c:tx>
                <c:rich>
                  <a:bodyPr/>
                  <a:lstStyle/>
                  <a:p>
                    <a:pPr>
                      <a:defRPr sz="1169" b="1" i="0" u="none" strike="noStrike" baseline="0">
                        <a:solidFill>
                          <a:srgbClr val="000000"/>
                        </a:solidFill>
                        <a:latin typeface="Calibri"/>
                        <a:ea typeface="Calibri"/>
                        <a:cs typeface="Calibri"/>
                      </a:defRPr>
                    </a:pPr>
                    <a:r>
                      <a:rPr lang="en-US"/>
                      <a:t>866,9</a:t>
                    </a:r>
                  </a:p>
                </c:rich>
              </c:tx>
              <c:spPr>
                <a:noFill/>
                <a:ln w="25034">
                  <a:noFill/>
                </a:ln>
              </c:spPr>
              <c:showLegendKey val="0"/>
              <c:showVal val="0"/>
              <c:showCatName val="0"/>
              <c:showSerName val="0"/>
              <c:showPercent val="0"/>
              <c:showBubbleSize val="0"/>
              <c:extLst>
                <c:ext xmlns:c15="http://schemas.microsoft.com/office/drawing/2012/chart" uri="{CE6537A1-D6FC-4f65-9D91-7224C49458BB}"/>
              </c:extLst>
            </c:dLbl>
            <c:dLbl>
              <c:idx val="2"/>
              <c:layout>
                <c:manualLayout>
                  <c:x val="2.4519820187985288E-2"/>
                  <c:y val="-4.716981132075472E-2"/>
                </c:manualLayout>
              </c:layout>
              <c:tx>
                <c:rich>
                  <a:bodyPr/>
                  <a:lstStyle/>
                  <a:p>
                    <a:pPr>
                      <a:defRPr sz="1169" b="1" i="0" u="none" strike="noStrike" baseline="0">
                        <a:solidFill>
                          <a:srgbClr val="000000"/>
                        </a:solidFill>
                        <a:latin typeface="Calibri"/>
                        <a:ea typeface="Calibri"/>
                        <a:cs typeface="Calibri"/>
                      </a:defRPr>
                    </a:pPr>
                    <a:r>
                      <a:rPr lang="ru-RU"/>
                      <a:t>[]</a:t>
                    </a:r>
                  </a:p>
                </c:rich>
              </c:tx>
              <c:spPr>
                <a:noFill/>
                <a:ln w="25034">
                  <a:noFill/>
                </a:ln>
              </c:spPr>
              <c:showLegendKey val="0"/>
              <c:showVal val="0"/>
              <c:showCatName val="0"/>
              <c:showSerName val="0"/>
              <c:showPercent val="0"/>
              <c:showBubbleSize val="0"/>
              <c:extLst>
                <c:ext xmlns:c15="http://schemas.microsoft.com/office/drawing/2012/chart" uri="{CE6537A1-D6FC-4f65-9D91-7224C49458BB}"/>
              </c:extLst>
            </c:dLbl>
            <c:spPr>
              <a:noFill/>
              <a:ln w="25034">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9 місяців 2022 р</c:v>
                </c:pt>
                <c:pt idx="1">
                  <c:v>9 місяців 2023 р</c:v>
                </c:pt>
              </c:strCache>
            </c:strRef>
          </c:cat>
          <c:val>
            <c:numRef>
              <c:f>Лист1!$B$2:$B$3</c:f>
              <c:numCache>
                <c:formatCode>General</c:formatCode>
                <c:ptCount val="2"/>
                <c:pt idx="0">
                  <c:v>635.9</c:v>
                </c:pt>
                <c:pt idx="1">
                  <c:v>866.9</c:v>
                </c:pt>
              </c:numCache>
            </c:numRef>
          </c:val>
          <c:shape val="cone"/>
        </c:ser>
        <c:dLbls>
          <c:showLegendKey val="0"/>
          <c:showVal val="0"/>
          <c:showCatName val="0"/>
          <c:showSerName val="0"/>
          <c:showPercent val="0"/>
          <c:showBubbleSize val="0"/>
        </c:dLbls>
        <c:gapWidth val="150"/>
        <c:shape val="box"/>
        <c:axId val="676057896"/>
        <c:axId val="676058680"/>
        <c:axId val="0"/>
      </c:bar3DChart>
      <c:catAx>
        <c:axId val="676057896"/>
        <c:scaling>
          <c:orientation val="minMax"/>
        </c:scaling>
        <c:delete val="0"/>
        <c:axPos val="b"/>
        <c:numFmt formatCode="General" sourceLinked="1"/>
        <c:majorTickMark val="out"/>
        <c:minorTickMark val="none"/>
        <c:tickLblPos val="nextTo"/>
        <c:txPr>
          <a:bodyPr rot="0" vert="horz"/>
          <a:lstStyle/>
          <a:p>
            <a:pPr>
              <a:defRPr sz="1000" b="1" i="0" u="none" strike="noStrike" baseline="0">
                <a:solidFill>
                  <a:srgbClr val="000000"/>
                </a:solidFill>
                <a:latin typeface="Calibri"/>
                <a:ea typeface="Calibri"/>
                <a:cs typeface="Calibri"/>
              </a:defRPr>
            </a:pPr>
            <a:endParaRPr lang="uk-UA"/>
          </a:p>
        </c:txPr>
        <c:crossAx val="676058680"/>
        <c:crosses val="autoZero"/>
        <c:auto val="1"/>
        <c:lblAlgn val="ctr"/>
        <c:lblOffset val="100"/>
        <c:noMultiLvlLbl val="0"/>
      </c:catAx>
      <c:valAx>
        <c:axId val="676058680"/>
        <c:scaling>
          <c:orientation val="minMax"/>
          <c:max val="950"/>
          <c:min val="150"/>
        </c:scaling>
        <c:delete val="0"/>
        <c:axPos val="l"/>
        <c:majorGridlines>
          <c:spPr>
            <a:ln>
              <a:solidFill>
                <a:schemeClr val="tx2">
                  <a:lumMod val="20000"/>
                  <a:lumOff val="80000"/>
                </a:schemeClr>
              </a:solidFill>
            </a:ln>
          </c:spPr>
        </c:maj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uk-UA"/>
          </a:p>
        </c:txPr>
        <c:crossAx val="676057896"/>
        <c:crosses val="autoZero"/>
        <c:crossBetween val="between"/>
        <c:majorUnit val="100"/>
        <c:minorUnit val="10"/>
      </c:valAx>
      <c:spPr>
        <a:noFill/>
        <a:ln w="25395">
          <a:noFill/>
        </a:ln>
      </c:spPr>
    </c:plotArea>
    <c:plotVisOnly val="1"/>
    <c:dispBlanksAs val="gap"/>
    <c:showDLblsOverMax val="0"/>
  </c:chart>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3500000" scaled="1"/>
      <a:tileRect/>
    </a:gradFill>
    <a:effectLst>
      <a:innerShdw blurRad="63500" dist="50800" dir="8100000">
        <a:schemeClr val="accent1">
          <a:lumMod val="20000"/>
          <a:lumOff val="80000"/>
          <a:alpha val="50000"/>
        </a:schemeClr>
      </a:innerShdw>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userShapes r:id="rId3"/>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00"/>
            </a:pPr>
            <a:r>
              <a:rPr lang="ru-RU" sz="1100"/>
              <a:t>Динаміка надходжень орендної плати за користування цілісним майновим комплексом та іншим майном, що перебуває в комунальній власності за 2020-2024 роки (тис.грн)</a:t>
            </a:r>
          </a:p>
        </c:rich>
      </c:tx>
      <c:overlay val="0"/>
    </c:title>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Лист1!$C$1</c:f>
              <c:strCache>
                <c:ptCount val="1"/>
                <c:pt idx="0">
                  <c:v>Ряд 1</c:v>
                </c:pt>
              </c:strCache>
            </c:strRef>
          </c:tx>
          <c:spPr>
            <a:solidFill>
              <a:schemeClr val="accent3">
                <a:lumMod val="60000"/>
                <a:lumOff val="40000"/>
              </a:schemeClr>
            </a:solidFill>
          </c:spPr>
          <c:invertIfNegative val="0"/>
          <c:dLbls>
            <c:dLbl>
              <c:idx val="0"/>
              <c:layout>
                <c:manualLayout>
                  <c:x val="8.5607276618512567E-3"/>
                  <c:y val="-0.19233996792067659"/>
                </c:manualLayout>
              </c:layout>
              <c:tx>
                <c:rich>
                  <a:bodyPr/>
                  <a:lstStyle/>
                  <a:p>
                    <a:fld id="{58BCECF8-F4AC-42A5-B767-6E68E5BFF7D9}" type="VALUE">
                      <a:rPr lang="en-US">
                        <a:solidFill>
                          <a:srgbClr val="002060"/>
                        </a:solidFill>
                      </a:rPr>
                      <a:pPr/>
                      <a:t>[ЗНАЧЕНИЕ]</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1"/>
              <c:layout>
                <c:manualLayout>
                  <c:x val="1.4981273408239701E-2"/>
                  <c:y val="-0.12780584718576846"/>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6.4205457463883649E-3"/>
                  <c:y val="-0.1287879119276757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8.5607276618512567E-3"/>
                  <c:y val="-0.26515164771070282"/>
                </c:manualLayout>
              </c:layout>
              <c:tx>
                <c:rich>
                  <a:bodyPr/>
                  <a:lstStyle/>
                  <a:p>
                    <a:r>
                      <a:rPr lang="en-US"/>
                      <a:t>4 394,9</a:t>
                    </a:r>
                  </a:p>
                </c:rich>
              </c:tx>
              <c:showLegendKey val="0"/>
              <c:showVal val="1"/>
              <c:showCatName val="0"/>
              <c:showSerName val="0"/>
              <c:showPercent val="0"/>
              <c:showBubbleSize val="0"/>
              <c:extLst>
                <c:ext xmlns:c15="http://schemas.microsoft.com/office/drawing/2012/chart" uri="{CE6537A1-D6FC-4f65-9D91-7224C49458BB}"/>
              </c:extLst>
            </c:dLbl>
            <c:dLbl>
              <c:idx val="4"/>
              <c:layout>
                <c:manualLayout>
                  <c:x val="1.0700909577314071E-2"/>
                  <c:y val="-0.18181831437736951"/>
                </c:manualLayout>
              </c:layout>
              <c:tx>
                <c:rich>
                  <a:bodyPr/>
                  <a:lstStyle/>
                  <a:p>
                    <a:r>
                      <a:rPr lang="en-US"/>
                      <a:t>4 000,0</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1.4981273408239701E-2"/>
                  <c:y val="-0.28703703703703703"/>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4205457463884395E-3"/>
                  <c:y val="-0.27777777777779838"/>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rgbClr val="002060"/>
                    </a:solidFil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Лист1!$B$2:$B$6</c:f>
              <c:strCache>
                <c:ptCount val="5"/>
                <c:pt idx="0">
                  <c:v>2020 рік </c:v>
                </c:pt>
                <c:pt idx="1">
                  <c:v>2021 рік</c:v>
                </c:pt>
                <c:pt idx="2">
                  <c:v>2022 рік</c:v>
                </c:pt>
                <c:pt idx="3">
                  <c:v>2023 рік (очікувані)</c:v>
                </c:pt>
                <c:pt idx="4">
                  <c:v>2024 рік (прогноз)</c:v>
                </c:pt>
              </c:strCache>
            </c:strRef>
          </c:cat>
          <c:val>
            <c:numRef>
              <c:f>Лист1!$C$2:$C$6</c:f>
              <c:numCache>
                <c:formatCode>#\ ##0.0</c:formatCode>
                <c:ptCount val="5"/>
                <c:pt idx="0">
                  <c:v>4044</c:v>
                </c:pt>
                <c:pt idx="1">
                  <c:v>3774.4</c:v>
                </c:pt>
                <c:pt idx="2">
                  <c:v>3798.6</c:v>
                </c:pt>
                <c:pt idx="3">
                  <c:v>4394.8999999999996</c:v>
                </c:pt>
                <c:pt idx="4">
                  <c:v>4000</c:v>
                </c:pt>
              </c:numCache>
            </c:numRef>
          </c:val>
        </c:ser>
        <c:dLbls>
          <c:showLegendKey val="0"/>
          <c:showVal val="0"/>
          <c:showCatName val="0"/>
          <c:showSerName val="0"/>
          <c:showPercent val="0"/>
          <c:showBubbleSize val="0"/>
        </c:dLbls>
        <c:gapWidth val="150"/>
        <c:shape val="pyramid"/>
        <c:axId val="499840496"/>
        <c:axId val="499842456"/>
        <c:axId val="0"/>
      </c:bar3DChart>
      <c:catAx>
        <c:axId val="499840496"/>
        <c:scaling>
          <c:orientation val="minMax"/>
        </c:scaling>
        <c:delete val="0"/>
        <c:axPos val="b"/>
        <c:numFmt formatCode="General" sourceLinked="0"/>
        <c:majorTickMark val="out"/>
        <c:minorTickMark val="none"/>
        <c:tickLblPos val="nextTo"/>
        <c:txPr>
          <a:bodyPr/>
          <a:lstStyle/>
          <a:p>
            <a:pPr>
              <a:defRPr b="1"/>
            </a:pPr>
            <a:endParaRPr lang="uk-UA"/>
          </a:p>
        </c:txPr>
        <c:crossAx val="499842456"/>
        <c:crosses val="autoZero"/>
        <c:auto val="1"/>
        <c:lblAlgn val="ctr"/>
        <c:lblOffset val="100"/>
        <c:noMultiLvlLbl val="0"/>
      </c:catAx>
      <c:valAx>
        <c:axId val="499842456"/>
        <c:scaling>
          <c:orientation val="minMax"/>
        </c:scaling>
        <c:delete val="0"/>
        <c:axPos val="l"/>
        <c:majorGridlines>
          <c:spPr>
            <a:ln>
              <a:solidFill>
                <a:sysClr val="window" lastClr="FFFFFF">
                  <a:lumMod val="85000"/>
                </a:sysClr>
              </a:solidFill>
            </a:ln>
          </c:spPr>
        </c:majorGridlines>
        <c:numFmt formatCode="#\ ##0.0" sourceLinked="1"/>
        <c:majorTickMark val="out"/>
        <c:minorTickMark val="none"/>
        <c:tickLblPos val="nextTo"/>
        <c:crossAx val="499840496"/>
        <c:crosses val="autoZero"/>
        <c:crossBetween val="between"/>
      </c:valAx>
    </c:plotArea>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1" i="0" u="none" strike="noStrike" kern="1200" baseline="0">
                <a:solidFill>
                  <a:schemeClr val="tx1"/>
                </a:solidFill>
                <a:latin typeface="+mn-lt"/>
                <a:ea typeface="+mn-ea"/>
                <a:cs typeface="+mn-cs"/>
              </a:defRPr>
            </a:pPr>
            <a:r>
              <a:rPr lang="ru-RU" sz="1200"/>
              <a:t>             Динаміка надходжень державного мита до бюджету </a:t>
            </a:r>
          </a:p>
          <a:p>
            <a:pPr algn="ctr">
              <a:defRPr sz="1400"/>
            </a:pPr>
            <a:r>
              <a:rPr lang="ru-RU" sz="1200"/>
              <a:t>           Чорноморської  міської територіальної громади </a:t>
            </a:r>
          </a:p>
          <a:p>
            <a:pPr algn="ctr">
              <a:defRPr sz="1400"/>
            </a:pPr>
            <a:r>
              <a:rPr lang="ru-RU" sz="1200"/>
              <a:t>       за 2020-2024 роки, тис. грн</a:t>
            </a:r>
          </a:p>
        </c:rich>
      </c:tx>
      <c:layout>
        <c:manualLayout>
          <c:xMode val="edge"/>
          <c:yMode val="edge"/>
          <c:x val="0.20829150423976048"/>
          <c:y val="1.5303621027954031E-2"/>
        </c:manualLayout>
      </c:layout>
      <c:overlay val="0"/>
      <c:spPr>
        <a:noFill/>
        <a:ln>
          <a:noFill/>
        </a:ln>
        <a:effectLst/>
      </c:spPr>
      <c:txPr>
        <a:bodyPr rot="0" spcFirstLastPara="1" vertOverflow="ellipsis" vert="horz" wrap="square" anchor="ctr" anchorCtr="1"/>
        <a:lstStyle/>
        <a:p>
          <a:pPr algn="ctr">
            <a:defRPr sz="1400" b="1" i="0" u="none" strike="noStrike" kern="1200" baseline="0">
              <a:solidFill>
                <a:schemeClr val="tx1"/>
              </a:solidFill>
              <a:latin typeface="+mn-lt"/>
              <a:ea typeface="+mn-ea"/>
              <a:cs typeface="+mn-cs"/>
            </a:defRPr>
          </a:pPr>
          <a:endParaRPr lang="uk-UA"/>
        </a:p>
      </c:txPr>
    </c:title>
    <c:autoTitleDeleted val="0"/>
    <c:view3D>
      <c:rotX val="15"/>
      <c:rotY val="20"/>
      <c:rAngAx val="0"/>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solidFill>
          <a:schemeClr val="bg1"/>
        </a:solidFill>
        <a:ln>
          <a:noFill/>
        </a:ln>
        <a:effectLst/>
        <a:sp3d/>
      </c:spPr>
    </c:sideWall>
    <c:backWall>
      <c:thickness val="0"/>
      <c:spPr>
        <a:solidFill>
          <a:schemeClr val="bg1"/>
        </a:solidFill>
        <a:ln>
          <a:noFill/>
        </a:ln>
        <a:effectLst/>
        <a:sp3d/>
      </c:spPr>
    </c:backWall>
    <c:plotArea>
      <c:layout>
        <c:manualLayout>
          <c:layoutTarget val="inner"/>
          <c:xMode val="edge"/>
          <c:yMode val="edge"/>
          <c:x val="0.24520349299792801"/>
          <c:y val="0.16982519175394337"/>
          <c:w val="0.75862914275316506"/>
          <c:h val="0.70000840914303186"/>
        </c:manualLayout>
      </c:layout>
      <c:bar3DChart>
        <c:barDir val="col"/>
        <c:grouping val="clustered"/>
        <c:varyColors val="0"/>
        <c:ser>
          <c:idx val="0"/>
          <c:order val="0"/>
          <c:tx>
            <c:strRef>
              <c:f>Лист1!$C$1</c:f>
              <c:strCache>
                <c:ptCount val="1"/>
                <c:pt idx="0">
                  <c:v>Ряд 1</c:v>
                </c:pt>
              </c:strCache>
            </c:strRef>
          </c:tx>
          <c:spPr>
            <a:solidFill>
              <a:schemeClr val="accent6">
                <a:lumMod val="60000"/>
                <a:lumOff val="40000"/>
              </a:schemeClr>
            </a:solidFill>
            <a:ln>
              <a:noFill/>
            </a:ln>
            <a:effectLst/>
            <a:sp3d/>
          </c:spPr>
          <c:invertIfNegative val="0"/>
          <c:dPt>
            <c:idx val="4"/>
            <c:invertIfNegative val="0"/>
            <c:bubble3D val="0"/>
            <c:spPr>
              <a:solidFill>
                <a:schemeClr val="accent6">
                  <a:lumMod val="60000"/>
                  <a:lumOff val="40000"/>
                </a:schemeClr>
              </a:solidFill>
              <a:ln>
                <a:noFill/>
              </a:ln>
              <a:effectLst/>
              <a:sp3d/>
            </c:spPr>
          </c:dPt>
          <c:dLbls>
            <c:dLbl>
              <c:idx val="0"/>
              <c:layout>
                <c:manualLayout>
                  <c:x val="1.0223864197070153E-2"/>
                  <c:y val="-3.236330825505839E-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6537467700258397E-2"/>
                  <c:y val="-9.7087378640776691E-3"/>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0335917312661499E-2"/>
                  <c:y val="-6.4724919093852315E-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2403100775193798E-2"/>
                  <c:y val="-6.4724919093851136E-3"/>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8.1511611996367746E-3"/>
                  <c:y val="-6.4724019967414602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Лист1!$B$2:$B$7</c:f>
              <c:strCache>
                <c:ptCount val="5"/>
                <c:pt idx="0">
                  <c:v>2020 рік</c:v>
                </c:pt>
                <c:pt idx="1">
                  <c:v>2021 рік</c:v>
                </c:pt>
                <c:pt idx="2">
                  <c:v>2022 рік </c:v>
                </c:pt>
                <c:pt idx="3">
                  <c:v>2023 рік
 (очікувані)</c:v>
                </c:pt>
                <c:pt idx="4">
                  <c:v>2024 рік
 (прогноз)</c:v>
                </c:pt>
              </c:strCache>
            </c:strRef>
          </c:cat>
          <c:val>
            <c:numRef>
              <c:f>Лист1!$C$2:$C$7</c:f>
              <c:numCache>
                <c:formatCode>#\ ##0.0</c:formatCode>
                <c:ptCount val="6"/>
                <c:pt idx="0">
                  <c:v>55.9</c:v>
                </c:pt>
                <c:pt idx="1">
                  <c:v>27.7</c:v>
                </c:pt>
                <c:pt idx="2">
                  <c:v>28.7</c:v>
                </c:pt>
                <c:pt idx="3">
                  <c:v>167.1</c:v>
                </c:pt>
                <c:pt idx="4">
                  <c:v>35</c:v>
                </c:pt>
              </c:numCache>
            </c:numRef>
          </c:val>
        </c:ser>
        <c:dLbls>
          <c:showLegendKey val="0"/>
          <c:showVal val="0"/>
          <c:showCatName val="0"/>
          <c:showSerName val="0"/>
          <c:showPercent val="0"/>
          <c:showBubbleSize val="0"/>
        </c:dLbls>
        <c:gapWidth val="150"/>
        <c:shape val="box"/>
        <c:axId val="499842064"/>
        <c:axId val="499839320"/>
        <c:axId val="0"/>
      </c:bar3DChart>
      <c:catAx>
        <c:axId val="499842064"/>
        <c:scaling>
          <c:orientation val="minMax"/>
        </c:scaling>
        <c:delete val="0"/>
        <c:axPos val="b"/>
        <c:numFmt formatCode="General" sourceLinked="0"/>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uk-UA"/>
          </a:p>
        </c:txPr>
        <c:crossAx val="499839320"/>
        <c:crosses val="autoZero"/>
        <c:auto val="1"/>
        <c:lblAlgn val="ctr"/>
        <c:lblOffset val="100"/>
        <c:noMultiLvlLbl val="0"/>
      </c:catAx>
      <c:valAx>
        <c:axId val="499839320"/>
        <c:scaling>
          <c:orientation val="minMax"/>
        </c:scaling>
        <c:delete val="0"/>
        <c:axPos val="l"/>
        <c:majorGridlines>
          <c:spPr>
            <a:ln w="9525" cap="flat" cmpd="sng" algn="ctr">
              <a:solidFill>
                <a:schemeClr val="bg2"/>
              </a:solidFill>
              <a:prstDash val="solid"/>
              <a:round/>
            </a:ln>
            <a:effectLst/>
          </c:spPr>
        </c:majorGridlines>
        <c:numFmt formatCode="#\ ##0.0"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uk-UA"/>
          </a:p>
        </c:txPr>
        <c:crossAx val="499842064"/>
        <c:crosses val="autoZero"/>
        <c:crossBetween val="between"/>
      </c:valAx>
      <c:spPr>
        <a:noFill/>
        <a:ln>
          <a:noFill/>
        </a:ln>
        <a:effectLst/>
      </c:spPr>
    </c:plotArea>
    <c:plotVisOnly val="1"/>
    <c:dispBlanksAs val="gap"/>
    <c:showDLblsOverMax val="0"/>
  </c:chart>
  <c:spPr>
    <a:solidFill>
      <a:schemeClr val="bg1"/>
    </a:solidFill>
    <a:ln w="41275" cap="flat" cmpd="sng" algn="ctr">
      <a:solidFill>
        <a:schemeClr val="tx1">
          <a:tint val="75000"/>
          <a:shade val="95000"/>
          <a:satMod val="105000"/>
        </a:schemeClr>
      </a:solidFill>
      <a:prstDash val="solid"/>
      <a:round/>
    </a:ln>
    <a:effectLst/>
  </c:spPr>
  <c:txPr>
    <a:bodyPr/>
    <a:lstStyle/>
    <a:p>
      <a:pPr>
        <a:defRPr/>
      </a:pPr>
      <a:endParaRPr lang="uk-UA"/>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latin typeface="Times New Roman" panose="02020603050405020304" pitchFamily="18" charset="0"/>
                <a:cs typeface="Times New Roman" panose="02020603050405020304" pitchFamily="18" charset="0"/>
              </a:defRPr>
            </a:pPr>
            <a:r>
              <a:rPr lang="ru-RU" sz="1200">
                <a:latin typeface="Times New Roman" panose="02020603050405020304" pitchFamily="18" charset="0"/>
                <a:cs typeface="Times New Roman" panose="02020603050405020304" pitchFamily="18" charset="0"/>
              </a:rPr>
              <a:t>Структура надходжень спеціального фонду бюджету Чорноморської міської територіальної громади  в 2024 році </a:t>
            </a:r>
          </a:p>
        </c:rich>
      </c:tx>
      <c:overlay val="0"/>
    </c:title>
    <c:autoTitleDeleted val="0"/>
    <c:view3D>
      <c:rotX val="20"/>
      <c:rotY val="220"/>
      <c:rAngAx val="0"/>
    </c:view3D>
    <c:floor>
      <c:thickness val="0"/>
    </c:floor>
    <c:sideWall>
      <c:thickness val="0"/>
    </c:sideWall>
    <c:backWall>
      <c:thickness val="0"/>
    </c:backWall>
    <c:plotArea>
      <c:layout>
        <c:manualLayout>
          <c:layoutTarget val="inner"/>
          <c:xMode val="edge"/>
          <c:yMode val="edge"/>
          <c:x val="7.7117882979753138E-2"/>
          <c:y val="0.14689318726463541"/>
          <c:w val="0.669208347887567"/>
          <c:h val="0.78981941116056165"/>
        </c:manualLayout>
      </c:layout>
      <c:pie3DChart>
        <c:varyColors val="1"/>
        <c:ser>
          <c:idx val="0"/>
          <c:order val="0"/>
          <c:tx>
            <c:strRef>
              <c:f>'спеціальний фонд'!$C$6</c:f>
              <c:strCache>
                <c:ptCount val="1"/>
                <c:pt idx="0">
                  <c:v>2020</c:v>
                </c:pt>
              </c:strCache>
            </c:strRef>
          </c:tx>
          <c:spPr>
            <a:solidFill>
              <a:schemeClr val="accent1"/>
            </a:solidFill>
            <a:scene3d>
              <a:camera prst="orthographicFront"/>
              <a:lightRig rig="threePt" dir="t"/>
            </a:scene3d>
            <a:sp3d prstMaterial="softEdge">
              <a:bevelT w="165100" prst="coolSlant"/>
            </a:sp3d>
          </c:spPr>
          <c:explosion val="21"/>
          <c:dPt>
            <c:idx val="0"/>
            <c:bubble3D val="0"/>
            <c:spPr>
              <a:solidFill>
                <a:srgbClr val="FF00FF"/>
              </a:solidFill>
              <a:scene3d>
                <a:camera prst="orthographicFront"/>
                <a:lightRig rig="threePt" dir="t"/>
              </a:scene3d>
              <a:sp3d prstMaterial="softEdge">
                <a:bevelT w="165100" prst="coolSlant"/>
              </a:sp3d>
            </c:spPr>
          </c:dPt>
          <c:dPt>
            <c:idx val="1"/>
            <c:bubble3D val="0"/>
            <c:spPr>
              <a:solidFill>
                <a:srgbClr val="FFFF00"/>
              </a:solidFill>
              <a:scene3d>
                <a:camera prst="orthographicFront"/>
                <a:lightRig rig="threePt" dir="t"/>
              </a:scene3d>
              <a:sp3d prstMaterial="softEdge">
                <a:bevelT w="165100" prst="coolSlant"/>
              </a:sp3d>
            </c:spPr>
          </c:dPt>
          <c:dPt>
            <c:idx val="2"/>
            <c:bubble3D val="0"/>
            <c:spPr>
              <a:solidFill>
                <a:srgbClr val="00FFFF"/>
              </a:solidFill>
              <a:scene3d>
                <a:camera prst="orthographicFront"/>
                <a:lightRig rig="threePt" dir="t"/>
              </a:scene3d>
              <a:sp3d prstMaterial="softEdge">
                <a:bevelT w="165100" prst="coolSlant"/>
              </a:sp3d>
            </c:spPr>
          </c:dPt>
          <c:dLbls>
            <c:dLbl>
              <c:idx val="0"/>
              <c:layout>
                <c:manualLayout>
                  <c:x val="-7.4573788912409469E-2"/>
                  <c:y val="6.8235619643930046E-2"/>
                </c:manualLayout>
              </c:layout>
              <c:tx>
                <c:rich>
                  <a:bodyPr/>
                  <a:lstStyle/>
                  <a:p>
                    <a:r>
                      <a:rPr lang="uk-UA"/>
                      <a:t>Власні надходження бюджетних установ; 18 000,0; 85,1 %</a:t>
                    </a:r>
                  </a:p>
                </c:rich>
              </c:tx>
              <c:showLegendKey val="0"/>
              <c:showVal val="1"/>
              <c:showCatName val="1"/>
              <c:showSerName val="0"/>
              <c:showPercent val="1"/>
              <c:showBubbleSize val="0"/>
              <c:extLst>
                <c:ext xmlns:c15="http://schemas.microsoft.com/office/drawing/2012/chart" uri="{CE6537A1-D6FC-4f65-9D91-7224C49458BB}">
                  <c15:layout>
                    <c:manualLayout>
                      <c:w val="0.19361847005896043"/>
                      <c:h val="0.28524112196818768"/>
                    </c:manualLayout>
                  </c15:layout>
                </c:ext>
              </c:extLst>
            </c:dLbl>
            <c:dLbl>
              <c:idx val="1"/>
              <c:layout>
                <c:manualLayout>
                  <c:x val="4.5537145911277395E-2"/>
                  <c:y val="0.18637937920803377"/>
                </c:manualLayout>
              </c:layout>
              <c:tx>
                <c:rich>
                  <a:bodyPr/>
                  <a:lstStyle/>
                  <a:p>
                    <a:r>
                      <a:rPr lang="uk-UA"/>
                      <a:t>Бюджет розвитку;</a:t>
                    </a:r>
                  </a:p>
                  <a:p>
                    <a:r>
                      <a:rPr lang="uk-UA"/>
                      <a:t>2</a:t>
                    </a:r>
                    <a:r>
                      <a:rPr lang="uk-UA" baseline="0"/>
                      <a:t> 799,0</a:t>
                    </a:r>
                    <a:r>
                      <a:rPr lang="uk-UA"/>
                      <a:t>; </a:t>
                    </a:r>
                  </a:p>
                  <a:p>
                    <a:r>
                      <a:rPr lang="uk-UA"/>
                      <a:t>13,2%</a:t>
                    </a:r>
                  </a:p>
                </c:rich>
              </c:tx>
              <c:showLegendKey val="0"/>
              <c:showVal val="1"/>
              <c:showCatName val="1"/>
              <c:showSerName val="0"/>
              <c:showPercent val="1"/>
              <c:showBubbleSize val="0"/>
              <c:extLst>
                <c:ext xmlns:c15="http://schemas.microsoft.com/office/drawing/2012/chart" uri="{CE6537A1-D6FC-4f65-9D91-7224C49458BB}"/>
              </c:extLst>
            </c:dLbl>
            <c:dLbl>
              <c:idx val="2"/>
              <c:layout>
                <c:manualLayout>
                  <c:x val="4.1390977918246592E-3"/>
                  <c:y val="6.3938719616569661E-2"/>
                </c:manualLayout>
              </c:layout>
              <c:tx>
                <c:rich>
                  <a:bodyPr/>
                  <a:lstStyle/>
                  <a:p>
                    <a:r>
                      <a:rPr lang="uk-UA"/>
                      <a:t>Фонд охорони навколишнього природного середовища; </a:t>
                    </a:r>
                  </a:p>
                  <a:p>
                    <a:r>
                      <a:rPr lang="uk-UA" baseline="0"/>
                      <a:t>350,0</a:t>
                    </a:r>
                    <a:r>
                      <a:rPr lang="uk-UA"/>
                      <a:t>; </a:t>
                    </a:r>
                  </a:p>
                  <a:p>
                    <a:r>
                      <a:rPr lang="uk-UA"/>
                      <a:t>1,7 %</a:t>
                    </a:r>
                  </a:p>
                </c:rich>
              </c:tx>
              <c:showLegendKey val="0"/>
              <c:showVal val="1"/>
              <c:showCatName val="1"/>
              <c:showSerName val="0"/>
              <c:showPercent val="1"/>
              <c:showBubbleSize val="0"/>
              <c:extLst>
                <c:ext xmlns:c15="http://schemas.microsoft.com/office/drawing/2012/chart" uri="{CE6537A1-D6FC-4f65-9D91-7224C49458BB}"/>
              </c:extLst>
            </c:dLbl>
            <c:dLbl>
              <c:idx val="3"/>
              <c:layout>
                <c:manualLayout>
                  <c:x val="-5.4658759924337032E-2"/>
                  <c:y val="-6.2547843771183956E-2"/>
                </c:manualLayout>
              </c:layout>
              <c:showLegendKey val="0"/>
              <c:showVal val="1"/>
              <c:showCatName val="1"/>
              <c:showSerName val="0"/>
              <c:showPercent val="1"/>
              <c:showBubbleSize val="0"/>
              <c:extLst>
                <c:ext xmlns:c15="http://schemas.microsoft.com/office/drawing/2012/chart" uri="{CE6537A1-D6FC-4f65-9D91-7224C49458BB}"/>
              </c:extLst>
            </c:dLbl>
            <c:spPr>
              <a:noFill/>
              <a:ln>
                <a:noFill/>
              </a:ln>
              <a:effectLst/>
            </c:spPr>
            <c:txPr>
              <a:bodyPr/>
              <a:lstStyle/>
              <a:p>
                <a:pPr>
                  <a:defRPr b="1"/>
                </a:pPr>
                <a:endParaRPr lang="uk-UA"/>
              </a:p>
            </c:txPr>
            <c:showLegendKey val="0"/>
            <c:showVal val="1"/>
            <c:showCatName val="1"/>
            <c:showSerName val="0"/>
            <c:showPercent val="1"/>
            <c:showBubbleSize val="0"/>
            <c:showLeaderLines val="0"/>
            <c:extLst>
              <c:ext xmlns:c15="http://schemas.microsoft.com/office/drawing/2012/chart" uri="{CE6537A1-D6FC-4f65-9D91-7224C49458BB}"/>
            </c:extLst>
          </c:dLbls>
          <c:cat>
            <c:strRef>
              <c:f>'спеціальний фонд'!$B$7:$B$9</c:f>
              <c:strCache>
                <c:ptCount val="3"/>
                <c:pt idx="0">
                  <c:v>Власні надходження бюджетних установ</c:v>
                </c:pt>
                <c:pt idx="1">
                  <c:v>Бюджет розвитку</c:v>
                </c:pt>
                <c:pt idx="2">
                  <c:v>Фонд охорони навколишнього природного середовища</c:v>
                </c:pt>
              </c:strCache>
            </c:strRef>
          </c:cat>
          <c:val>
            <c:numRef>
              <c:f>'спеціальний фонд'!$C$7:$C$9</c:f>
              <c:numCache>
                <c:formatCode>#,##0.0</c:formatCode>
                <c:ptCount val="3"/>
                <c:pt idx="0">
                  <c:v>14130.9</c:v>
                </c:pt>
                <c:pt idx="1">
                  <c:v>7770.2</c:v>
                </c:pt>
                <c:pt idx="2">
                  <c:v>1335</c:v>
                </c:pt>
              </c:numCache>
            </c:numRef>
          </c:val>
        </c:ser>
        <c:dLbls>
          <c:showLegendKey val="0"/>
          <c:showVal val="0"/>
          <c:showCatName val="0"/>
          <c:showSerName val="0"/>
          <c:showPercent val="0"/>
          <c:showBubbleSize val="0"/>
          <c:showLeaderLines val="0"/>
        </c:dLbls>
      </c:pie3DChart>
      <c:spPr>
        <a:noFill/>
        <a:ln w="25400">
          <a:noFill/>
        </a:ln>
      </c:spPr>
    </c:plotArea>
    <c:plotVisOnly val="1"/>
    <c:dispBlanksAs val="zero"/>
    <c:showDLblsOverMax val="0"/>
  </c:chart>
  <c:spPr>
    <a:noFill/>
    <a:scene3d>
      <a:camera prst="orthographicFront"/>
      <a:lightRig rig="threePt" dir="t"/>
    </a:scene3d>
    <a:sp3d prstMaterial="dkEdge"/>
  </c:spPr>
  <c:externalData r:id="rId2">
    <c:autoUpdate val="0"/>
  </c:externalData>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Освітня субвенція</c:v>
                </c:pt>
              </c:strCache>
            </c:strRef>
          </c:tx>
          <c:spPr>
            <a:solidFill>
              <a:schemeClr val="accent4">
                <a:lumMod val="40000"/>
                <a:lumOff val="60000"/>
              </a:schemeClr>
            </a:solidFill>
          </c:spPr>
          <c:invertIfNegative val="0"/>
          <c:dLbls>
            <c:dLbl>
              <c:idx val="0"/>
              <c:layout>
                <c:manualLayout>
                  <c:x val="9.7010741328299611E-3"/>
                  <c:y val="-5.336631771603215E-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2752201899765239E-2"/>
                  <c:y val="-1.952192757514506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8.6702070011921532E-3"/>
                  <c:y val="-1.5325670498084337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0837758751490113E-2"/>
                  <c:y val="-5.1085568326948109E-3"/>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8.6702070011921532E-3"/>
                  <c:y val="-5.1083557084100123E-3"/>
                </c:manualLayout>
              </c:layout>
              <c:showLegendKey val="0"/>
              <c:showVal val="1"/>
              <c:showCatName val="0"/>
              <c:showSerName val="0"/>
              <c:showPercent val="0"/>
              <c:showBubbleSize val="0"/>
              <c:extLst>
                <c:ext xmlns:c15="http://schemas.microsoft.com/office/drawing/2012/chart" uri="{CE6537A1-D6FC-4f65-9D91-7224C49458BB}">
                  <c15:layout>
                    <c:manualLayout>
                      <c:w val="7.2428656399525879E-2"/>
                      <c:h val="0.12592592592592591"/>
                    </c:manualLayout>
                  </c15:layout>
                </c:ext>
              </c:extLst>
            </c:dLbl>
            <c:spPr>
              <a:noFill/>
              <a:ln>
                <a:noFill/>
              </a:ln>
              <a:effectLst/>
            </c:spPr>
            <c:txPr>
              <a:bodyPr/>
              <a:lstStyle/>
              <a:p>
                <a:pPr>
                  <a:defRPr sz="1200" b="1"/>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2020 рік</c:v>
                </c:pt>
                <c:pt idx="1">
                  <c:v>2021 рік</c:v>
                </c:pt>
                <c:pt idx="2">
                  <c:v>2022 рік</c:v>
                </c:pt>
                <c:pt idx="3">
                  <c:v>2023 рік</c:v>
                </c:pt>
                <c:pt idx="4">
                  <c:v>2024 рік</c:v>
                </c:pt>
              </c:strCache>
            </c:strRef>
          </c:cat>
          <c:val>
            <c:numRef>
              <c:f>Лист1!$B$2:$B$6</c:f>
              <c:numCache>
                <c:formatCode>0.0</c:formatCode>
                <c:ptCount val="5"/>
                <c:pt idx="0">
                  <c:v>119.7</c:v>
                </c:pt>
                <c:pt idx="1">
                  <c:v>148.6</c:v>
                </c:pt>
                <c:pt idx="2">
                  <c:v>148.9</c:v>
                </c:pt>
                <c:pt idx="3">
                  <c:v>126.9</c:v>
                </c:pt>
                <c:pt idx="4">
                  <c:v>159.19999999999999</c:v>
                </c:pt>
              </c:numCache>
            </c:numRef>
          </c:val>
        </c:ser>
        <c:dLbls>
          <c:showLegendKey val="0"/>
          <c:showVal val="0"/>
          <c:showCatName val="0"/>
          <c:showSerName val="0"/>
          <c:showPercent val="0"/>
          <c:showBubbleSize val="0"/>
        </c:dLbls>
        <c:gapWidth val="150"/>
        <c:shape val="cylinder"/>
        <c:axId val="674330240"/>
        <c:axId val="674327496"/>
        <c:axId val="0"/>
      </c:bar3DChart>
      <c:catAx>
        <c:axId val="674330240"/>
        <c:scaling>
          <c:orientation val="minMax"/>
        </c:scaling>
        <c:delete val="0"/>
        <c:axPos val="b"/>
        <c:numFmt formatCode="General" sourceLinked="0"/>
        <c:majorTickMark val="out"/>
        <c:minorTickMark val="none"/>
        <c:tickLblPos val="nextTo"/>
        <c:txPr>
          <a:bodyPr/>
          <a:lstStyle/>
          <a:p>
            <a:pPr>
              <a:defRPr sz="1100" b="1"/>
            </a:pPr>
            <a:endParaRPr lang="uk-UA"/>
          </a:p>
        </c:txPr>
        <c:crossAx val="674327496"/>
        <c:crosses val="autoZero"/>
        <c:auto val="1"/>
        <c:lblAlgn val="ctr"/>
        <c:lblOffset val="100"/>
        <c:noMultiLvlLbl val="0"/>
      </c:catAx>
      <c:valAx>
        <c:axId val="674327496"/>
        <c:scaling>
          <c:orientation val="minMax"/>
          <c:min val="0"/>
        </c:scaling>
        <c:delete val="0"/>
        <c:axPos val="l"/>
        <c:majorGridlines/>
        <c:numFmt formatCode="0.0" sourceLinked="1"/>
        <c:majorTickMark val="out"/>
        <c:minorTickMark val="none"/>
        <c:tickLblPos val="nextTo"/>
        <c:crossAx val="674330240"/>
        <c:crosses val="autoZero"/>
        <c:crossBetween val="between"/>
      </c:valAx>
    </c:plotArea>
    <c:plotVisOnly val="1"/>
    <c:dispBlanksAs val="gap"/>
    <c:showDLblsOverMax val="0"/>
  </c:chart>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Реверсна дотація за 2021-2024рр. </a:t>
            </a:r>
          </a:p>
        </c:rich>
      </c:tx>
      <c:layout>
        <c:manualLayout>
          <c:xMode val="edge"/>
          <c:yMode val="edge"/>
          <c:x val="0.18263343557603359"/>
          <c:y val="1.3452532407248219E-2"/>
        </c:manualLayout>
      </c:layout>
      <c:overlay val="0"/>
    </c:title>
    <c:autoTitleDeleted val="0"/>
    <c:view3D>
      <c:rotX val="15"/>
      <c:rotY val="20"/>
      <c:rAngAx val="1"/>
    </c:view3D>
    <c:floor>
      <c:thickness val="0"/>
    </c:floor>
    <c:sideWall>
      <c:thickness val="0"/>
      <c:spPr>
        <a:noFill/>
        <a:ln w="25400">
          <a:noFill/>
        </a:ln>
      </c:spPr>
    </c:sideWall>
    <c:backWall>
      <c:thickness val="0"/>
      <c:spPr>
        <a:noFill/>
        <a:ln w="25400">
          <a:noFill/>
        </a:ln>
      </c:spPr>
    </c:backWall>
    <c:plotArea>
      <c:layout/>
      <c:bar3DChart>
        <c:barDir val="col"/>
        <c:grouping val="stacked"/>
        <c:varyColors val="0"/>
        <c:ser>
          <c:idx val="0"/>
          <c:order val="0"/>
          <c:tx>
            <c:strRef>
              <c:f>Лист1!$B$1</c:f>
              <c:strCache>
                <c:ptCount val="1"/>
                <c:pt idx="0">
                  <c:v>Ряд 1</c:v>
                </c:pt>
              </c:strCache>
            </c:strRef>
          </c:tx>
          <c:spPr>
            <a:solidFill>
              <a:schemeClr val="accent5">
                <a:lumMod val="40000"/>
                <a:lumOff val="60000"/>
              </a:schemeClr>
            </a:solidFill>
          </c:spPr>
          <c:invertIfNegative val="0"/>
          <c:dLbls>
            <c:dLbl>
              <c:idx val="0"/>
              <c:layout>
                <c:manualLayout>
                  <c:x val="1.4087893313504445E-2"/>
                  <c:y val="-0.33799333906791063"/>
                </c:manualLayout>
              </c:layout>
              <c:spPr>
                <a:noFill/>
                <a:ln>
                  <a:noFill/>
                </a:ln>
                <a:effectLst/>
              </c:spPr>
              <c:txPr>
                <a:bodyPr/>
                <a:lstStyle/>
                <a:p>
                  <a:pPr>
                    <a:defRPr sz="1200" b="1">
                      <a:solidFill>
                        <a:srgbClr val="FF0000"/>
                      </a:solidFill>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1"/>
              <c:layout>
                <c:manualLayout>
                  <c:x val="1.8850367144241879E-2"/>
                  <c:y val="-0.342904342839498"/>
                </c:manualLayout>
              </c:layout>
              <c:spPr>
                <a:noFill/>
                <a:ln>
                  <a:noFill/>
                </a:ln>
                <a:effectLst/>
              </c:spPr>
              <c:txPr>
                <a:bodyPr/>
                <a:lstStyle/>
                <a:p>
                  <a:pPr>
                    <a:defRPr sz="1200" b="1">
                      <a:solidFill>
                        <a:srgbClr val="FF0000"/>
                      </a:solidFill>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2"/>
              <c:layout>
                <c:manualLayout>
                  <c:x val="1.3490725126475547E-2"/>
                  <c:y val="-0.21649352654447612"/>
                </c:manualLayout>
              </c:layout>
              <c:spPr>
                <a:noFill/>
                <a:ln>
                  <a:noFill/>
                </a:ln>
                <a:effectLst/>
              </c:spPr>
              <c:txPr>
                <a:bodyPr/>
                <a:lstStyle/>
                <a:p>
                  <a:pPr>
                    <a:defRPr sz="1200" b="1">
                      <a:solidFill>
                        <a:srgbClr val="FF0000"/>
                      </a:solidFill>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3"/>
              <c:layout>
                <c:manualLayout>
                  <c:x val="2.6981450252951095E-2"/>
                  <c:y val="-0.12638655462184875"/>
                </c:manualLayout>
              </c:layout>
              <c:spPr>
                <a:noFill/>
                <a:ln>
                  <a:noFill/>
                </a:ln>
                <a:effectLst/>
              </c:spPr>
              <c:txPr>
                <a:bodyPr/>
                <a:lstStyle/>
                <a:p>
                  <a:pPr>
                    <a:defRPr sz="1200" b="1">
                      <a:solidFill>
                        <a:srgbClr val="FF0000"/>
                      </a:solidFill>
                    </a:defRPr>
                  </a:pPr>
                  <a:endParaRPr lang="uk-UA"/>
                </a:p>
              </c:txP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b="1"/>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2021 рік</c:v>
                </c:pt>
                <c:pt idx="1">
                  <c:v>2022 рік</c:v>
                </c:pt>
                <c:pt idx="2">
                  <c:v>2023 рік </c:v>
                </c:pt>
                <c:pt idx="3">
                  <c:v>2024 рік</c:v>
                </c:pt>
              </c:strCache>
            </c:strRef>
          </c:cat>
          <c:val>
            <c:numRef>
              <c:f>Лист1!$B$2:$B$5</c:f>
              <c:numCache>
                <c:formatCode>#\ ##0.0</c:formatCode>
                <c:ptCount val="4"/>
                <c:pt idx="0">
                  <c:v>48641.3</c:v>
                </c:pt>
                <c:pt idx="1">
                  <c:v>46217.7</c:v>
                </c:pt>
                <c:pt idx="2">
                  <c:v>10294.700000000001</c:v>
                </c:pt>
                <c:pt idx="3">
                  <c:v>0</c:v>
                </c:pt>
              </c:numCache>
            </c:numRef>
          </c:val>
        </c:ser>
        <c:dLbls>
          <c:showLegendKey val="0"/>
          <c:showVal val="0"/>
          <c:showCatName val="0"/>
          <c:showSerName val="0"/>
          <c:showPercent val="0"/>
          <c:showBubbleSize val="0"/>
        </c:dLbls>
        <c:gapWidth val="150"/>
        <c:shape val="cylinder"/>
        <c:axId val="674327104"/>
        <c:axId val="674328280"/>
        <c:axId val="0"/>
      </c:bar3DChart>
      <c:catAx>
        <c:axId val="674327104"/>
        <c:scaling>
          <c:orientation val="minMax"/>
        </c:scaling>
        <c:delete val="0"/>
        <c:axPos val="b"/>
        <c:numFmt formatCode="General" sourceLinked="0"/>
        <c:majorTickMark val="out"/>
        <c:minorTickMark val="none"/>
        <c:tickLblPos val="nextTo"/>
        <c:txPr>
          <a:bodyPr/>
          <a:lstStyle/>
          <a:p>
            <a:pPr>
              <a:defRPr sz="1100" b="1"/>
            </a:pPr>
            <a:endParaRPr lang="uk-UA"/>
          </a:p>
        </c:txPr>
        <c:crossAx val="674328280"/>
        <c:crosses val="autoZero"/>
        <c:auto val="1"/>
        <c:lblAlgn val="ctr"/>
        <c:lblOffset val="100"/>
        <c:noMultiLvlLbl val="0"/>
      </c:catAx>
      <c:valAx>
        <c:axId val="674328280"/>
        <c:scaling>
          <c:orientation val="minMax"/>
          <c:max val="22900"/>
          <c:min val="0"/>
        </c:scaling>
        <c:delete val="0"/>
        <c:axPos val="l"/>
        <c:majorGridlines>
          <c:spPr>
            <a:ln>
              <a:solidFill>
                <a:schemeClr val="bg1">
                  <a:lumMod val="95000"/>
                </a:schemeClr>
              </a:solidFill>
            </a:ln>
          </c:spPr>
        </c:majorGridlines>
        <c:numFmt formatCode="#\ ##0.0" sourceLinked="1"/>
        <c:majorTickMark val="out"/>
        <c:minorTickMark val="none"/>
        <c:tickLblPos val="none"/>
        <c:crossAx val="674327104"/>
        <c:crosses val="autoZero"/>
        <c:crossBetween val="between"/>
        <c:majorUnit val="5000"/>
        <c:minorUnit val="10"/>
      </c:valAx>
      <c:spPr>
        <a:scene3d>
          <a:camera prst="orthographicFront"/>
          <a:lightRig rig="threePt" dir="t"/>
        </a:scene3d>
        <a:sp3d>
          <a:bevelB/>
        </a:sp3d>
      </c:spPr>
    </c:plotArea>
    <c:plotVisOnly val="1"/>
    <c:dispBlanksAs val="gap"/>
    <c:showDLblsOverMax val="0"/>
  </c:chart>
  <c:externalData r:id="rId1">
    <c:autoUpdate val="0"/>
  </c:externalData>
  <c:userShapes r:id="rId2"/>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sz="1050">
                <a:latin typeface="Times New Roman" pitchFamily="18" charset="0"/>
                <a:cs typeface="Times New Roman" pitchFamily="18" charset="0"/>
              </a:defRPr>
            </a:pPr>
            <a:r>
              <a:rPr lang="ru-RU" sz="1050">
                <a:latin typeface="Times New Roman" pitchFamily="18" charset="0"/>
                <a:cs typeface="Times New Roman" pitchFamily="18" charset="0"/>
              </a:rPr>
              <a:t>Структура видатків загального фонду бюджету  </a:t>
            </a:r>
          </a:p>
          <a:p>
            <a:pPr algn="ctr">
              <a:defRPr sz="1050">
                <a:latin typeface="Times New Roman" pitchFamily="18" charset="0"/>
                <a:cs typeface="Times New Roman" pitchFamily="18" charset="0"/>
              </a:defRPr>
            </a:pPr>
            <a:r>
              <a:rPr lang="ru-RU" sz="1050">
                <a:latin typeface="Times New Roman" pitchFamily="18" charset="0"/>
                <a:cs typeface="Times New Roman" pitchFamily="18" charset="0"/>
              </a:rPr>
              <a:t>Чорноморсько</a:t>
            </a:r>
            <a:r>
              <a:rPr lang="uk-UA" sz="1050">
                <a:latin typeface="Times New Roman" pitchFamily="18" charset="0"/>
                <a:cs typeface="Times New Roman" pitchFamily="18" charset="0"/>
              </a:rPr>
              <a:t>ї</a:t>
            </a:r>
            <a:r>
              <a:rPr lang="uk-UA" sz="1050" baseline="0">
                <a:latin typeface="Times New Roman" pitchFamily="18" charset="0"/>
                <a:cs typeface="Times New Roman" pitchFamily="18" charset="0"/>
              </a:rPr>
              <a:t>  міської територіальної громади </a:t>
            </a:r>
            <a:r>
              <a:rPr lang="ru-RU" sz="1050">
                <a:latin typeface="Times New Roman" pitchFamily="18" charset="0"/>
                <a:cs typeface="Times New Roman" pitchFamily="18" charset="0"/>
              </a:rPr>
              <a:t> </a:t>
            </a:r>
          </a:p>
          <a:p>
            <a:pPr algn="ctr">
              <a:defRPr sz="1050">
                <a:latin typeface="Times New Roman" pitchFamily="18" charset="0"/>
                <a:cs typeface="Times New Roman" pitchFamily="18" charset="0"/>
              </a:defRPr>
            </a:pPr>
            <a:r>
              <a:rPr lang="ru-RU" sz="1050">
                <a:latin typeface="Times New Roman" pitchFamily="18" charset="0"/>
                <a:cs typeface="Times New Roman" pitchFamily="18" charset="0"/>
              </a:rPr>
              <a:t>у 2024 році за галузями економіки  - 986,9</a:t>
            </a:r>
            <a:r>
              <a:rPr lang="ru-RU" sz="1050" baseline="0">
                <a:latin typeface="Times New Roman" pitchFamily="18" charset="0"/>
                <a:cs typeface="Times New Roman" pitchFamily="18" charset="0"/>
              </a:rPr>
              <a:t> </a:t>
            </a:r>
            <a:r>
              <a:rPr lang="ru-RU" sz="1050">
                <a:latin typeface="Times New Roman" pitchFamily="18" charset="0"/>
                <a:cs typeface="Times New Roman" pitchFamily="18" charset="0"/>
              </a:rPr>
              <a:t>млн</a:t>
            </a:r>
            <a:r>
              <a:rPr lang="ru-RU" sz="1050" baseline="0">
                <a:latin typeface="Times New Roman" pitchFamily="18" charset="0"/>
                <a:cs typeface="Times New Roman" pitchFamily="18" charset="0"/>
              </a:rPr>
              <a:t> </a:t>
            </a:r>
            <a:r>
              <a:rPr lang="ru-RU" sz="1050">
                <a:latin typeface="Times New Roman" pitchFamily="18" charset="0"/>
                <a:cs typeface="Times New Roman" pitchFamily="18" charset="0"/>
              </a:rPr>
              <a:t>грн</a:t>
            </a:r>
          </a:p>
        </c:rich>
      </c:tx>
      <c:layout>
        <c:manualLayout>
          <c:xMode val="edge"/>
          <c:yMode val="edge"/>
          <c:x val="0.27457209430377194"/>
          <c:y val="2.7280519044067291E-2"/>
        </c:manualLayout>
      </c:layout>
      <c:overlay val="0"/>
    </c:title>
    <c:autoTitleDeleted val="0"/>
    <c:view3D>
      <c:rotX val="30"/>
      <c:rotY val="240"/>
      <c:rAngAx val="0"/>
    </c:view3D>
    <c:floor>
      <c:thickness val="0"/>
    </c:floor>
    <c:sideWall>
      <c:thickness val="0"/>
    </c:sideWall>
    <c:backWall>
      <c:thickness val="0"/>
    </c:backWall>
    <c:plotArea>
      <c:layout>
        <c:manualLayout>
          <c:layoutTarget val="inner"/>
          <c:xMode val="edge"/>
          <c:yMode val="edge"/>
          <c:x val="3.2643746664444369E-2"/>
          <c:y val="0.15326358216906083"/>
          <c:w val="0.93895717286705649"/>
          <c:h val="0.80722766598361539"/>
        </c:manualLayout>
      </c:layout>
      <c:pie3DChart>
        <c:varyColors val="1"/>
        <c:ser>
          <c:idx val="0"/>
          <c:order val="0"/>
          <c:tx>
            <c:strRef>
              <c:f>Лист1!$B$1</c:f>
              <c:strCache>
                <c:ptCount val="1"/>
                <c:pt idx="0">
                  <c:v>Розподіл видатків загального фонду бюджету Чорноморської міської територіальної громади  у 2021 році за галузями економіки </c:v>
                </c:pt>
              </c:strCache>
            </c:strRef>
          </c:tx>
          <c:explosion val="45"/>
          <c:dPt>
            <c:idx val="1"/>
            <c:bubble3D val="0"/>
            <c:explosion val="35"/>
          </c:dPt>
          <c:dLbls>
            <c:dLbl>
              <c:idx val="0"/>
              <c:layout>
                <c:manualLayout>
                  <c:x val="4.7915330339961516E-2"/>
                  <c:y val="-0.26529111180760068"/>
                </c:manualLayout>
              </c:layout>
              <c:tx>
                <c:rich>
                  <a:bodyPr/>
                  <a:lstStyle/>
                  <a:p>
                    <a:fld id="{44A4ECEB-ED45-4424-80EC-8D586FB9AEC1}" type="CATEGORYNAME">
                      <a:rPr lang="uk-UA"/>
                      <a:pPr/>
                      <a:t>[ИМЯ КАТЕГОРИИ]</a:t>
                    </a:fld>
                    <a:r>
                      <a:rPr lang="uk-UA" baseline="0"/>
                      <a:t>
</a:t>
                    </a:r>
                    <a:fld id="{17C1520E-3E7A-46E1-ACDF-C7C8FD713259}" type="VALUE">
                      <a:rPr lang="uk-UA" baseline="0"/>
                      <a:pPr/>
                      <a:t>[ЗНАЧЕНИЕ]</a:t>
                    </a:fld>
                    <a:r>
                      <a:rPr lang="uk-UA" baseline="0"/>
                      <a:t> (</a:t>
                    </a:r>
                    <a:fld id="{E5628B5E-4F29-4141-B410-31BC2466F7C2}" type="PERCENTAGE">
                      <a:rPr lang="uk-UA" baseline="0"/>
                      <a:pPr/>
                      <a:t>[ПРОЦЕНТ]</a:t>
                    </a:fld>
                    <a:r>
                      <a:rPr lang="uk-UA" baseline="0"/>
                      <a:t>)</a:t>
                    </a:r>
                  </a:p>
                </c:rich>
              </c:tx>
              <c:dLblPos val="bestFit"/>
              <c:showLegendKey val="0"/>
              <c:showVal val="1"/>
              <c:showCatName val="1"/>
              <c:showSerName val="0"/>
              <c:showPercent val="1"/>
              <c:showBubbleSize val="0"/>
              <c:separator>
</c:separator>
              <c:extLst>
                <c:ext xmlns:c15="http://schemas.microsoft.com/office/drawing/2012/chart" uri="{CE6537A1-D6FC-4f65-9D91-7224C49458BB}">
                  <c15:dlblFieldTable/>
                  <c15:showDataLabelsRange val="0"/>
                </c:ext>
              </c:extLst>
            </c:dLbl>
            <c:dLbl>
              <c:idx val="1"/>
              <c:layout>
                <c:manualLayout>
                  <c:x val="-7.2832372861666828E-2"/>
                  <c:y val="0.12636089114047538"/>
                </c:manualLayout>
              </c:layout>
              <c:tx>
                <c:rich>
                  <a:bodyPr/>
                  <a:lstStyle/>
                  <a:p>
                    <a:fld id="{9506E810-2DEC-4EF8-B472-7F5103E1D563}" type="CATEGORYNAME">
                      <a:rPr lang="uk-UA"/>
                      <a:pPr/>
                      <a:t>[ИМЯ КАТЕГОРИИ]</a:t>
                    </a:fld>
                    <a:r>
                      <a:rPr lang="uk-UA" baseline="0"/>
                      <a:t>
</a:t>
                    </a:r>
                    <a:fld id="{21EF894E-FC5F-4A11-AE31-168B81BDCE3C}" type="VALUE">
                      <a:rPr lang="uk-UA" baseline="0"/>
                      <a:pPr/>
                      <a:t>[ЗНАЧЕНИЕ]</a:t>
                    </a:fld>
                    <a:r>
                      <a:rPr lang="uk-UA" baseline="0"/>
                      <a:t> (</a:t>
                    </a:r>
                    <a:fld id="{B68EF5D1-38E8-4BB1-AD3A-1011C0A7C2BA}" type="PERCENTAGE">
                      <a:rPr lang="uk-UA" baseline="0"/>
                      <a:pPr/>
                      <a:t>[ПРОЦЕНТ]</a:t>
                    </a:fld>
                    <a:r>
                      <a:rPr lang="uk-UA" baseline="0"/>
                      <a:t>)</a:t>
                    </a:r>
                  </a:p>
                </c:rich>
              </c:tx>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1385503527902502"/>
                      <c:h val="8.3140877598152418E-2"/>
                    </c:manualLayout>
                  </c15:layout>
                  <c15:dlblFieldTable/>
                  <c15:showDataLabelsRange val="0"/>
                </c:ext>
              </c:extLst>
            </c:dLbl>
            <c:dLbl>
              <c:idx val="2"/>
              <c:layout>
                <c:manualLayout>
                  <c:x val="-4.5755826384434465E-3"/>
                  <c:y val="-0.18100715946031812"/>
                </c:manualLayout>
              </c:layout>
              <c:tx>
                <c:rich>
                  <a:bodyPr/>
                  <a:lstStyle/>
                  <a:p>
                    <a:fld id="{1BC23DAB-1705-430F-B92B-38F9357AF4E8}" type="CATEGORYNAME">
                      <a:rPr lang="uk-UA"/>
                      <a:pPr/>
                      <a:t>[ИМЯ КАТЕГОРИИ]</a:t>
                    </a:fld>
                    <a:r>
                      <a:rPr lang="uk-UA" baseline="0"/>
                      <a:t>
</a:t>
                    </a:r>
                    <a:fld id="{A8AE5C98-C2E0-4EB2-AFA8-0C363F2A81D4}" type="VALUE">
                      <a:rPr lang="uk-UA" baseline="0"/>
                      <a:pPr/>
                      <a:t>[ЗНАЧЕНИЕ]</a:t>
                    </a:fld>
                    <a:r>
                      <a:rPr lang="uk-UA" baseline="0"/>
                      <a:t> (</a:t>
                    </a:r>
                    <a:fld id="{237549C1-456E-4FC1-94D4-6E1D0799FEE1}" type="PERCENTAGE">
                      <a:rPr lang="uk-UA" baseline="0"/>
                      <a:pPr/>
                      <a:t>[ПРОЦЕНТ]</a:t>
                    </a:fld>
                    <a:r>
                      <a:rPr lang="uk-UA" baseline="0"/>
                      <a:t>)</a:t>
                    </a:r>
                  </a:p>
                </c:rich>
              </c:tx>
              <c:dLblPos val="bestFit"/>
              <c:showLegendKey val="0"/>
              <c:showVal val="1"/>
              <c:showCatName val="1"/>
              <c:showSerName val="0"/>
              <c:showPercent val="1"/>
              <c:showBubbleSize val="0"/>
              <c:separator>
</c:separator>
              <c:extLst>
                <c:ext xmlns:c15="http://schemas.microsoft.com/office/drawing/2012/chart" uri="{CE6537A1-D6FC-4f65-9D91-7224C49458BB}">
                  <c15:dlblFieldTable/>
                  <c15:showDataLabelsRange val="0"/>
                </c:ext>
              </c:extLst>
            </c:dLbl>
            <c:dLbl>
              <c:idx val="3"/>
              <c:layout>
                <c:manualLayout>
                  <c:x val="-1.9765008527253175E-4"/>
                  <c:y val="-9.4677738710184658E-2"/>
                </c:manualLayout>
              </c:layout>
              <c:tx>
                <c:rich>
                  <a:bodyPr/>
                  <a:lstStyle/>
                  <a:p>
                    <a:fld id="{6609B341-08E0-46DF-B427-553030EDBD48}" type="CATEGORYNAME">
                      <a:rPr lang="uk-UA"/>
                      <a:pPr/>
                      <a:t>[ИМЯ КАТЕГОРИИ]</a:t>
                    </a:fld>
                    <a:r>
                      <a:rPr lang="uk-UA" baseline="0"/>
                      <a:t>
</a:t>
                    </a:r>
                    <a:fld id="{13C21241-94BF-4D8C-B7D1-16BB28DC5212}" type="VALUE">
                      <a:rPr lang="uk-UA" baseline="0"/>
                      <a:pPr/>
                      <a:t>[ЗНАЧЕНИЕ]</a:t>
                    </a:fld>
                    <a:r>
                      <a:rPr lang="uk-UA" baseline="0"/>
                      <a:t> (</a:t>
                    </a:r>
                    <a:fld id="{6597C446-8BC2-480C-B699-3A05B30CC4D4}" type="PERCENTAGE">
                      <a:rPr lang="uk-UA" baseline="0"/>
                      <a:pPr/>
                      <a:t>[ПРОЦЕНТ]</a:t>
                    </a:fld>
                    <a:r>
                      <a:rPr lang="uk-UA" baseline="0"/>
                      <a:t>)</a:t>
                    </a:r>
                  </a:p>
                </c:rich>
              </c:tx>
              <c:dLblPos val="bestFit"/>
              <c:showLegendKey val="0"/>
              <c:showVal val="1"/>
              <c:showCatName val="1"/>
              <c:showSerName val="0"/>
              <c:showPercent val="1"/>
              <c:showBubbleSize val="0"/>
              <c:separator>
</c:separator>
              <c:extLst>
                <c:ext xmlns:c15="http://schemas.microsoft.com/office/drawing/2012/chart" uri="{CE6537A1-D6FC-4f65-9D91-7224C49458BB}">
                  <c15:dlblFieldTable/>
                  <c15:showDataLabelsRange val="0"/>
                </c:ext>
              </c:extLst>
            </c:dLbl>
            <c:dLbl>
              <c:idx val="4"/>
              <c:layout>
                <c:manualLayout>
                  <c:x val="-1.9456916827025872E-3"/>
                  <c:y val="8.5297594151770295E-2"/>
                </c:manualLayout>
              </c:layout>
              <c:tx>
                <c:rich>
                  <a:bodyPr/>
                  <a:lstStyle/>
                  <a:p>
                    <a:fld id="{A7651181-5FE2-4A57-99D0-EFB6AAD9A14E}" type="CATEGORYNAME">
                      <a:rPr lang="uk-UA"/>
                      <a:pPr/>
                      <a:t>[ИМЯ КАТЕГОРИИ]</a:t>
                    </a:fld>
                    <a:r>
                      <a:rPr lang="uk-UA" baseline="0"/>
                      <a:t>
</a:t>
                    </a:r>
                    <a:fld id="{C77905E4-3158-4207-89A3-A411C82D908F}" type="VALUE">
                      <a:rPr lang="uk-UA" baseline="0"/>
                      <a:pPr/>
                      <a:t>[ЗНАЧЕНИЕ]</a:t>
                    </a:fld>
                    <a:r>
                      <a:rPr lang="uk-UA" baseline="0"/>
                      <a:t> (</a:t>
                    </a:r>
                    <a:fld id="{F5C6FEA4-77FB-4F2C-B920-8FD9D4232E36}" type="PERCENTAGE">
                      <a:rPr lang="uk-UA" baseline="0"/>
                      <a:pPr/>
                      <a:t>[ПРОЦЕНТ]</a:t>
                    </a:fld>
                    <a:r>
                      <a:rPr lang="uk-UA" baseline="0"/>
                      <a:t>)</a:t>
                    </a:r>
                  </a:p>
                </c:rich>
              </c:tx>
              <c:dLblPos val="bestFit"/>
              <c:showLegendKey val="0"/>
              <c:showVal val="1"/>
              <c:showCatName val="1"/>
              <c:showSerName val="0"/>
              <c:showPercent val="1"/>
              <c:showBubbleSize val="0"/>
              <c:separator>
</c:separator>
              <c:extLst>
                <c:ext xmlns:c15="http://schemas.microsoft.com/office/drawing/2012/chart" uri="{CE6537A1-D6FC-4f65-9D91-7224C49458BB}">
                  <c15:dlblFieldTable/>
                  <c15:showDataLabelsRange val="0"/>
                </c:ext>
              </c:extLst>
            </c:dLbl>
            <c:dLbl>
              <c:idx val="5"/>
              <c:layout>
                <c:manualLayout>
                  <c:x val="-0.11759675005345306"/>
                  <c:y val="0.13584811204400293"/>
                </c:manualLayout>
              </c:layout>
              <c:tx>
                <c:rich>
                  <a:bodyPr/>
                  <a:lstStyle/>
                  <a:p>
                    <a:pPr>
                      <a:defRPr sz="800" b="1" baseline="0">
                        <a:solidFill>
                          <a:sysClr val="windowText" lastClr="000000"/>
                        </a:solidFill>
                        <a:latin typeface="Times New Roman" pitchFamily="18" charset="0"/>
                        <a:cs typeface="Times New Roman" pitchFamily="18" charset="0"/>
                      </a:defRPr>
                    </a:pPr>
                    <a:fld id="{EC27D0C4-D19E-48EB-9A95-0D4D707ADB85}" type="CATEGORYNAME">
                      <a:rPr lang="uk-UA"/>
                      <a:pPr>
                        <a:defRPr sz="800" b="1" baseline="0">
                          <a:solidFill>
                            <a:sysClr val="windowText" lastClr="000000"/>
                          </a:solidFill>
                          <a:latin typeface="Times New Roman" pitchFamily="18" charset="0"/>
                          <a:cs typeface="Times New Roman" pitchFamily="18" charset="0"/>
                        </a:defRPr>
                      </a:pPr>
                      <a:t>[ИМЯ КАТЕГОРИИ]</a:t>
                    </a:fld>
                    <a:r>
                      <a:rPr lang="uk-UA" baseline="0"/>
                      <a:t>
</a:t>
                    </a:r>
                    <a:fld id="{7A9569A7-C6DC-44CB-94EB-1BDC216C8E73}" type="VALUE">
                      <a:rPr lang="uk-UA" baseline="0"/>
                      <a:pPr>
                        <a:defRPr sz="800" b="1" baseline="0">
                          <a:solidFill>
                            <a:sysClr val="windowText" lastClr="000000"/>
                          </a:solidFill>
                          <a:latin typeface="Times New Roman" pitchFamily="18" charset="0"/>
                          <a:cs typeface="Times New Roman" pitchFamily="18" charset="0"/>
                        </a:defRPr>
                      </a:pPr>
                      <a:t>[ЗНАЧЕНИЕ]</a:t>
                    </a:fld>
                    <a:r>
                      <a:rPr lang="uk-UA" baseline="0"/>
                      <a:t> (</a:t>
                    </a:r>
                    <a:fld id="{DA91B983-468E-491F-915D-C68D5A273BB9}" type="PERCENTAGE">
                      <a:rPr lang="uk-UA" baseline="0"/>
                      <a:pPr>
                        <a:defRPr sz="800" b="1" baseline="0">
                          <a:solidFill>
                            <a:sysClr val="windowText" lastClr="000000"/>
                          </a:solidFill>
                          <a:latin typeface="Times New Roman" pitchFamily="18" charset="0"/>
                          <a:cs typeface="Times New Roman" pitchFamily="18" charset="0"/>
                        </a:defRPr>
                      </a:pPr>
                      <a:t>[ПРОЦЕНТ]</a:t>
                    </a:fld>
                    <a:r>
                      <a:rPr lang="uk-UA" baseline="0"/>
                      <a:t>)</a:t>
                    </a:r>
                  </a:p>
                </c:rich>
              </c:tx>
              <c:spPr>
                <a:solidFill>
                  <a:schemeClr val="bg1"/>
                </a:solidFill>
                <a:ln>
                  <a:noFill/>
                </a:ln>
                <a:effectLst/>
              </c:spPr>
              <c:dLblPos val="bestFit"/>
              <c:showLegendKey val="0"/>
              <c:showVal val="1"/>
              <c:showCatName val="1"/>
              <c:showSerName val="0"/>
              <c:showPercent val="1"/>
              <c:showBubbleSize val="0"/>
              <c:separator>
</c:separator>
              <c:extLst>
                <c:ext xmlns:c15="http://schemas.microsoft.com/office/drawing/2012/chart" uri="{CE6537A1-D6FC-4f65-9D91-7224C49458BB}">
                  <c15:dlblFieldTable/>
                  <c15:showDataLabelsRange val="0"/>
                </c:ext>
              </c:extLst>
            </c:dLbl>
            <c:dLbl>
              <c:idx val="6"/>
              <c:layout>
                <c:manualLayout>
                  <c:x val="-0.10728476932686172"/>
                  <c:y val="2.5476040464375453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7"/>
              <c:layout>
                <c:manualLayout>
                  <c:x val="0.14910493468624308"/>
                  <c:y val="6.5751935878277407E-2"/>
                </c:manualLayout>
              </c:layout>
              <c:tx>
                <c:rich>
                  <a:bodyPr/>
                  <a:lstStyle/>
                  <a:p>
                    <a:fld id="{C0C1E6D0-7BED-4410-ACA0-0FAB0AF43261}" type="CATEGORYNAME">
                      <a:rPr lang="uk-UA" baseline="0"/>
                      <a:pPr/>
                      <a:t>[ИМЯ КАТЕГОРИИ]</a:t>
                    </a:fld>
                    <a:r>
                      <a:rPr lang="uk-UA" baseline="0"/>
                      <a:t>
</a:t>
                    </a:r>
                    <a:fld id="{ECB15976-D54D-4EAC-B418-DAECFC01D833}" type="VALUE">
                      <a:rPr lang="uk-UA" baseline="0"/>
                      <a:pPr/>
                      <a:t>[ЗНАЧЕНИЕ]</a:t>
                    </a:fld>
                    <a:r>
                      <a:rPr lang="uk-UA" baseline="0"/>
                      <a:t> (0,02%)</a:t>
                    </a:r>
                  </a:p>
                </c:rich>
              </c:tx>
              <c:dLblPos val="bestFit"/>
              <c:showLegendKey val="0"/>
              <c:showVal val="1"/>
              <c:showCatName val="1"/>
              <c:showSerName val="0"/>
              <c:showPercent val="1"/>
              <c:showBubbleSize val="0"/>
              <c:separator>
</c:separator>
              <c:extLst>
                <c:ext xmlns:c15="http://schemas.microsoft.com/office/drawing/2012/chart" uri="{CE6537A1-D6FC-4f65-9D91-7224C49458BB}">
                  <c15:dlblFieldTable/>
                  <c15:showDataLabelsRange val="0"/>
                </c:ext>
              </c:extLst>
            </c:dLbl>
            <c:dLbl>
              <c:idx val="8"/>
              <c:layout>
                <c:manualLayout>
                  <c:x val="0.10250614920729521"/>
                  <c:y val="0.14033419372367884"/>
                </c:manualLayout>
              </c:layout>
              <c:tx>
                <c:rich>
                  <a:bodyPr/>
                  <a:lstStyle/>
                  <a:p>
                    <a:fld id="{F17BAB34-5596-4C05-AF07-8D7ECBB0B5F6}" type="CATEGORYNAME">
                      <a:rPr lang="uk-UA" baseline="0"/>
                      <a:pPr/>
                      <a:t>[ИМЯ КАТЕГОРИИ]</a:t>
                    </a:fld>
                    <a:r>
                      <a:rPr lang="uk-UA" baseline="0"/>
                      <a:t>
</a:t>
                    </a:r>
                    <a:fld id="{35032C64-60A0-49A2-8DB2-C16A23CE9588}" type="VALUE">
                      <a:rPr lang="uk-UA" baseline="0"/>
                      <a:pPr/>
                      <a:t>[ЗНАЧЕНИЕ]</a:t>
                    </a:fld>
                    <a:r>
                      <a:rPr lang="uk-UA" baseline="0"/>
                      <a:t> (</a:t>
                    </a:r>
                    <a:fld id="{C3E0F4D7-9325-481A-B0B8-C8BBAF873E57}" type="PERCENTAGE">
                      <a:rPr lang="uk-UA" baseline="0"/>
                      <a:pPr/>
                      <a:t>[ПРОЦЕНТ]</a:t>
                    </a:fld>
                    <a:r>
                      <a:rPr lang="uk-UA" baseline="0"/>
                      <a:t>)</a:t>
                    </a:r>
                  </a:p>
                </c:rich>
              </c:tx>
              <c:dLblPos val="bestFit"/>
              <c:showLegendKey val="0"/>
              <c:showVal val="1"/>
              <c:showCatName val="1"/>
              <c:showSerName val="0"/>
              <c:showPercent val="1"/>
              <c:showBubbleSize val="0"/>
              <c:separator>
</c:separator>
              <c:extLst>
                <c:ext xmlns:c15="http://schemas.microsoft.com/office/drawing/2012/chart" uri="{CE6537A1-D6FC-4f65-9D91-7224C49458BB}">
                  <c15:dlblFieldTable/>
                  <c15:showDataLabelsRange val="0"/>
                </c:ext>
              </c:extLst>
            </c:dLbl>
            <c:dLbl>
              <c:idx val="9"/>
              <c:layout>
                <c:manualLayout>
                  <c:x val="8.417806016711029E-8"/>
                  <c:y val="0.12954900641495345"/>
                </c:manualLayout>
              </c:layout>
              <c:tx>
                <c:rich>
                  <a:bodyPr/>
                  <a:lstStyle/>
                  <a:p>
                    <a:fld id="{ABDC24D0-1023-4CEA-9DAC-FFA95B392422}" type="CATEGORYNAME">
                      <a:rPr lang="uk-UA" baseline="0"/>
                      <a:pPr/>
                      <a:t>[ИМЯ КАТЕГОРИИ]</a:t>
                    </a:fld>
                    <a:r>
                      <a:rPr lang="uk-UA" baseline="0"/>
                      <a:t>
</a:t>
                    </a:r>
                    <a:fld id="{DC2249E8-B31E-47BB-9B9B-287D761414CA}" type="VALUE">
                      <a:rPr lang="uk-UA" baseline="0"/>
                      <a:pPr/>
                      <a:t>[ЗНАЧЕНИЕ]</a:t>
                    </a:fld>
                    <a:r>
                      <a:rPr lang="uk-UA" baseline="0"/>
                      <a:t> (0,4%)</a:t>
                    </a:r>
                  </a:p>
                </c:rich>
              </c:tx>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7530468248877484"/>
                      <c:h val="8.8574921885613361E-2"/>
                    </c:manualLayout>
                  </c15:layout>
                  <c15:dlblFieldTable/>
                  <c15:showDataLabelsRange val="0"/>
                </c:ext>
              </c:extLst>
            </c:dLbl>
            <c:dLbl>
              <c:idx val="10"/>
              <c:layout>
                <c:manualLayout>
                  <c:x val="0"/>
                  <c:y val="5.2194851136068254E-2"/>
                </c:manualLayout>
              </c:layout>
              <c:tx>
                <c:rich>
                  <a:bodyPr/>
                  <a:lstStyle/>
                  <a:p>
                    <a:fld id="{098C7CFC-15A3-4764-BA3A-D6539D9F6B97}" type="CATEGORYNAME">
                      <a:rPr lang="uk-UA" baseline="0"/>
                      <a:pPr/>
                      <a:t>[ИМЯ КАТЕГОРИИ]</a:t>
                    </a:fld>
                    <a:r>
                      <a:rPr lang="uk-UA" baseline="0"/>
                      <a:t> 
</a:t>
                    </a:r>
                    <a:fld id="{FD725174-6586-4AD9-92E4-0606CAFADC67}" type="VALUE">
                      <a:rPr lang="uk-UA" baseline="0"/>
                      <a:pPr/>
                      <a:t>[ЗНАЧЕНИЕ]</a:t>
                    </a:fld>
                    <a:r>
                      <a:rPr lang="uk-UA" baseline="0"/>
                      <a:t> (</a:t>
                    </a:r>
                    <a:fld id="{CF804D4F-092A-4AB1-8C7C-EEE3056D8E22}" type="PERCENTAGE">
                      <a:rPr lang="uk-UA" baseline="0"/>
                      <a:pPr/>
                      <a:t>[ПРОЦЕНТ]</a:t>
                    </a:fld>
                    <a:r>
                      <a:rPr lang="uk-UA" baseline="0"/>
                      <a:t>)</a:t>
                    </a:r>
                  </a:p>
                </c:rich>
              </c:tx>
              <c:dLblPos val="bestFit"/>
              <c:showLegendKey val="0"/>
              <c:showVal val="1"/>
              <c:showCatName val="1"/>
              <c:showSerName val="0"/>
              <c:showPercent val="1"/>
              <c:showBubbleSize val="0"/>
              <c:separator>
</c:separator>
              <c:extLst>
                <c:ext xmlns:c15="http://schemas.microsoft.com/office/drawing/2012/chart" uri="{CE6537A1-D6FC-4f65-9D91-7224C49458BB}">
                  <c15:dlblFieldTable/>
                  <c15:showDataLabelsRange val="0"/>
                </c:ext>
              </c:extLst>
            </c:dLbl>
            <c:dLbl>
              <c:idx val="11"/>
              <c:layout>
                <c:manualLayout>
                  <c:x val="6.4144523627939713E-3"/>
                  <c:y val="-2.0991670294711426E-2"/>
                </c:manualLayout>
              </c:layout>
              <c:tx>
                <c:rich>
                  <a:bodyPr/>
                  <a:lstStyle/>
                  <a:p>
                    <a:pPr>
                      <a:defRPr sz="800" b="1" baseline="0">
                        <a:solidFill>
                          <a:schemeClr val="tx1"/>
                        </a:solidFill>
                        <a:latin typeface="Times New Roman" pitchFamily="18" charset="0"/>
                        <a:cs typeface="Times New Roman" pitchFamily="18" charset="0"/>
                      </a:defRPr>
                    </a:pPr>
                    <a:fld id="{1384D2FC-88B6-4CE1-9004-4D58C1F375C9}" type="CATEGORYNAME">
                      <a:rPr lang="ru-RU" baseline="0"/>
                      <a:pPr>
                        <a:defRPr sz="800" b="1" baseline="0">
                          <a:solidFill>
                            <a:schemeClr val="tx1"/>
                          </a:solidFill>
                          <a:latin typeface="Times New Roman" pitchFamily="18" charset="0"/>
                          <a:cs typeface="Times New Roman" pitchFamily="18" charset="0"/>
                        </a:defRPr>
                      </a:pPr>
                      <a:t>[ИМЯ КАТЕГОРИИ]</a:t>
                    </a:fld>
                    <a:r>
                      <a:rPr lang="ru-RU" baseline="0"/>
                      <a:t>
</a:t>
                    </a:r>
                    <a:fld id="{CE842A14-0E25-402B-8E72-32C1EFAD5578}" type="VALUE">
                      <a:rPr lang="ru-RU" baseline="0"/>
                      <a:pPr>
                        <a:defRPr sz="800" b="1" baseline="0">
                          <a:solidFill>
                            <a:schemeClr val="tx1"/>
                          </a:solidFill>
                          <a:latin typeface="Times New Roman" pitchFamily="18" charset="0"/>
                          <a:cs typeface="Times New Roman" pitchFamily="18" charset="0"/>
                        </a:defRPr>
                      </a:pPr>
                      <a:t>[ЗНАЧЕНИЕ]</a:t>
                    </a:fld>
                    <a:r>
                      <a:rPr lang="ru-RU" baseline="0"/>
                      <a:t> (</a:t>
                    </a:r>
                    <a:fld id="{02026B7B-DD45-4D7F-BDCA-9EBF2B07EF40}" type="PERCENTAGE">
                      <a:rPr lang="ru-RU" baseline="0"/>
                      <a:pPr>
                        <a:defRPr sz="800" b="1" baseline="0">
                          <a:solidFill>
                            <a:schemeClr val="tx1"/>
                          </a:solidFill>
                          <a:latin typeface="Times New Roman" pitchFamily="18" charset="0"/>
                          <a:cs typeface="Times New Roman" pitchFamily="18" charset="0"/>
                        </a:defRPr>
                      </a:pPr>
                      <a:t>[ПРОЦЕНТ]</a:t>
                    </a:fld>
                    <a:r>
                      <a:rPr lang="ru-RU" baseline="0"/>
                      <a:t>),</a:t>
                    </a:r>
                    <a:r>
                      <a:rPr lang="ru-RU" sz="600" i="1" baseline="0"/>
                      <a:t> в т.ч. нерозподілені - 29,5</a:t>
                    </a:r>
                  </a:p>
                </c:rich>
              </c:tx>
              <c:spPr>
                <a:solidFill>
                  <a:schemeClr val="bg1">
                    <a:alpha val="0"/>
                  </a:schemeClr>
                </a:solidFill>
                <a:ln>
                  <a:noFill/>
                </a:ln>
                <a:effectLst/>
              </c:sp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5755826384434465"/>
                      <c:h val="0.14617579133269937"/>
                    </c:manualLayout>
                  </c15:layout>
                  <c15:dlblFieldTable/>
                  <c15:showDataLabelsRange val="0"/>
                </c:ext>
              </c:extLst>
            </c:dLbl>
            <c:dLbl>
              <c:idx val="12"/>
              <c:layout>
                <c:manualLayout>
                  <c:x val="0"/>
                  <c:y val="-4.8078455618940856E-2"/>
                </c:manualLayout>
              </c:layout>
              <c:tx>
                <c:rich>
                  <a:bodyPr/>
                  <a:lstStyle/>
                  <a:p>
                    <a:fld id="{60209794-2E13-4665-8760-737752BCC9DB}" type="CATEGORYNAME">
                      <a:rPr lang="ru-RU"/>
                      <a:pPr/>
                      <a:t>[ИМЯ КАТЕГОРИИ]</a:t>
                    </a:fld>
                    <a:r>
                      <a:rPr lang="ru-RU" baseline="0"/>
                      <a:t>
</a:t>
                    </a:r>
                    <a:fld id="{DA54C8B2-6646-401A-A9D9-F0F5D69540DC}" type="VALUE">
                      <a:rPr lang="ru-RU" baseline="0"/>
                      <a:pPr/>
                      <a:t>[ЗНАЧЕНИЕ]</a:t>
                    </a:fld>
                    <a:r>
                      <a:rPr lang="ru-RU" baseline="0"/>
                      <a:t> (</a:t>
                    </a:r>
                    <a:fld id="{2C03A31C-70D6-4559-970F-DFECD084BB4D}" type="PERCENTAGE">
                      <a:rPr lang="ru-RU" baseline="0"/>
                      <a:pPr/>
                      <a:t>[ПРОЦЕНТ]</a:t>
                    </a:fld>
                    <a:r>
                      <a:rPr lang="ru-RU" baseline="0"/>
                      <a:t>)</a:t>
                    </a:r>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Lst>
            </c:dLbl>
            <c:dLbl>
              <c:idx val="13"/>
              <c:delete val="1"/>
              <c:extLst>
                <c:ext xmlns:c15="http://schemas.microsoft.com/office/drawing/2012/chart" uri="{CE6537A1-D6FC-4f65-9D91-7224C49458BB}"/>
              </c:extLst>
            </c:dLbl>
            <c:spPr>
              <a:solidFill>
                <a:schemeClr val="bg1"/>
              </a:solidFill>
              <a:ln>
                <a:noFill/>
              </a:ln>
              <a:effectLst/>
            </c:spPr>
            <c:txPr>
              <a:bodyPr/>
              <a:lstStyle/>
              <a:p>
                <a:pPr>
                  <a:defRPr sz="800" b="1" baseline="0">
                    <a:solidFill>
                      <a:schemeClr val="tx1"/>
                    </a:solidFill>
                    <a:latin typeface="Times New Roman" pitchFamily="18" charset="0"/>
                    <a:cs typeface="Times New Roman" pitchFamily="18" charset="0"/>
                  </a:defRPr>
                </a:pPr>
                <a:endParaRPr lang="uk-UA"/>
              </a:p>
            </c:txPr>
            <c:dLblPos val="bestFit"/>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Лист1!$A$2:$A$12</c:f>
              <c:strCache>
                <c:ptCount val="11"/>
                <c:pt idx="0">
                  <c:v>Державне управління</c:v>
                </c:pt>
                <c:pt idx="1">
                  <c:v>Освіта</c:v>
                </c:pt>
                <c:pt idx="2">
                  <c:v>Охорона здоров'я</c:v>
                </c:pt>
                <c:pt idx="3">
                  <c:v>Соціальний захист</c:v>
                </c:pt>
                <c:pt idx="4">
                  <c:v>Культура та мистецтво</c:v>
                </c:pt>
                <c:pt idx="5">
                  <c:v>Фізична культура і спорт</c:v>
                </c:pt>
                <c:pt idx="6">
                  <c:v>Житлово - комунальне господарство</c:v>
                </c:pt>
                <c:pt idx="7">
                  <c:v>Резервний фонд</c:v>
                </c:pt>
                <c:pt idx="8">
                  <c:v>Економічна діяльність</c:v>
                </c:pt>
                <c:pt idx="9">
                  <c:v>Міжбюджетні трансферти</c:v>
                </c:pt>
                <c:pt idx="10">
                  <c:v>Інші діяльність</c:v>
                </c:pt>
              </c:strCache>
            </c:strRef>
          </c:cat>
          <c:val>
            <c:numRef>
              <c:f>Лист1!$B$2:$B$12</c:f>
              <c:numCache>
                <c:formatCode>#\ ##0.0</c:formatCode>
                <c:ptCount val="11"/>
                <c:pt idx="0">
                  <c:v>122.27119999999999</c:v>
                </c:pt>
                <c:pt idx="1">
                  <c:v>437.87864000000002</c:v>
                </c:pt>
                <c:pt idx="2">
                  <c:v>37.177700000000002</c:v>
                </c:pt>
                <c:pt idx="3">
                  <c:v>62.126465000000003</c:v>
                </c:pt>
                <c:pt idx="4">
                  <c:v>29.445900000000002</c:v>
                </c:pt>
                <c:pt idx="5">
                  <c:v>15.0335</c:v>
                </c:pt>
                <c:pt idx="6">
                  <c:v>171.1558</c:v>
                </c:pt>
                <c:pt idx="7">
                  <c:v>8</c:v>
                </c:pt>
                <c:pt idx="8">
                  <c:v>77.006299999999996</c:v>
                </c:pt>
                <c:pt idx="9">
                  <c:v>3.7985000000000002</c:v>
                </c:pt>
                <c:pt idx="10">
                  <c:v>23.042999999999999</c:v>
                </c:pt>
              </c:numCache>
            </c:numRef>
          </c:val>
        </c:ser>
        <c:dLbls>
          <c:showLegendKey val="0"/>
          <c:showVal val="0"/>
          <c:showCatName val="0"/>
          <c:showSerName val="0"/>
          <c:showPercent val="0"/>
          <c:showBubbleSize val="0"/>
          <c:showLeaderLines val="1"/>
        </c:dLbls>
      </c:pie3DChart>
    </c:plotArea>
    <c:plotVisOnly val="1"/>
    <c:dispBlanksAs val="zero"/>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r>
              <a:rPr lang="ru-RU" sz="1200"/>
              <a:t>Структура видатків загального фонду бюджету громади в розрізі бюджетних програм Управління освіти Чорноморської міської ради Одеського району Одеської області на 2024 рік </a:t>
            </a:r>
          </a:p>
          <a:p>
            <a:pPr>
              <a:defRPr sz="1200"/>
            </a:pPr>
            <a:r>
              <a:rPr lang="ru-RU" sz="1200"/>
              <a:t>435,7 млн.грн</a:t>
            </a:r>
          </a:p>
        </c:rich>
      </c:tx>
      <c:layout>
        <c:manualLayout>
          <c:xMode val="edge"/>
          <c:yMode val="edge"/>
          <c:x val="9.8335871434361566E-2"/>
          <c:y val="8.9145936403970186E-4"/>
        </c:manualLayout>
      </c:layout>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uk-UA"/>
        </a:p>
      </c:txPr>
    </c:title>
    <c:autoTitleDeleted val="0"/>
    <c:view3D>
      <c:rotX val="40"/>
      <c:rotY val="40"/>
      <c:depthPercent val="100"/>
      <c:rAngAx val="0"/>
      <c:perspective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5420105619327705E-2"/>
          <c:y val="0.35214870752077493"/>
          <c:w val="0.95268817204301071"/>
          <c:h val="0.63135257498585173"/>
        </c:manualLayout>
      </c:layout>
      <c:pie3DChart>
        <c:varyColors val="1"/>
        <c:ser>
          <c:idx val="0"/>
          <c:order val="0"/>
          <c:tx>
            <c:strRef>
              <c:f>Аркуш1!$B$1</c:f>
              <c:strCache>
                <c:ptCount val="1"/>
                <c:pt idx="0">
                  <c:v>Продаж</c:v>
                </c:pt>
              </c:strCache>
            </c:strRef>
          </c:tx>
          <c:explosion val="23"/>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8"/>
            <c:bubble3D val="0"/>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9"/>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10"/>
            <c:bubble3D val="0"/>
            <c:spPr>
              <a:gradFill rotWithShape="1">
                <a:gsLst>
                  <a:gs pos="0">
                    <a:schemeClr val="accent5">
                      <a:lumMod val="60000"/>
                      <a:shade val="51000"/>
                      <a:satMod val="130000"/>
                    </a:schemeClr>
                  </a:gs>
                  <a:gs pos="80000">
                    <a:schemeClr val="accent5">
                      <a:lumMod val="60000"/>
                      <a:shade val="93000"/>
                      <a:satMod val="130000"/>
                    </a:schemeClr>
                  </a:gs>
                  <a:gs pos="100000">
                    <a:schemeClr val="accent5">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Lbls>
            <c:dLbl>
              <c:idx val="0"/>
              <c:layout>
                <c:manualLayout>
                  <c:x val="-0.12538795395673596"/>
                  <c:y val="1.8258824204351504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21862076835597949"/>
                      <c:h val="7.8852459016393442E-2"/>
                    </c:manualLayout>
                  </c15:layout>
                </c:ext>
              </c:extLst>
            </c:dLbl>
            <c:dLbl>
              <c:idx val="1"/>
              <c:layout>
                <c:manualLayout>
                  <c:x val="0.19559558803275529"/>
                  <c:y val="-0.18902356467736614"/>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Lst>
            </c:dLbl>
            <c:dLbl>
              <c:idx val="2"/>
              <c:layout>
                <c:manualLayout>
                  <c:x val="-4.1394335511982572E-2"/>
                  <c:y val="9.2831346901309467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Lst>
            </c:dLbl>
            <c:dLbl>
              <c:idx val="3"/>
              <c:layout>
                <c:manualLayout>
                  <c:x val="-0.19640522875816993"/>
                  <c:y val="-4.0282546648882006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Lst>
            </c:dLbl>
            <c:dLbl>
              <c:idx val="4"/>
              <c:layout>
                <c:manualLayout>
                  <c:x val="-0.19845900681999076"/>
                  <c:y val="-7.1653587730664756E-3"/>
                </c:manualLayout>
              </c:layout>
              <c:tx>
                <c:rich>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mn-lt"/>
                        <a:ea typeface="+mn-ea"/>
                        <a:cs typeface="+mn-cs"/>
                      </a:defRPr>
                    </a:pPr>
                    <a:fld id="{B56D8DF9-881B-477A-AEC6-044BE861CE25}" type="CATEGORYNAME">
                      <a:rPr lang="uk-UA"/>
                      <a:pPr>
                        <a:defRPr sz="1100" b="1"/>
                      </a:pPr>
                      <a:t>[ИМЯ КАТЕГОРИИ]</a:t>
                    </a:fld>
                    <a:r>
                      <a:rPr lang="uk-UA" baseline="0"/>
                      <a:t>
3,7
</a:t>
                    </a:r>
                    <a:fld id="{30F71C0C-C9DF-40D5-AB3A-D562412AD1B1}" type="PERCENTAGE">
                      <a:rPr lang="uk-UA" baseline="0"/>
                      <a:pPr>
                        <a:defRPr sz="1100" b="1"/>
                      </a:pPr>
                      <a:t>[ПРОЦЕНТ]</a:t>
                    </a:fld>
                    <a:endParaRPr lang="uk-UA" baseline="0"/>
                  </a:p>
                </c:rich>
              </c:tx>
              <c:spPr>
                <a:no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15699963975091349"/>
                      <c:h val="0.20727693874331282"/>
                    </c:manualLayout>
                  </c15:layout>
                  <c15:dlblFieldTable/>
                  <c15:showDataLabelsRange val="0"/>
                </c:ext>
              </c:extLst>
            </c:dLbl>
            <c:dLbl>
              <c:idx val="5"/>
              <c:layout>
                <c:manualLayout>
                  <c:x val="-8.178769320501604E-2"/>
                  <c:y val="-9.4525192547652875E-2"/>
                </c:manualLayout>
              </c:layout>
              <c:tx>
                <c:rich>
                  <a:bodyPr/>
                  <a:lstStyle/>
                  <a:p>
                    <a:fld id="{2F31BEE7-3CD1-4B8C-B93C-4B024E02A198}" type="CATEGORYNAME">
                      <a:rPr lang="uk-UA" baseline="0"/>
                      <a:pPr/>
                      <a:t>[ИМЯ КАТЕГОРИИ]</a:t>
                    </a:fld>
                    <a:endParaRPr lang="uk-UA" baseline="0"/>
                  </a:p>
                  <a:p>
                    <a:fld id="{414BCB1B-3EFC-4F78-9626-C7B23D02A278}" type="VALUE">
                      <a:rPr lang="uk-UA" baseline="0"/>
                      <a:pPr/>
                      <a:t>[ЗНАЧЕНИЕ]</a:t>
                    </a:fld>
                    <a:r>
                      <a:rPr lang="uk-UA" baseline="0"/>
                      <a:t>3</a:t>
                    </a:r>
                  </a:p>
                  <a:p>
                    <a:r>
                      <a:rPr lang="uk-UA" baseline="0"/>
                      <a:t>0,05%</a:t>
                    </a:r>
                  </a:p>
                </c:rich>
              </c:tx>
              <c:dLblPos val="bestFit"/>
              <c:showLegendKey val="0"/>
              <c:showVal val="0"/>
              <c:showCatName val="1"/>
              <c:showSerName val="0"/>
              <c:showPercent val="1"/>
              <c:showBubbleSize val="0"/>
              <c:separator>
</c:separator>
              <c:extLst>
                <c:ext xmlns:c15="http://schemas.microsoft.com/office/drawing/2012/chart" uri="{CE6537A1-D6FC-4f65-9D91-7224C49458BB}">
                  <c15:dlblFieldTable/>
                  <c15:showDataLabelsRange val="0"/>
                </c:ext>
              </c:extLst>
            </c:dLbl>
            <c:dLbl>
              <c:idx val="6"/>
              <c:layout>
                <c:manualLayout>
                  <c:x val="5.551730053351174E-2"/>
                  <c:y val="-5.2663396583623782E-2"/>
                </c:manualLayout>
              </c:layout>
              <c:tx>
                <c:rich>
                  <a:bodyPr/>
                  <a:lstStyle/>
                  <a:p>
                    <a:fld id="{4D996CAA-8540-4132-87C1-E98C8C62E01F}" type="CATEGORYNAME">
                      <a:rPr lang="uk-UA"/>
                      <a:pPr/>
                      <a:t>[ИМЯ КАТЕГОРИИ]</a:t>
                    </a:fld>
                    <a:r>
                      <a:rPr lang="uk-UA" baseline="0"/>
                      <a:t>
</a:t>
                    </a:r>
                    <a:fld id="{7CC9A9A4-6508-4612-B7D3-551A6234FEA9}" type="VALUE">
                      <a:rPr lang="uk-UA" baseline="0"/>
                      <a:pPr/>
                      <a:t>[ЗНАЧЕНИЕ]</a:t>
                    </a:fld>
                    <a:r>
                      <a:rPr lang="uk-UA" baseline="0"/>
                      <a:t>
</a:t>
                    </a:r>
                    <a:fld id="{C40D12B9-196D-4459-8339-A7A147768100}" type="PERCENTAGE">
                      <a:rPr lang="uk-UA" baseline="0"/>
                      <a:pPr/>
                      <a:t>[ПРОЦЕНТ]</a:t>
                    </a:fld>
                    <a:endParaRPr lang="uk-UA" baseline="0"/>
                  </a:p>
                </c:rich>
              </c:tx>
              <c:dLblPos val="bestFit"/>
              <c:showLegendKey val="0"/>
              <c:showVal val="0"/>
              <c:showCatName val="1"/>
              <c:showSerName val="0"/>
              <c:showPercent val="1"/>
              <c:showBubbleSize val="0"/>
              <c:separator>
</c:separator>
              <c:extLst>
                <c:ext xmlns:c15="http://schemas.microsoft.com/office/drawing/2012/chart" uri="{CE6537A1-D6FC-4f65-9D91-7224C49458BB}">
                  <c15:dlblFieldTable/>
                  <c15:showDataLabelsRange val="0"/>
                </c:ext>
              </c:extLst>
            </c:dLbl>
            <c:dLbl>
              <c:idx val="7"/>
              <c:layout>
                <c:manualLayout>
                  <c:x val="0.10002517744267179"/>
                  <c:y val="-2.0841416837983021E-3"/>
                </c:manualLayout>
              </c:layout>
              <c:spPr>
                <a:no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20264851697459385"/>
                      <c:h val="0.10502416706108458"/>
                    </c:manualLayout>
                  </c15:layout>
                </c:ext>
              </c:extLst>
            </c:dLbl>
            <c:dLbl>
              <c:idx val="8"/>
              <c:layout>
                <c:manualLayout>
                  <c:x val="0.13660070677439831"/>
                  <c:y val="-8.7606385267415376E-2"/>
                </c:manualLayout>
              </c:layout>
              <c:spPr>
                <a:no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14667658296835834"/>
                      <c:h val="0.13167577413479054"/>
                    </c:manualLayout>
                  </c15:layout>
                </c:ext>
              </c:extLst>
            </c:dLbl>
            <c:dLbl>
              <c:idx val="9"/>
              <c:layout>
                <c:manualLayout>
                  <c:x val="9.6963271747894264E-2"/>
                  <c:y val="9.984796982344387E-3"/>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Lst>
            </c:dLbl>
            <c:dLbl>
              <c:idx val="10"/>
              <c:layout>
                <c:manualLayout>
                  <c:x val="8.0742627759765165E-2"/>
                  <c:y val="0.11117722989544333"/>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uk-UA"/>
              </a:p>
            </c:txPr>
            <c:dLblPos val="inEnd"/>
            <c:showLegendKey val="0"/>
            <c:showVal val="0"/>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Аркуш1!$A$2:$A$12</c:f>
              <c:strCache>
                <c:ptCount val="11"/>
                <c:pt idx="0">
                  <c:v>Дошкільна освіта</c:v>
                </c:pt>
                <c:pt idx="1">
                  <c:v>Заклади загальної середньої освіти</c:v>
                </c:pt>
                <c:pt idx="2">
                  <c:v>Спеціальні заклади загальної середньої освіти</c:v>
                </c:pt>
                <c:pt idx="3">
                  <c:v>Позашкільні заклади освіти</c:v>
                </c:pt>
                <c:pt idx="4">
                  <c:v>Керівництво і управління</c:v>
                </c:pt>
                <c:pt idx="5">
                  <c:v>Інші  заходи у сфері освіти</c:v>
                </c:pt>
                <c:pt idx="6">
                  <c:v>Центр професійного розвитку педагогічних працівників</c:v>
                </c:pt>
                <c:pt idx="7">
                  <c:v>Інклюзивно-ресурсний центр</c:v>
                </c:pt>
                <c:pt idx="8">
                  <c:v>Інші заклади освіти</c:v>
                </c:pt>
                <c:pt idx="9">
                  <c:v>Дитячо-юнацькі спортивні школи</c:v>
                </c:pt>
                <c:pt idx="10">
                  <c:v>Заходи у сфері соціального захисту</c:v>
                </c:pt>
              </c:strCache>
            </c:strRef>
          </c:cat>
          <c:val>
            <c:numRef>
              <c:f>Аркуш1!$B$2:$B$12</c:f>
              <c:numCache>
                <c:formatCode>0.0</c:formatCode>
                <c:ptCount val="11"/>
                <c:pt idx="0">
                  <c:v>108.7376</c:v>
                </c:pt>
                <c:pt idx="1">
                  <c:v>225.17239999999998</c:v>
                </c:pt>
                <c:pt idx="2">
                  <c:v>26.764199999999999</c:v>
                </c:pt>
                <c:pt idx="3">
                  <c:v>22.9008</c:v>
                </c:pt>
                <c:pt idx="4">
                  <c:v>5.2227000000000006</c:v>
                </c:pt>
                <c:pt idx="5">
                  <c:v>0.03</c:v>
                </c:pt>
                <c:pt idx="6">
                  <c:v>4.4718999999999998</c:v>
                </c:pt>
                <c:pt idx="7">
                  <c:v>3.5025399999999998</c:v>
                </c:pt>
                <c:pt idx="8">
                  <c:v>20.474900000000002</c:v>
                </c:pt>
                <c:pt idx="9">
                  <c:v>11.976800000000001</c:v>
                </c:pt>
                <c:pt idx="10">
                  <c:v>6.4485999999999999</c:v>
                </c:pt>
              </c:numCache>
            </c:numRef>
          </c:val>
        </c:ser>
        <c:dLbls>
          <c:dLblPos val="inEnd"/>
          <c:showLegendKey val="0"/>
          <c:showVal val="0"/>
          <c:showCatName val="0"/>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latin typeface="Times New Roman" pitchFamily="18" charset="0"/>
                <a:cs typeface="Times New Roman" pitchFamily="18" charset="0"/>
              </a:defRPr>
            </a:pPr>
            <a:r>
              <a:rPr lang="ru-RU" sz="1200">
                <a:latin typeface="Times New Roman" pitchFamily="18" charset="0"/>
                <a:cs typeface="Times New Roman" pitchFamily="18" charset="0"/>
              </a:rPr>
              <a:t>Структура видатків загального фонду  Управління освіти Чорноморської міської ради Одеського району Одеської області</a:t>
            </a:r>
          </a:p>
          <a:p>
            <a:pPr>
              <a:defRPr>
                <a:latin typeface="Times New Roman" pitchFamily="18" charset="0"/>
                <a:cs typeface="Times New Roman" pitchFamily="18" charset="0"/>
              </a:defRPr>
            </a:pPr>
            <a:r>
              <a:rPr lang="ru-RU" sz="1200">
                <a:latin typeface="Times New Roman" pitchFamily="18" charset="0"/>
                <a:cs typeface="Times New Roman" pitchFamily="18" charset="0"/>
              </a:rPr>
              <a:t> на 2024 рік за  кодами економічної</a:t>
            </a:r>
            <a:r>
              <a:rPr lang="ru-RU" sz="1200" baseline="0">
                <a:latin typeface="Times New Roman" pitchFamily="18" charset="0"/>
                <a:cs typeface="Times New Roman" pitchFamily="18" charset="0"/>
              </a:rPr>
              <a:t> класифікації в</a:t>
            </a:r>
            <a:r>
              <a:rPr lang="ru-RU" sz="1200">
                <a:latin typeface="Times New Roman" pitchFamily="18" charset="0"/>
                <a:cs typeface="Times New Roman" pitchFamily="18" charset="0"/>
              </a:rPr>
              <a:t>идатків </a:t>
            </a:r>
          </a:p>
          <a:p>
            <a:pPr>
              <a:defRPr>
                <a:latin typeface="Times New Roman" pitchFamily="18" charset="0"/>
                <a:cs typeface="Times New Roman" pitchFamily="18" charset="0"/>
              </a:defRPr>
            </a:pPr>
            <a:r>
              <a:rPr lang="ru-RU" sz="1200">
                <a:latin typeface="Times New Roman" pitchFamily="18" charset="0"/>
                <a:cs typeface="Times New Roman" pitchFamily="18" charset="0"/>
              </a:rPr>
              <a:t>Всього 435,7 млн грн</a:t>
            </a:r>
          </a:p>
        </c:rich>
      </c:tx>
      <c:layout>
        <c:manualLayout>
          <c:xMode val="edge"/>
          <c:yMode val="edge"/>
          <c:x val="0.13293840934304491"/>
          <c:y val="0"/>
        </c:manualLayout>
      </c:layout>
      <c:overlay val="0"/>
    </c:title>
    <c:autoTitleDeleted val="0"/>
    <c:view3D>
      <c:rotX val="80"/>
      <c:rotY val="140"/>
      <c:rAngAx val="0"/>
    </c:view3D>
    <c:floor>
      <c:thickness val="0"/>
    </c:floor>
    <c:sideWall>
      <c:thickness val="0"/>
    </c:sideWall>
    <c:backWall>
      <c:thickness val="0"/>
    </c:backWall>
    <c:plotArea>
      <c:layout>
        <c:manualLayout>
          <c:layoutTarget val="inner"/>
          <c:xMode val="edge"/>
          <c:yMode val="edge"/>
          <c:x val="1.9027991277606553E-2"/>
          <c:y val="0.12801177024469268"/>
          <c:w val="0.63975343705252463"/>
          <c:h val="0.85467744279058433"/>
        </c:manualLayout>
      </c:layout>
      <c:pie3DChart>
        <c:varyColors val="1"/>
        <c:ser>
          <c:idx val="0"/>
          <c:order val="0"/>
          <c:tx>
            <c:strRef>
              <c:f>Лист1!$C$4</c:f>
              <c:strCache>
                <c:ptCount val="1"/>
                <c:pt idx="0">
                  <c:v>2021  рік (план)</c:v>
                </c:pt>
              </c:strCache>
            </c:strRef>
          </c:tx>
          <c:explosion val="25"/>
          <c:dPt>
            <c:idx val="0"/>
            <c:bubble3D val="0"/>
            <c:spPr>
              <a:solidFill>
                <a:schemeClr val="accent3">
                  <a:lumMod val="75000"/>
                </a:schemeClr>
              </a:solidFill>
            </c:spPr>
          </c:dPt>
          <c:dPt>
            <c:idx val="1"/>
            <c:bubble3D val="0"/>
            <c:spPr>
              <a:solidFill>
                <a:srgbClr val="00B0F0"/>
              </a:solidFill>
            </c:spPr>
          </c:dPt>
          <c:dPt>
            <c:idx val="2"/>
            <c:bubble3D val="0"/>
            <c:spPr>
              <a:solidFill>
                <a:schemeClr val="accent6">
                  <a:lumMod val="75000"/>
                </a:schemeClr>
              </a:solidFill>
            </c:spPr>
          </c:dPt>
          <c:dLbls>
            <c:dLbl>
              <c:idx val="0"/>
              <c:layout>
                <c:manualLayout>
                  <c:x val="0.1160185284929441"/>
                  <c:y val="7.032314159229526E-2"/>
                </c:manualLayout>
              </c:layout>
              <c:tx>
                <c:rich>
                  <a:bodyPr/>
                  <a:lstStyle/>
                  <a:p>
                    <a:r>
                      <a:rPr lang="uk-UA"/>
                      <a:t>Оплата праці з нарахуваннями; 354,0(81,5%)</a:t>
                    </a:r>
                  </a:p>
                </c:rich>
              </c:tx>
              <c:showLegendKey val="0"/>
              <c:showVal val="1"/>
              <c:showCatName val="1"/>
              <c:showSerName val="0"/>
              <c:showPercent val="1"/>
              <c:showBubbleSize val="0"/>
              <c:extLst>
                <c:ext xmlns:c15="http://schemas.microsoft.com/office/drawing/2012/chart" uri="{CE6537A1-D6FC-4f65-9D91-7224C49458BB}"/>
              </c:extLst>
            </c:dLbl>
            <c:dLbl>
              <c:idx val="1"/>
              <c:layout>
                <c:manualLayout>
                  <c:x val="7.9999250093738594E-2"/>
                  <c:y val="-0.23334567739602621"/>
                </c:manualLayout>
              </c:layout>
              <c:tx>
                <c:rich>
                  <a:bodyPr/>
                  <a:lstStyle/>
                  <a:p>
                    <a:r>
                      <a:rPr lang="uk-UA"/>
                      <a:t>Комунальні послуги та енергоносії; 36,2 (8,3%)</a:t>
                    </a:r>
                  </a:p>
                </c:rich>
              </c:tx>
              <c:showLegendKey val="0"/>
              <c:showVal val="1"/>
              <c:showCatName val="1"/>
              <c:showSerName val="0"/>
              <c:showPercent val="1"/>
              <c:showBubbleSize val="0"/>
              <c:extLst>
                <c:ext xmlns:c15="http://schemas.microsoft.com/office/drawing/2012/chart" uri="{CE6537A1-D6FC-4f65-9D91-7224C49458BB}"/>
              </c:extLst>
            </c:dLbl>
            <c:dLbl>
              <c:idx val="2"/>
              <c:layout>
                <c:manualLayout>
                  <c:x val="0.14015789603239875"/>
                  <c:y val="-0.24982955008583146"/>
                </c:manualLayout>
              </c:layout>
              <c:tx>
                <c:rich>
                  <a:bodyPr/>
                  <a:lstStyle/>
                  <a:p>
                    <a:r>
                      <a:rPr lang="uk-UA"/>
                      <a:t>Продукти харчування; 24,4 (5,6%)</a:t>
                    </a:r>
                  </a:p>
                </c:rich>
              </c:tx>
              <c:showLegendKey val="0"/>
              <c:showVal val="1"/>
              <c:showCatName val="1"/>
              <c:showSerName val="0"/>
              <c:showPercent val="1"/>
              <c:showBubbleSize val="0"/>
              <c:extLst>
                <c:ext xmlns:c15="http://schemas.microsoft.com/office/drawing/2012/chart" uri="{CE6537A1-D6FC-4f65-9D91-7224C49458BB}"/>
              </c:extLst>
            </c:dLbl>
            <c:dLbl>
              <c:idx val="3"/>
              <c:layout>
                <c:manualLayout>
                  <c:x val="0.1785289576502164"/>
                  <c:y val="-0.22067763961558418"/>
                </c:manualLayout>
              </c:layout>
              <c:tx>
                <c:rich>
                  <a:bodyPr/>
                  <a:lstStyle/>
                  <a:p>
                    <a:r>
                      <a:rPr lang="uk-UA"/>
                      <a:t>Оплата послуг (крім комунальних);8,1 ( 1,8%)</a:t>
                    </a:r>
                  </a:p>
                </c:rich>
              </c:tx>
              <c:showLegendKey val="0"/>
              <c:showVal val="1"/>
              <c:showCatName val="1"/>
              <c:showSerName val="0"/>
              <c:showPercent val="1"/>
              <c:showBubbleSize val="0"/>
              <c:extLst>
                <c:ext xmlns:c15="http://schemas.microsoft.com/office/drawing/2012/chart" uri="{CE6537A1-D6FC-4f65-9D91-7224C49458BB}"/>
              </c:extLst>
            </c:dLbl>
            <c:dLbl>
              <c:idx val="4"/>
              <c:layout>
                <c:manualLayout>
                  <c:x val="0.24407448496201994"/>
                  <c:y val="-8.7721526958620247E-2"/>
                </c:manualLayout>
              </c:layout>
              <c:tx>
                <c:rich>
                  <a:bodyPr/>
                  <a:lstStyle/>
                  <a:p>
                    <a:r>
                      <a:rPr lang="uk-UA"/>
                      <a:t>Предмети,матеріали, обладнання та інвентар; 7,6 (1,7%)</a:t>
                    </a:r>
                  </a:p>
                </c:rich>
              </c:tx>
              <c:showLegendKey val="0"/>
              <c:showVal val="1"/>
              <c:showCatName val="1"/>
              <c:showSerName val="0"/>
              <c:showPercent val="1"/>
              <c:showBubbleSize val="0"/>
              <c:extLst>
                <c:ext xmlns:c15="http://schemas.microsoft.com/office/drawing/2012/chart" uri="{CE6537A1-D6FC-4f65-9D91-7224C49458BB}"/>
              </c:extLst>
            </c:dLbl>
            <c:dLbl>
              <c:idx val="5"/>
              <c:layout>
                <c:manualLayout>
                  <c:x val="8.6648439840864691E-2"/>
                  <c:y val="0"/>
                </c:manualLayout>
              </c:layout>
              <c:tx>
                <c:rich>
                  <a:bodyPr/>
                  <a:lstStyle/>
                  <a:p>
                    <a:r>
                      <a:rPr lang="uk-UA"/>
                      <a:t>Інші</a:t>
                    </a:r>
                    <a:r>
                      <a:rPr lang="uk-UA" baseline="0"/>
                      <a:t> виплати населенню</a:t>
                    </a:r>
                    <a:r>
                      <a:rPr lang="uk-UA"/>
                      <a:t>; 3,6; (0,8%)</a:t>
                    </a:r>
                  </a:p>
                </c:rich>
              </c:tx>
              <c:showLegendKey val="0"/>
              <c:showVal val="1"/>
              <c:showCatName val="1"/>
              <c:showSerName val="0"/>
              <c:showPercent val="1"/>
              <c:showBubbleSize val="0"/>
              <c:extLst>
                <c:ext xmlns:c15="http://schemas.microsoft.com/office/drawing/2012/chart" uri="{CE6537A1-D6FC-4f65-9D91-7224C49458BB}"/>
              </c:extLst>
            </c:dLbl>
            <c:dLbl>
              <c:idx val="6"/>
              <c:tx>
                <c:rich>
                  <a:bodyPr/>
                  <a:lstStyle/>
                  <a:p>
                    <a:r>
                      <a:rPr lang="uk-UA"/>
                      <a:t>інші видатки; 1,8; (0,3%)</a:t>
                    </a:r>
                  </a:p>
                </c:rich>
              </c:tx>
              <c:showLegendKey val="0"/>
              <c:showVal val="1"/>
              <c:showCatName val="1"/>
              <c:showSerName val="0"/>
              <c:showPercent val="1"/>
              <c:showBubbleSize val="0"/>
              <c:extLs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uk-UA"/>
              </a:p>
            </c:txPr>
            <c:showLegendKey val="0"/>
            <c:showVal val="1"/>
            <c:showCatName val="1"/>
            <c:showSerName val="0"/>
            <c:showPercent val="1"/>
            <c:showBubbleSize val="0"/>
            <c:showLeaderLines val="1"/>
            <c:extLst>
              <c:ext xmlns:c15="http://schemas.microsoft.com/office/drawing/2012/chart" uri="{CE6537A1-D6FC-4f65-9D91-7224C49458BB}"/>
            </c:extLst>
          </c:dLbls>
          <c:cat>
            <c:strRef>
              <c:f>Лист1!$B$5:$B$11</c:f>
              <c:strCache>
                <c:ptCount val="7"/>
                <c:pt idx="0">
                  <c:v>Оплата праці з нарахуваннями</c:v>
                </c:pt>
                <c:pt idx="1">
                  <c:v>Комунальні послуги та енергоносії</c:v>
                </c:pt>
                <c:pt idx="2">
                  <c:v>Продукти харчування</c:v>
                </c:pt>
                <c:pt idx="3">
                  <c:v>Оплата послуг (крім комунальних)</c:v>
                </c:pt>
                <c:pt idx="4">
                  <c:v>Предмети,матеріали, обладнання та інвентар</c:v>
                </c:pt>
                <c:pt idx="5">
                  <c:v>Медикаменти та перев'язувальні матеріали</c:v>
                </c:pt>
                <c:pt idx="6">
                  <c:v>інші видатки</c:v>
                </c:pt>
              </c:strCache>
            </c:strRef>
          </c:cat>
          <c:val>
            <c:numRef>
              <c:f>Лист1!$C$5:$C$11</c:f>
              <c:numCache>
                <c:formatCode>#,##0.0</c:formatCode>
                <c:ptCount val="7"/>
                <c:pt idx="0">
                  <c:v>308.5</c:v>
                </c:pt>
                <c:pt idx="1">
                  <c:v>20.9</c:v>
                </c:pt>
                <c:pt idx="2">
                  <c:v>21</c:v>
                </c:pt>
                <c:pt idx="3">
                  <c:v>8.6</c:v>
                </c:pt>
                <c:pt idx="4">
                  <c:v>6.6</c:v>
                </c:pt>
                <c:pt idx="5">
                  <c:v>2.2999999999999998</c:v>
                </c:pt>
                <c:pt idx="6">
                  <c:v>1.6000000000000023</c:v>
                </c:pt>
              </c:numCache>
            </c:numRef>
          </c:val>
        </c:ser>
        <c:dLbls>
          <c:showLegendKey val="0"/>
          <c:showVal val="0"/>
          <c:showCatName val="0"/>
          <c:showSerName val="0"/>
          <c:showPercent val="0"/>
          <c:showBubbleSize val="0"/>
          <c:showLeaderLines val="1"/>
        </c:dLbls>
      </c:pie3DChart>
    </c:plotArea>
    <c:plotVisOnly val="1"/>
    <c:dispBlanksAs val="gap"/>
    <c:showDLblsOverMax val="0"/>
  </c:chart>
  <c:spPr>
    <a:scene3d>
      <a:camera prst="orthographicFront"/>
      <a:lightRig rig="threePt" dir="t"/>
    </a:scene3d>
    <a:sp3d>
      <a:bevelT/>
      <a:bevelB/>
    </a:sp3d>
  </c:sp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u-RU"/>
              <a:t>Порівняльний аналіз доходів бюджету Чорноморької міської територіальної громади, тис. грн</a:t>
            </a:r>
          </a:p>
        </c:rich>
      </c:tx>
      <c:layout>
        <c:manualLayout>
          <c:xMode val="edge"/>
          <c:yMode val="edge"/>
          <c:x val="0.1383801652892562"/>
          <c:y val="2.0525451559934318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uk-UA"/>
        </a:p>
      </c:txPr>
    </c:title>
    <c:autoTitleDeleted val="0"/>
    <c:plotArea>
      <c:layout>
        <c:manualLayout>
          <c:layoutTarget val="inner"/>
          <c:xMode val="edge"/>
          <c:yMode val="edge"/>
          <c:x val="0.11814702501030347"/>
          <c:y val="0.25159028807441536"/>
          <c:w val="0.85320283724864976"/>
          <c:h val="0.72590531996239771"/>
        </c:manualLayout>
      </c:layout>
      <c:barChart>
        <c:barDir val="col"/>
        <c:grouping val="clustered"/>
        <c:varyColors val="1"/>
        <c:ser>
          <c:idx val="0"/>
          <c:order val="0"/>
          <c:tx>
            <c:strRef>
              <c:f>Аркуш1!$B$1</c:f>
              <c:strCache>
                <c:ptCount val="1"/>
                <c:pt idx="0">
                  <c:v>Стовпець3</c:v>
                </c:pt>
              </c:strCache>
            </c:strRef>
          </c:tx>
          <c:invertIfNegative val="0"/>
          <c:dPt>
            <c:idx val="0"/>
            <c:invertIfNegative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1"/>
            <c:invertIfNegative val="0"/>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2"/>
            <c:invertIfNegative val="0"/>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3"/>
            <c:invertIfNegative val="0"/>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Pt>
            <c:idx val="4"/>
            <c:invertIfNegative val="0"/>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dPt>
          <c:dLbls>
            <c:dLbl>
              <c:idx val="1"/>
              <c:layout>
                <c:manualLayout>
                  <c:x val="-8.0807147317019457E-17"/>
                  <c:y val="-1.392272885485561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1.7403411068569439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0"/>
                  <c:y val="-1.0442046641141695E-2"/>
                </c:manualLayout>
              </c:layout>
              <c:tx>
                <c:rich>
                  <a:bodyPr/>
                  <a:lstStyle/>
                  <a:p>
                    <a:r>
                      <a:rPr lang="en-US"/>
                      <a:t>1 105 184,5</a:t>
                    </a:r>
                  </a:p>
                </c:rich>
              </c:tx>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2.2040302813387995E-3"/>
                  <c:y val="-1.3922591820122728E-2"/>
                </c:manualLayout>
              </c:layout>
              <c:numFmt formatCode="#,##0.00" sourceLinked="0"/>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solidFill>
                      <a:latin typeface="+mn-lt"/>
                      <a:ea typeface="+mn-ea"/>
                      <a:cs typeface="+mn-cs"/>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manualLayout>
                      <c:w val="0.14288696557558406"/>
                      <c:h val="7.6522935503232636E-2"/>
                    </c:manualLayout>
                  </c15:layout>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BarType val="both"/>
            <c:errValType val="stdErr"/>
            <c:noEndCap val="0"/>
            <c:spPr>
              <a:noFill/>
              <a:ln w="9525" cap="flat" cmpd="sng" algn="ctr">
                <a:solidFill>
                  <a:schemeClr val="tx1">
                    <a:lumMod val="65000"/>
                    <a:lumOff val="35000"/>
                  </a:schemeClr>
                </a:solidFill>
                <a:round/>
              </a:ln>
              <a:effectLst/>
            </c:spPr>
          </c:errBars>
          <c:cat>
            <c:strRef>
              <c:f>Аркуш1!$A$2:$A$6</c:f>
              <c:strCache>
                <c:ptCount val="5"/>
                <c:pt idx="0">
                  <c:v>2020 рік</c:v>
                </c:pt>
                <c:pt idx="1">
                  <c:v>2021 рік</c:v>
                </c:pt>
                <c:pt idx="2">
                  <c:v>2022 рік</c:v>
                </c:pt>
                <c:pt idx="3">
                  <c:v>очікуване 2023 рік</c:v>
                </c:pt>
                <c:pt idx="4">
                  <c:v>проєкт 2024 рік</c:v>
                </c:pt>
              </c:strCache>
            </c:strRef>
          </c:cat>
          <c:val>
            <c:numRef>
              <c:f>Аркуш1!$B$2:$B$6</c:f>
              <c:numCache>
                <c:formatCode>#\ ##0.0</c:formatCode>
                <c:ptCount val="5"/>
                <c:pt idx="0">
                  <c:v>835709.4</c:v>
                </c:pt>
                <c:pt idx="1">
                  <c:v>916756</c:v>
                </c:pt>
                <c:pt idx="2">
                  <c:v>894267.6</c:v>
                </c:pt>
                <c:pt idx="3">
                  <c:v>1105184.5</c:v>
                </c:pt>
                <c:pt idx="4" formatCode="#,##0">
                  <c:v>1008086</c:v>
                </c:pt>
              </c:numCache>
            </c:numRef>
          </c:val>
        </c:ser>
        <c:dLbls>
          <c:dLblPos val="outEnd"/>
          <c:showLegendKey val="0"/>
          <c:showVal val="1"/>
          <c:showCatName val="0"/>
          <c:showSerName val="0"/>
          <c:showPercent val="0"/>
          <c:showBubbleSize val="0"/>
        </c:dLbls>
        <c:gapWidth val="100"/>
        <c:overlap val="-24"/>
        <c:axId val="676877552"/>
        <c:axId val="677913432"/>
      </c:barChart>
      <c:catAx>
        <c:axId val="67687755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solidFill>
                <a:latin typeface="+mn-lt"/>
                <a:ea typeface="+mn-ea"/>
                <a:cs typeface="+mn-cs"/>
              </a:defRPr>
            </a:pPr>
            <a:endParaRPr lang="uk-UA"/>
          </a:p>
        </c:txPr>
        <c:crossAx val="677913432"/>
        <c:crosses val="autoZero"/>
        <c:auto val="1"/>
        <c:lblAlgn val="ctr"/>
        <c:lblOffset val="100"/>
        <c:noMultiLvlLbl val="0"/>
      </c:catAx>
      <c:valAx>
        <c:axId val="677913432"/>
        <c:scaling>
          <c:orientation val="minMax"/>
          <c:max val="1300000"/>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676877552"/>
        <c:crosses val="autoZero"/>
        <c:crossBetween val="between"/>
        <c:majorUnit val="300000"/>
        <c:minorUnit val="3000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3411450972480233"/>
          <c:y val="0.2218819456078665"/>
          <c:w val="0.31467713170471906"/>
          <c:h val="0.63546449897646251"/>
        </c:manualLayout>
      </c:layout>
      <c:doughnutChart>
        <c:varyColors val="1"/>
        <c:ser>
          <c:idx val="0"/>
          <c:order val="0"/>
          <c:tx>
            <c:strRef>
              <c:f>'бюджет розвитку'!$C$6</c:f>
              <c:strCache>
                <c:ptCount val="1"/>
                <c:pt idx="0">
                  <c:v>2019рік</c:v>
                </c:pt>
              </c:strCache>
            </c:strRef>
          </c:tx>
          <c:explosion val="25"/>
          <c:dLbls>
            <c:dLbl>
              <c:idx val="0"/>
              <c:layout>
                <c:manualLayout>
                  <c:x val="0.18376068376068391"/>
                  <c:y val="0.10787486515641863"/>
                </c:manualLayout>
              </c:layout>
              <c:tx>
                <c:rich>
                  <a:bodyPr/>
                  <a:lstStyle/>
                  <a:p>
                    <a:r>
                      <a:rPr lang="ru-RU">
                        <a:latin typeface="Times New Roman" pitchFamily="18" charset="0"/>
                        <a:cs typeface="Times New Roman" pitchFamily="18" charset="0"/>
                      </a:rPr>
                      <a:t>П</a:t>
                    </a:r>
                    <a:r>
                      <a:rPr lang="ru-RU"/>
                      <a:t>одаток на доходи фізичних осіб
448,8
54,7</a:t>
                    </a:r>
                    <a:r>
                      <a:rPr lang="ru-RU" baseline="0"/>
                      <a:t> </a:t>
                    </a:r>
                    <a:r>
                      <a:rPr lang="ru-RU"/>
                      <a:t>%</a:t>
                    </a:r>
                  </a:p>
                </c:rich>
              </c:tx>
              <c:showLegendKey val="0"/>
              <c:showVal val="1"/>
              <c:showCatName val="1"/>
              <c:showSerName val="0"/>
              <c:showPercent val="1"/>
              <c:showBubbleSize val="0"/>
              <c:separator>
</c:separator>
              <c:extLst>
                <c:ext xmlns:c15="http://schemas.microsoft.com/office/drawing/2012/chart" uri="{CE6537A1-D6FC-4f65-9D91-7224C49458BB}"/>
              </c:extLst>
            </c:dLbl>
            <c:dLbl>
              <c:idx val="1"/>
              <c:layout>
                <c:manualLayout>
                  <c:x val="-0.21794878270107193"/>
                  <c:y val="-0.11697993395986792"/>
                </c:manualLayout>
              </c:layout>
              <c:tx>
                <c:rich>
                  <a:bodyPr/>
                  <a:lstStyle/>
                  <a:p>
                    <a:r>
                      <a:rPr lang="ru-RU">
                        <a:latin typeface="Times New Roman" pitchFamily="18" charset="0"/>
                        <a:cs typeface="Times New Roman" pitchFamily="18" charset="0"/>
                      </a:rPr>
                      <a:t>П</a:t>
                    </a:r>
                    <a:r>
                      <a:rPr lang="ru-RU"/>
                      <a:t>одаток на майно
230,9
28,1</a:t>
                    </a:r>
                    <a:r>
                      <a:rPr lang="ru-RU" baseline="0"/>
                      <a:t> </a:t>
                    </a:r>
                    <a:r>
                      <a:rPr lang="ru-RU"/>
                      <a:t>%</a:t>
                    </a:r>
                  </a:p>
                </c:rich>
              </c:tx>
              <c:showLegendKey val="0"/>
              <c:showVal val="1"/>
              <c:showCatName val="1"/>
              <c:showSerName val="0"/>
              <c:showPercent val="1"/>
              <c:showBubbleSize val="0"/>
              <c:separator>
</c:separator>
              <c:extLst>
                <c:ext xmlns:c15="http://schemas.microsoft.com/office/drawing/2012/chart" uri="{CE6537A1-D6FC-4f65-9D91-7224C49458BB}"/>
              </c:extLst>
            </c:dLbl>
            <c:dLbl>
              <c:idx val="2"/>
              <c:layout>
                <c:manualLayout>
                  <c:x val="-0.27991452991457444"/>
                  <c:y val="-0.12825654771876918"/>
                </c:manualLayout>
              </c:layout>
              <c:tx>
                <c:rich>
                  <a:bodyPr/>
                  <a:lstStyle/>
                  <a:p>
                    <a:r>
                      <a:rPr lang="ru-RU">
                        <a:latin typeface="Times New Roman" pitchFamily="18" charset="0"/>
                        <a:cs typeface="Times New Roman" pitchFamily="18" charset="0"/>
                      </a:rPr>
                      <a:t>А</a:t>
                    </a:r>
                    <a:r>
                      <a:rPr lang="ru-RU"/>
                      <a:t>кцизний податок
41,2</a:t>
                    </a:r>
                  </a:p>
                  <a:p>
                    <a:r>
                      <a:rPr lang="ru-RU"/>
                      <a:t>5,0</a:t>
                    </a:r>
                    <a:r>
                      <a:rPr lang="ru-RU" baseline="0"/>
                      <a:t> </a:t>
                    </a:r>
                    <a:r>
                      <a:rPr lang="ru-RU"/>
                      <a:t>%</a:t>
                    </a:r>
                  </a:p>
                </c:rich>
              </c:tx>
              <c:showLegendKey val="0"/>
              <c:showVal val="1"/>
              <c:showCatName val="1"/>
              <c:showSerName val="0"/>
              <c:showPercent val="1"/>
              <c:showBubbleSize val="0"/>
              <c:separator>
</c:separator>
              <c:extLst>
                <c:ext xmlns:c15="http://schemas.microsoft.com/office/drawing/2012/chart" uri="{CE6537A1-D6FC-4f65-9D91-7224C49458BB}"/>
              </c:extLst>
            </c:dLbl>
            <c:dLbl>
              <c:idx val="3"/>
              <c:layout>
                <c:manualLayout>
                  <c:x val="-9.6153846153859551E-2"/>
                  <c:y val="-0.23861004076618444"/>
                </c:manualLayout>
              </c:layout>
              <c:tx>
                <c:rich>
                  <a:bodyPr/>
                  <a:lstStyle/>
                  <a:p>
                    <a:r>
                      <a:rPr lang="ru-RU">
                        <a:latin typeface="Times New Roman" pitchFamily="18" charset="0"/>
                        <a:cs typeface="Times New Roman" pitchFamily="18" charset="0"/>
                      </a:rPr>
                      <a:t>Є</a:t>
                    </a:r>
                    <a:r>
                      <a:rPr lang="ru-RU"/>
                      <a:t>диний податок
85,0
10,4 %</a:t>
                    </a:r>
                  </a:p>
                </c:rich>
              </c:tx>
              <c:showLegendKey val="0"/>
              <c:showVal val="1"/>
              <c:showCatName val="1"/>
              <c:showSerName val="0"/>
              <c:showPercent val="1"/>
              <c:showBubbleSize val="0"/>
              <c:separator>
</c:separator>
              <c:extLst>
                <c:ext xmlns:c15="http://schemas.microsoft.com/office/drawing/2012/chart" uri="{CE6537A1-D6FC-4f65-9D91-7224C49458BB}"/>
              </c:extLst>
            </c:dLbl>
            <c:dLbl>
              <c:idx val="4"/>
              <c:layout>
                <c:manualLayout>
                  <c:x val="0.19658119658121578"/>
                  <c:y val="-5.6094929881341932E-2"/>
                </c:manualLayout>
              </c:layout>
              <c:tx>
                <c:rich>
                  <a:bodyPr/>
                  <a:lstStyle/>
                  <a:p>
                    <a:r>
                      <a:rPr lang="ru-RU">
                        <a:latin typeface="Times New Roman" pitchFamily="18" charset="0"/>
                        <a:cs typeface="Times New Roman" pitchFamily="18" charset="0"/>
                      </a:rPr>
                      <a:t>І</a:t>
                    </a:r>
                    <a:r>
                      <a:rPr lang="ru-RU"/>
                      <a:t>нши податки і збори
15,0
1,8</a:t>
                    </a:r>
                    <a:r>
                      <a:rPr lang="ru-RU" baseline="0"/>
                      <a:t> </a:t>
                    </a:r>
                    <a:r>
                      <a:rPr lang="ru-RU"/>
                      <a:t>%</a:t>
                    </a:r>
                  </a:p>
                </c:rich>
              </c:tx>
              <c:showLegendKey val="0"/>
              <c:showVal val="1"/>
              <c:showCatName val="1"/>
              <c:showSerName val="0"/>
              <c:showPercent val="1"/>
              <c:showBubbleSize val="0"/>
              <c:separator>
</c:separator>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txPr>
              <a:bodyPr/>
              <a:lstStyle/>
              <a:p>
                <a:pPr>
                  <a:defRPr sz="1100" b="1">
                    <a:solidFill>
                      <a:srgbClr val="0070C0"/>
                    </a:solidFill>
                    <a:latin typeface="Times New Roman" pitchFamily="18" charset="0"/>
                    <a:cs typeface="Times New Roman" pitchFamily="18" charset="0"/>
                  </a:defRPr>
                </a:pPr>
                <a:endParaRPr lang="uk-UA"/>
              </a:p>
            </c:txPr>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'бюджет розвитку'!$B$7:$B$12</c:f>
              <c:strCache>
                <c:ptCount val="5"/>
                <c:pt idx="0">
                  <c:v>Податок на доходи фізичних осіб</c:v>
                </c:pt>
                <c:pt idx="1">
                  <c:v>Податок на майно</c:v>
                </c:pt>
                <c:pt idx="2">
                  <c:v>Акцизний податок</c:v>
                </c:pt>
                <c:pt idx="3">
                  <c:v>Єдиний податок</c:v>
                </c:pt>
                <c:pt idx="4">
                  <c:v>Інши податки і збори</c:v>
                </c:pt>
              </c:strCache>
            </c:strRef>
          </c:cat>
          <c:val>
            <c:numRef>
              <c:f>'бюджет розвитку'!$C$7:$C$12</c:f>
              <c:numCache>
                <c:formatCode>#,##0.0</c:formatCode>
                <c:ptCount val="6"/>
                <c:pt idx="0">
                  <c:v>365</c:v>
                </c:pt>
                <c:pt idx="1">
                  <c:v>187.1</c:v>
                </c:pt>
                <c:pt idx="2">
                  <c:v>34.800000000000004</c:v>
                </c:pt>
                <c:pt idx="3">
                  <c:v>59</c:v>
                </c:pt>
                <c:pt idx="4">
                  <c:v>13.300000000000054</c:v>
                </c:pt>
              </c:numCache>
            </c:numRef>
          </c:val>
        </c:ser>
        <c:dLbls>
          <c:showLegendKey val="0"/>
          <c:showVal val="0"/>
          <c:showCatName val="0"/>
          <c:showSerName val="0"/>
          <c:showPercent val="0"/>
          <c:showBubbleSize val="0"/>
          <c:showLeaderLines val="1"/>
        </c:dLbls>
        <c:firstSliceAng val="0"/>
        <c:holeSize val="50"/>
      </c:doughnutChart>
    </c:plotArea>
    <c:plotVisOnly val="1"/>
    <c:dispBlanksAs val="zero"/>
    <c:showDLblsOverMax val="0"/>
  </c:chart>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none" spc="50" normalizeH="0" baseline="0">
                <a:ln>
                  <a:noFill/>
                </a:ln>
                <a:solidFill>
                  <a:srgbClr val="002060"/>
                </a:solidFill>
                <a:latin typeface="+mj-lt"/>
                <a:ea typeface="+mj-ea"/>
                <a:cs typeface="+mj-cs"/>
              </a:defRPr>
            </a:pPr>
            <a:r>
              <a:rPr lang="ru-RU" sz="1200">
                <a:solidFill>
                  <a:srgbClr val="002060"/>
                </a:solidFill>
              </a:rPr>
              <a:t>Податок на доходи фізичних осіб Чорноморської міської територіальної громади</a:t>
            </a:r>
            <a:r>
              <a:rPr lang="ru-RU" sz="1200" baseline="0">
                <a:solidFill>
                  <a:srgbClr val="002060"/>
                </a:solidFill>
              </a:rPr>
              <a:t> </a:t>
            </a:r>
          </a:p>
          <a:p>
            <a:pPr>
              <a:defRPr>
                <a:solidFill>
                  <a:srgbClr val="002060"/>
                </a:solidFill>
              </a:defRPr>
            </a:pPr>
            <a:r>
              <a:rPr lang="ru-RU" sz="1200" baseline="0">
                <a:solidFill>
                  <a:srgbClr val="002060"/>
                </a:solidFill>
              </a:rPr>
              <a:t>за 2020-2024 рр. (контингент)</a:t>
            </a:r>
            <a:endParaRPr lang="ru-RU" sz="1200">
              <a:solidFill>
                <a:srgbClr val="002060"/>
              </a:solidFill>
            </a:endParaRPr>
          </a:p>
        </c:rich>
      </c:tx>
      <c:layout>
        <c:manualLayout>
          <c:xMode val="edge"/>
          <c:yMode val="edge"/>
          <c:x val="0.16477989962608106"/>
          <c:y val="1.0332710298895508E-3"/>
        </c:manualLayout>
      </c:layout>
      <c:overlay val="0"/>
      <c:spPr>
        <a:noFill/>
        <a:ln>
          <a:noFill/>
        </a:ln>
        <a:effectLst/>
      </c:spPr>
      <c:txPr>
        <a:bodyPr rot="0" spcFirstLastPara="1" vertOverflow="ellipsis" vert="horz" wrap="square" anchor="ctr" anchorCtr="1"/>
        <a:lstStyle/>
        <a:p>
          <a:pPr>
            <a:defRPr sz="1600" b="1" i="0" u="none" strike="noStrike" kern="1200" cap="none" spc="50" normalizeH="0" baseline="0">
              <a:ln>
                <a:noFill/>
              </a:ln>
              <a:solidFill>
                <a:srgbClr val="002060"/>
              </a:solidFill>
              <a:latin typeface="+mj-lt"/>
              <a:ea typeface="+mj-ea"/>
              <a:cs typeface="+mj-cs"/>
            </a:defRPr>
          </a:pPr>
          <a:endParaRPr lang="uk-UA"/>
        </a:p>
      </c:txPr>
    </c:title>
    <c:autoTitleDeleted val="0"/>
    <c:view3D>
      <c:rotX val="15"/>
      <c:rotY val="2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9760749117393041E-2"/>
          <c:y val="0.24375909405900173"/>
          <c:w val="0.89543108059359877"/>
          <c:h val="0.63138620188085293"/>
        </c:manualLayout>
      </c:layout>
      <c:bar3DChart>
        <c:barDir val="col"/>
        <c:grouping val="clustered"/>
        <c:varyColors val="0"/>
        <c:ser>
          <c:idx val="0"/>
          <c:order val="0"/>
          <c:spPr>
            <a:solidFill>
              <a:schemeClr val="accent6">
                <a:alpha val="70000"/>
              </a:schemeClr>
            </a:solidFill>
            <a:ln>
              <a:noFill/>
            </a:ln>
            <a:effectLst/>
            <a:sp3d/>
          </c:spPr>
          <c:invertIfNegative val="0"/>
          <c:dLbls>
            <c:dLbl>
              <c:idx val="0"/>
              <c:layout>
                <c:manualLayout>
                  <c:x val="1.2701795854735605E-2"/>
                  <c:y val="-2.6549313614447539E-2"/>
                </c:manualLayout>
              </c:layout>
              <c:tx>
                <c:rich>
                  <a:bodyPr/>
                  <a:lstStyle/>
                  <a:p>
                    <a:r>
                      <a:rPr lang="en-US"/>
                      <a:t>606,2</a:t>
                    </a:r>
                  </a:p>
                </c:rich>
              </c:tx>
              <c:showLegendKey val="0"/>
              <c:showVal val="1"/>
              <c:showCatName val="0"/>
              <c:showSerName val="0"/>
              <c:showPercent val="0"/>
              <c:showBubbleSize val="0"/>
              <c:separator>. </c:separator>
              <c:extLst>
                <c:ext xmlns:c15="http://schemas.microsoft.com/office/drawing/2012/chart" uri="{CE6537A1-D6FC-4f65-9D91-7224C49458BB}"/>
              </c:extLst>
            </c:dLbl>
            <c:dLbl>
              <c:idx val="1"/>
              <c:layout>
                <c:manualLayout>
                  <c:x val="1.474460242232754E-2"/>
                  <c:y val="-1.0478059397396126E-2"/>
                </c:manualLayout>
              </c:layout>
              <c:tx>
                <c:rich>
                  <a:bodyPr/>
                  <a:lstStyle/>
                  <a:p>
                    <a:r>
                      <a:rPr lang="en-US"/>
                      <a:t>673,9</a:t>
                    </a:r>
                  </a:p>
                </c:rich>
              </c:tx>
              <c:showLegendKey val="0"/>
              <c:showVal val="1"/>
              <c:showCatName val="0"/>
              <c:showSerName val="0"/>
              <c:showPercent val="0"/>
              <c:showBubbleSize val="0"/>
              <c:separator>. </c:separator>
              <c:extLst>
                <c:ext xmlns:c15="http://schemas.microsoft.com/office/drawing/2012/chart" uri="{CE6537A1-D6FC-4f65-9D91-7224C49458BB}"/>
              </c:extLst>
            </c:dLbl>
            <c:dLbl>
              <c:idx val="2"/>
              <c:layout>
                <c:manualLayout>
                  <c:x val="1.6819281489749639E-2"/>
                  <c:y val="-1.8572711646885672E-2"/>
                </c:manualLayout>
              </c:layout>
              <c:tx>
                <c:rich>
                  <a:bodyPr/>
                  <a:lstStyle/>
                  <a:p>
                    <a:r>
                      <a:rPr lang="en-US"/>
                      <a:t>713,7</a:t>
                    </a:r>
                  </a:p>
                </c:rich>
              </c:tx>
              <c:showLegendKey val="0"/>
              <c:showVal val="1"/>
              <c:showCatName val="0"/>
              <c:showSerName val="0"/>
              <c:showPercent val="0"/>
              <c:showBubbleSize val="0"/>
              <c:separator>. </c:separator>
              <c:extLst>
                <c:ext xmlns:c15="http://schemas.microsoft.com/office/drawing/2012/chart" uri="{CE6537A1-D6FC-4f65-9D91-7224C49458BB}"/>
              </c:extLst>
            </c:dLbl>
            <c:dLbl>
              <c:idx val="3"/>
              <c:layout>
                <c:manualLayout>
                  <c:x val="2.1095526946238841E-2"/>
                  <c:y val="-1.3254977001844458E-2"/>
                </c:manualLayout>
              </c:layout>
              <c:tx>
                <c:rich>
                  <a:bodyPr/>
                  <a:lstStyle/>
                  <a:p>
                    <a:r>
                      <a:rPr lang="en-US"/>
                      <a:t>952,5</a:t>
                    </a:r>
                  </a:p>
                </c:rich>
              </c:tx>
              <c:showLegendKey val="0"/>
              <c:showVal val="1"/>
              <c:showCatName val="0"/>
              <c:showSerName val="0"/>
              <c:showPercent val="0"/>
              <c:showBubbleSize val="0"/>
              <c:separator>. </c:separator>
              <c:extLst>
                <c:ext xmlns:c15="http://schemas.microsoft.com/office/drawing/2012/chart" uri="{CE6537A1-D6FC-4f65-9D91-7224C49458BB}"/>
              </c:extLst>
            </c:dLbl>
            <c:dLbl>
              <c:idx val="4"/>
              <c:layout>
                <c:manualLayout>
                  <c:x val="1.4585869197395868E-2"/>
                  <c:y val="2.131029819092347E-2"/>
                </c:manualLayout>
              </c:layout>
              <c:tx>
                <c:rich>
                  <a:bodyPr/>
                  <a:lstStyle/>
                  <a:p>
                    <a:r>
                      <a:rPr lang="en-US"/>
                      <a:t>701,3</a:t>
                    </a:r>
                  </a:p>
                  <a:p>
                    <a:endParaRPr lang="en-US"/>
                  </a:p>
                </c:rich>
              </c:tx>
              <c:showLegendKey val="0"/>
              <c:showVal val="1"/>
              <c:showCatName val="0"/>
              <c:showSerName val="0"/>
              <c:showPercent val="0"/>
              <c:showBubbleSize val="0"/>
              <c:separator>. </c:separator>
              <c:extLst>
                <c:ext xmlns:c15="http://schemas.microsoft.com/office/drawing/2012/chart" uri="{CE6537A1-D6FC-4f65-9D91-7224C49458BB}"/>
              </c:extLst>
            </c:dLbl>
            <c:spPr>
              <a:noFill/>
              <a:ln>
                <a:noFill/>
              </a:ln>
              <a:effectLst>
                <a:glow rad="228600">
                  <a:schemeClr val="accent2">
                    <a:satMod val="175000"/>
                    <a:alpha val="40000"/>
                  </a:schemeClr>
                </a:glow>
              </a:effectLst>
            </c:spPr>
            <c:txPr>
              <a:bodyPr rot="0" spcFirstLastPara="1" vertOverflow="ellipsis" vert="horz" wrap="square" lIns="38100" tIns="19050" rIns="38100" bIns="19050" anchor="ctr" anchorCtr="1">
                <a:spAutoFit/>
              </a:bodyPr>
              <a:lstStyle/>
              <a:p>
                <a:pPr>
                  <a:defRPr sz="1100" b="1" i="0" u="none" strike="noStrike" kern="1200" baseline="0">
                    <a:ln>
                      <a:noFill/>
                    </a:ln>
                    <a:solidFill>
                      <a:srgbClr val="002060"/>
                    </a:solidFill>
                    <a:latin typeface="+mn-lt"/>
                    <a:ea typeface="+mn-ea"/>
                    <a:cs typeface="+mn-cs"/>
                  </a:defRPr>
                </a:pPr>
                <a:endParaRPr lang="uk-UA"/>
              </a:p>
            </c:txP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0"/>
              </c:ext>
            </c:extLst>
          </c:dLbls>
          <c:cat>
            <c:strRef>
              <c:f>Лист1!$D$5:$H$5</c:f>
              <c:strCache>
                <c:ptCount val="5"/>
                <c:pt idx="0">
                  <c:v>2020 рік</c:v>
                </c:pt>
                <c:pt idx="1">
                  <c:v>2021 рік</c:v>
                </c:pt>
                <c:pt idx="2">
                  <c:v>2022 рік</c:v>
                </c:pt>
                <c:pt idx="3">
                  <c:v>2023 рік
(очік. факт)</c:v>
                </c:pt>
                <c:pt idx="4">
                  <c:v>2024 рік
(прогноз)</c:v>
                </c:pt>
              </c:strCache>
            </c:strRef>
          </c:cat>
          <c:val>
            <c:numRef>
              <c:f>Лист1!$D$6:$H$6</c:f>
              <c:numCache>
                <c:formatCode>#\ ##0.0</c:formatCode>
                <c:ptCount val="5"/>
                <c:pt idx="0">
                  <c:v>606.20000000000005</c:v>
                </c:pt>
                <c:pt idx="1">
                  <c:v>673.9</c:v>
                </c:pt>
                <c:pt idx="2">
                  <c:v>713.7</c:v>
                </c:pt>
                <c:pt idx="3">
                  <c:v>952.5</c:v>
                </c:pt>
                <c:pt idx="4">
                  <c:v>701.3</c:v>
                </c:pt>
              </c:numCache>
            </c:numRef>
          </c:val>
          <c:shape val="cylinder"/>
          <c:extLst>
            <c:ext xmlns:c15="http://schemas.microsoft.com/office/drawing/2012/chart" uri="{02D57815-91ED-43cb-92C2-25804820EDAC}">
              <c15:filteredSeriesTitle>
                <c15:tx>
                  <c:v>Зведений бюджет</c:v>
                </c15:tx>
              </c15:filteredSeriesTitle>
            </c:ext>
          </c:extLst>
        </c:ser>
        <c:dLbls>
          <c:showLegendKey val="0"/>
          <c:showVal val="1"/>
          <c:showCatName val="0"/>
          <c:showSerName val="0"/>
          <c:showPercent val="0"/>
          <c:showBubbleSize val="0"/>
        </c:dLbls>
        <c:gapWidth val="80"/>
        <c:shape val="box"/>
        <c:axId val="677915392"/>
        <c:axId val="677915784"/>
        <c:axId val="0"/>
      </c:bar3DChart>
      <c:catAx>
        <c:axId val="677915392"/>
        <c:scaling>
          <c:orientation val="minMax"/>
        </c:scaling>
        <c:delete val="0"/>
        <c:axPos val="b"/>
        <c:title>
          <c:tx>
            <c:rich>
              <a:bodyPr rot="0" spcFirstLastPara="1" vertOverflow="ellipsis" vert="horz" wrap="square" anchor="ctr" anchorCtr="1"/>
              <a:lstStyle/>
              <a:p>
                <a:pPr>
                  <a:defRPr sz="800" b="1" i="0" u="none" strike="noStrike" kern="1200" cap="all" baseline="0">
                    <a:ln>
                      <a:noFill/>
                    </a:ln>
                    <a:solidFill>
                      <a:srgbClr val="002060"/>
                    </a:solidFill>
                    <a:latin typeface="+mn-lt"/>
                    <a:ea typeface="+mn-ea"/>
                    <a:cs typeface="Times New Roman" panose="02020603050405020304" pitchFamily="18" charset="0"/>
                  </a:defRPr>
                </a:pPr>
                <a:r>
                  <a:rPr lang="ru-RU" sz="800" i="0">
                    <a:solidFill>
                      <a:srgbClr val="002060"/>
                    </a:solidFill>
                    <a:latin typeface="+mn-lt"/>
                    <a:cs typeface="Times New Roman" panose="02020603050405020304" pitchFamily="18" charset="0"/>
                  </a:rPr>
                  <a:t>млн.грн</a:t>
                </a:r>
              </a:p>
            </c:rich>
          </c:tx>
          <c:layout>
            <c:manualLayout>
              <c:xMode val="edge"/>
              <c:yMode val="edge"/>
              <c:x val="6.5334345055209353E-2"/>
              <c:y val="0.2074482501434545"/>
            </c:manualLayout>
          </c:layout>
          <c:overlay val="0"/>
          <c:spPr>
            <a:noFill/>
            <a:ln>
              <a:noFill/>
            </a:ln>
            <a:effectLst/>
          </c:spPr>
          <c:txPr>
            <a:bodyPr rot="0" spcFirstLastPara="1" vertOverflow="ellipsis" vert="horz" wrap="square" anchor="ctr" anchorCtr="1"/>
            <a:lstStyle/>
            <a:p>
              <a:pPr>
                <a:defRPr sz="800" b="1" i="0" u="none" strike="noStrike" kern="1200" cap="all" baseline="0">
                  <a:ln>
                    <a:noFill/>
                  </a:ln>
                  <a:solidFill>
                    <a:srgbClr val="002060"/>
                  </a:solidFill>
                  <a:latin typeface="+mn-lt"/>
                  <a:ea typeface="+mn-ea"/>
                  <a:cs typeface="Times New Roman" panose="02020603050405020304" pitchFamily="18" charset="0"/>
                </a:defRPr>
              </a:pPr>
              <a:endParaRPr lang="uk-UA"/>
            </a:p>
          </c:txPr>
        </c:title>
        <c:numFmt formatCode="General" sourceLinked="1"/>
        <c:majorTickMark val="out"/>
        <c:minorTickMark val="none"/>
        <c:tickLblPos val="nextTo"/>
        <c:spPr>
          <a:noFill/>
          <a:ln w="15875" cap="flat" cmpd="sng" algn="ctr">
            <a:solidFill>
              <a:schemeClr val="tx1">
                <a:lumMod val="25000"/>
                <a:lumOff val="75000"/>
              </a:schemeClr>
            </a:solidFill>
            <a:round/>
          </a:ln>
          <a:effectLst>
            <a:innerShdw blurRad="63500" dist="50800" dir="10800000">
              <a:prstClr val="black">
                <a:alpha val="50000"/>
              </a:prstClr>
            </a:innerShdw>
          </a:effectLst>
        </c:spPr>
        <c:txPr>
          <a:bodyPr rot="-60000000" spcFirstLastPara="1" vertOverflow="ellipsis" vert="horz" wrap="square" anchor="ctr" anchorCtr="1"/>
          <a:lstStyle/>
          <a:p>
            <a:pPr>
              <a:defRPr sz="1100" b="1" i="0" u="none" strike="noStrike" kern="1200" cap="none" spc="20" normalizeH="0" baseline="0">
                <a:ln>
                  <a:noFill/>
                </a:ln>
                <a:solidFill>
                  <a:srgbClr val="002060"/>
                </a:solidFill>
                <a:latin typeface="+mn-lt"/>
                <a:ea typeface="+mn-ea"/>
                <a:cs typeface="+mn-cs"/>
              </a:defRPr>
            </a:pPr>
            <a:endParaRPr lang="uk-UA"/>
          </a:p>
        </c:txPr>
        <c:crossAx val="677915784"/>
        <c:crosses val="autoZero"/>
        <c:auto val="0"/>
        <c:lblAlgn val="ctr"/>
        <c:lblOffset val="100"/>
        <c:noMultiLvlLbl val="0"/>
      </c:catAx>
      <c:valAx>
        <c:axId val="677915784"/>
        <c:scaling>
          <c:orientation val="minMax"/>
        </c:scaling>
        <c:delete val="0"/>
        <c:axPos val="l"/>
        <c:numFmt formatCode="#\ ##0.0" sourceLinked="1"/>
        <c:majorTickMark val="out"/>
        <c:minorTickMark val="none"/>
        <c:tickLblPos val="nextTo"/>
        <c:spPr>
          <a:noFill/>
          <a:ln>
            <a:noFill/>
          </a:ln>
          <a:effectLst/>
        </c:spPr>
        <c:txPr>
          <a:bodyPr rot="-60000000" spcFirstLastPara="1" vertOverflow="ellipsis" vert="horz" wrap="square" anchor="ctr" anchorCtr="1"/>
          <a:lstStyle/>
          <a:p>
            <a:pPr>
              <a:defRPr sz="900" b="1" i="0" u="none" strike="noStrike" kern="1200" spc="20" baseline="0">
                <a:ln>
                  <a:noFill/>
                </a:ln>
                <a:solidFill>
                  <a:schemeClr val="tx1">
                    <a:lumMod val="65000"/>
                    <a:lumOff val="35000"/>
                  </a:schemeClr>
                </a:solidFill>
                <a:latin typeface="+mn-lt"/>
                <a:ea typeface="+mn-ea"/>
                <a:cs typeface="+mn-cs"/>
              </a:defRPr>
            </a:pPr>
            <a:endParaRPr lang="uk-UA"/>
          </a:p>
        </c:txPr>
        <c:crossAx val="677915392"/>
        <c:crossesAt val="1"/>
        <c:crossBetween val="between"/>
      </c:valAx>
      <c:spPr>
        <a:noFill/>
        <a:ln>
          <a:gradFill>
            <a:gsLst>
              <a:gs pos="0">
                <a:schemeClr val="accent1">
                  <a:lumMod val="5000"/>
                  <a:lumOff val="95000"/>
                </a:schemeClr>
              </a:gs>
              <a:gs pos="55204">
                <a:srgbClr val="C2D3E8"/>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c:spPr>
    </c:plotArea>
    <c:plotVisOnly val="1"/>
    <c:dispBlanksAs val="gap"/>
    <c:showDLblsOverMax val="0"/>
  </c:chart>
  <c:spPr>
    <a:solidFill>
      <a:schemeClr val="accent1">
        <a:lumMod val="20000"/>
        <a:lumOff val="80000"/>
      </a:schemeClr>
    </a:solidFill>
    <a:ln w="25400" cap="flat" cmpd="sng" algn="ctr">
      <a:solidFill>
        <a:schemeClr val="tx1">
          <a:lumMod val="15000"/>
          <a:lumOff val="85000"/>
        </a:schemeClr>
      </a:solidFill>
      <a:round/>
    </a:ln>
    <a:effectLst>
      <a:glow rad="228600">
        <a:schemeClr val="bg1">
          <a:alpha val="40000"/>
        </a:schemeClr>
      </a:glow>
    </a:effectLst>
  </c:spPr>
  <c:txPr>
    <a:bodyPr rot="0" vert="horz"/>
    <a:lstStyle/>
    <a:p>
      <a:pPr>
        <a:defRPr b="1">
          <a:ln>
            <a:noFill/>
          </a:ln>
        </a:defRPr>
      </a:pPr>
      <a:endParaRPr lang="uk-UA"/>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ru-RU" sz="1150" b="1" i="0">
                <a:solidFill>
                  <a:srgbClr val="002060"/>
                </a:solidFill>
                <a:latin typeface="Times New Roman" panose="02020603050405020304" pitchFamily="18" charset="0"/>
                <a:cs typeface="Times New Roman" panose="02020603050405020304" pitchFamily="18" charset="0"/>
              </a:rPr>
              <a:t>Структура надходження акцизного податку до бюджету Чорноморської міської територіальної громади у 2024 році (млн. грн)</a:t>
            </a:r>
          </a:p>
        </c:rich>
      </c:tx>
      <c:layout>
        <c:manualLayout>
          <c:xMode val="edge"/>
          <c:yMode val="edge"/>
          <c:x val="0.1063205476508419"/>
          <c:y val="9.6269542590807951E-3"/>
        </c:manualLayout>
      </c:layout>
      <c:overlay val="0"/>
      <c:spPr>
        <a:noFill/>
        <a:ln>
          <a:noFill/>
        </a:ln>
        <a:effectLst/>
      </c:spPr>
      <c:txPr>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doughnutChart>
        <c:varyColors val="1"/>
        <c:ser>
          <c:idx val="0"/>
          <c:order val="0"/>
          <c:dPt>
            <c:idx val="0"/>
            <c:bubble3D val="0"/>
            <c:explosion val="4"/>
            <c:spPr>
              <a:solidFill>
                <a:schemeClr val="accent1"/>
              </a:solidFill>
              <a:ln w="19050">
                <a:solidFill>
                  <a:schemeClr val="lt1"/>
                </a:solidFill>
              </a:ln>
              <a:effectLst/>
            </c:spPr>
          </c:dPt>
          <c:dPt>
            <c:idx val="1"/>
            <c:bubble3D val="0"/>
            <c:explosion val="6"/>
            <c:spPr>
              <a:solidFill>
                <a:schemeClr val="accent2"/>
              </a:solidFill>
              <a:ln w="19050">
                <a:solidFill>
                  <a:schemeClr val="lt1"/>
                </a:solidFill>
              </a:ln>
              <a:effectLst/>
            </c:spPr>
          </c:dPt>
          <c:dPt>
            <c:idx val="2"/>
            <c:bubble3D val="0"/>
            <c:explosion val="3"/>
            <c:spPr>
              <a:solidFill>
                <a:schemeClr val="accent3"/>
              </a:solidFill>
              <a:ln w="19050">
                <a:solidFill>
                  <a:schemeClr val="lt1"/>
                </a:solidFill>
              </a:ln>
              <a:effectLst/>
            </c:spPr>
          </c:dPt>
          <c:dPt>
            <c:idx val="3"/>
            <c:bubble3D val="0"/>
            <c:explosion val="5"/>
            <c:spPr>
              <a:solidFill>
                <a:schemeClr val="accent4">
                  <a:lumMod val="60000"/>
                  <a:lumOff val="40000"/>
                </a:schemeClr>
              </a:solidFill>
              <a:ln w="19050">
                <a:solidFill>
                  <a:schemeClr val="accent4">
                    <a:lumMod val="60000"/>
                    <a:lumOff val="40000"/>
                    <a:alpha val="79000"/>
                  </a:schemeClr>
                </a:solidFill>
              </a:ln>
              <a:effectLst/>
            </c:spPr>
          </c:dPt>
          <c:dPt>
            <c:idx val="4"/>
            <c:bubble3D val="0"/>
            <c:spPr>
              <a:solidFill>
                <a:schemeClr val="accent5"/>
              </a:solidFill>
              <a:ln w="19050">
                <a:solidFill>
                  <a:schemeClr val="lt1"/>
                </a:solidFill>
              </a:ln>
              <a:effectLst/>
            </c:spPr>
          </c:dPt>
          <c:dLbls>
            <c:dLbl>
              <c:idx val="0"/>
              <c:layout>
                <c:manualLayout>
                  <c:x val="0.29239766081871332"/>
                  <c:y val="-0.24709182598307375"/>
                </c:manualLayout>
              </c:layout>
              <c:tx>
                <c:rich>
                  <a:bodyPr/>
                  <a:lstStyle/>
                  <a:p>
                    <a:r>
                      <a:rPr lang="ru-RU" sz="1000">
                        <a:latin typeface="Times New Roman" panose="02020603050405020304" pitchFamily="18" charset="0"/>
                        <a:cs typeface="Times New Roman" panose="02020603050405020304" pitchFamily="18" charset="0"/>
                      </a:rPr>
                      <a:t>Акцизний податок з </a:t>
                    </a:r>
                    <a:r>
                      <a:rPr lang="ru-RU" sz="1000" b="1" u="sng">
                        <a:latin typeface="Times New Roman" panose="02020603050405020304" pitchFamily="18" charset="0"/>
                        <a:cs typeface="Times New Roman" panose="02020603050405020304" pitchFamily="18" charset="0"/>
                      </a:rPr>
                      <a:t>вироблених</a:t>
                    </a:r>
                    <a:r>
                      <a:rPr lang="ru-RU" sz="1000">
                        <a:latin typeface="Times New Roman" panose="02020603050405020304" pitchFamily="18" charset="0"/>
                        <a:cs typeface="Times New Roman" panose="02020603050405020304" pitchFamily="18" charset="0"/>
                      </a:rPr>
                      <a:t> в Україні підакцизних товарів - </a:t>
                    </a:r>
                    <a:r>
                      <a:rPr lang="ru-RU" sz="1000" b="1" u="sng">
                        <a:latin typeface="Times New Roman" panose="02020603050405020304" pitchFamily="18" charset="0"/>
                        <a:cs typeface="Times New Roman" panose="02020603050405020304" pitchFamily="18" charset="0"/>
                      </a:rPr>
                      <a:t>пальне</a:t>
                    </a:r>
                  </a:p>
                </c:rich>
              </c:tx>
              <c:showLegendKey val="0"/>
              <c:showVal val="1"/>
              <c:showCatName val="1"/>
              <c:showSerName val="1"/>
              <c:showPercent val="1"/>
              <c:showBubbleSize val="0"/>
              <c:extLst>
                <c:ext xmlns:c15="http://schemas.microsoft.com/office/drawing/2012/chart" uri="{CE6537A1-D6FC-4f65-9D91-7224C49458BB}"/>
              </c:extLst>
            </c:dLbl>
            <c:dLbl>
              <c:idx val="1"/>
              <c:layout>
                <c:manualLayout>
                  <c:x val="0.2886561259330403"/>
                  <c:y val="6.8914170090591476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ru-RU" sz="1000" baseline="0">
                        <a:latin typeface="Times New Roman" panose="02020603050405020304" pitchFamily="18" charset="0"/>
                        <a:cs typeface="Times New Roman" panose="02020603050405020304" pitchFamily="18" charset="0"/>
                      </a:rPr>
                      <a:t>Акцизний податок з </a:t>
                    </a:r>
                    <a:r>
                      <a:rPr lang="ru-RU" sz="1000" b="1" u="sng" baseline="0">
                        <a:latin typeface="Times New Roman" panose="02020603050405020304" pitchFamily="18" charset="0"/>
                        <a:cs typeface="Times New Roman" panose="02020603050405020304" pitchFamily="18" charset="0"/>
                      </a:rPr>
                      <a:t>ввезених</a:t>
                    </a:r>
                    <a:r>
                      <a:rPr lang="ru-RU" sz="1000" baseline="0">
                        <a:latin typeface="Times New Roman" panose="02020603050405020304" pitchFamily="18" charset="0"/>
                        <a:cs typeface="Times New Roman" panose="02020603050405020304" pitchFamily="18" charset="0"/>
                      </a:rPr>
                      <a:t> на митну територію України підакцизних товарів - </a:t>
                    </a:r>
                    <a:r>
                      <a:rPr lang="ru-RU" sz="1000" b="1" u="sng" baseline="0">
                        <a:latin typeface="Times New Roman" panose="02020603050405020304" pitchFamily="18" charset="0"/>
                        <a:cs typeface="Times New Roman" panose="02020603050405020304" pitchFamily="18" charset="0"/>
                      </a:rPr>
                      <a:t>пальне</a:t>
                    </a:r>
                    <a:r>
                      <a:rPr lang="ru-RU" sz="1000" b="1" baseline="0">
                        <a:latin typeface="Times New Roman" panose="02020603050405020304" pitchFamily="18" charset="0"/>
                        <a:cs typeface="Times New Roman" panose="02020603050405020304" pitchFamily="18" charset="0"/>
                      </a:rPr>
                      <a:t> </a:t>
                    </a:r>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1"/>
              <c:showSerName val="1"/>
              <c:showPercent val="1"/>
              <c:showBubbleSize val="0"/>
              <c:extLst>
                <c:ext xmlns:c15="http://schemas.microsoft.com/office/drawing/2012/chart" uri="{CE6537A1-D6FC-4f65-9D91-7224C49458BB}">
                  <c15:layout>
                    <c:manualLayout>
                      <c:w val="0.17996326288597811"/>
                      <c:h val="0.26145200291094178"/>
                    </c:manualLayout>
                  </c15:layout>
                </c:ext>
              </c:extLst>
            </c:dLbl>
            <c:dLbl>
              <c:idx val="2"/>
              <c:layout>
                <c:manualLayout>
                  <c:x val="-0.32163749673470909"/>
                  <c:y val="-1.4548428541975864E-2"/>
                </c:manualLayout>
              </c:layout>
              <c:tx>
                <c:rich>
                  <a:bodyPr/>
                  <a:lstStyle/>
                  <a:p>
                    <a:r>
                      <a:rPr lang="ru-RU" sz="1000" b="0">
                        <a:latin typeface="Times New Roman" panose="02020603050405020304" pitchFamily="18" charset="0"/>
                        <a:cs typeface="Times New Roman" panose="02020603050405020304" pitchFamily="18" charset="0"/>
                      </a:rPr>
                      <a:t>Акцизний податок з реалізації виробниками та/або імпортерами </a:t>
                    </a:r>
                    <a:r>
                      <a:rPr lang="ru-RU" sz="1000" b="1" u="sng">
                        <a:latin typeface="Times New Roman" panose="02020603050405020304" pitchFamily="18" charset="0"/>
                        <a:cs typeface="Times New Roman" panose="02020603050405020304" pitchFamily="18" charset="0"/>
                      </a:rPr>
                      <a:t>тютюну</a:t>
                    </a:r>
                    <a:r>
                      <a:rPr lang="ru-RU" sz="1000" b="0">
                        <a:latin typeface="Times New Roman" panose="02020603050405020304" pitchFamily="18" charset="0"/>
                        <a:cs typeface="Times New Roman" panose="02020603050405020304" pitchFamily="18" charset="0"/>
                      </a:rPr>
                      <a:t> </a:t>
                    </a:r>
                  </a:p>
                </c:rich>
              </c:tx>
              <c:showLegendKey val="0"/>
              <c:showVal val="1"/>
              <c:showCatName val="1"/>
              <c:showSerName val="1"/>
              <c:showPercent val="1"/>
              <c:showBubbleSize val="0"/>
              <c:extLst>
                <c:ext xmlns:c15="http://schemas.microsoft.com/office/drawing/2012/chart" uri="{CE6537A1-D6FC-4f65-9D91-7224C49458BB}"/>
              </c:extLst>
            </c:dLbl>
            <c:dLbl>
              <c:idx val="3"/>
              <c:layout>
                <c:manualLayout>
                  <c:x val="-0.31384015594541909"/>
                  <c:y val="-0.13798634438015808"/>
                </c:manualLayout>
              </c:layout>
              <c:tx>
                <c:rich>
                  <a:bodyPr/>
                  <a:lstStyle/>
                  <a:p>
                    <a:r>
                      <a:rPr lang="ru-RU" sz="1000" baseline="0">
                        <a:latin typeface="Times New Roman" panose="02020603050405020304" pitchFamily="18" charset="0"/>
                        <a:cs typeface="Times New Roman" panose="02020603050405020304" pitchFamily="18" charset="0"/>
                      </a:rPr>
                      <a:t>Акцизний податок з реалізації суб'єктами господарювання роздрібної торгівлі </a:t>
                    </a:r>
                    <a:r>
                      <a:rPr lang="ru-RU" sz="1000" b="1" u="sng" baseline="0">
                        <a:latin typeface="Times New Roman" panose="02020603050405020304" pitchFamily="18" charset="0"/>
                        <a:cs typeface="Times New Roman" panose="02020603050405020304" pitchFamily="18" charset="0"/>
                      </a:rPr>
                      <a:t>алкоголю</a:t>
                    </a:r>
                    <a:r>
                      <a:rPr lang="ru-RU" sz="1000" baseline="0">
                        <a:latin typeface="Times New Roman" panose="02020603050405020304" pitchFamily="18" charset="0"/>
                        <a:cs typeface="Times New Roman" panose="02020603050405020304" pitchFamily="18" charset="0"/>
                      </a:rPr>
                      <a:t> </a:t>
                    </a:r>
                  </a:p>
                </c:rich>
              </c:tx>
              <c:showLegendKey val="0"/>
              <c:showVal val="1"/>
              <c:showCatName val="1"/>
              <c:showSerName val="1"/>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1"/>
            <c:showSerName val="1"/>
            <c:showPercent val="1"/>
            <c:showBubbleSize val="0"/>
            <c:showLeaderLines val="0"/>
            <c:extLst>
              <c:ext xmlns:c15="http://schemas.microsoft.com/office/drawing/2012/chart" uri="{CE6537A1-D6FC-4f65-9D91-7224C49458BB}"/>
            </c:extLst>
          </c:dLbls>
          <c:cat>
            <c:multiLvlStrRef>
              <c:f>Лист1!$A$1:$B$5</c:f>
              <c:multiLvlStrCache>
                <c:ptCount val="5"/>
                <c:lvl>
                  <c:pt idx="0">
                    <c:v>2,5</c:v>
                  </c:pt>
                  <c:pt idx="1">
                    <c:v>9,0</c:v>
                  </c:pt>
                  <c:pt idx="2">
                    <c:v>15,5</c:v>
                  </c:pt>
                  <c:pt idx="3">
                    <c:v>14,2</c:v>
                  </c:pt>
                  <c:pt idx="4">
                    <c:v>41,2 млн грн</c:v>
                  </c:pt>
                </c:lvl>
                <c:lvl>
                  <c:pt idx="0">
                    <c:v>Акцизний податок з вироблених в Україні підакцизних товарів - пальне</c:v>
                  </c:pt>
                  <c:pt idx="1">
                    <c:v>Акцизний податок з ввезених на митну територію України підакцизних товарів - пальне</c:v>
                  </c:pt>
                  <c:pt idx="2">
                    <c:v>Акцизний податок з реалізації виробниками та/або імпортерами тютюну</c:v>
                  </c:pt>
                  <c:pt idx="3">
                    <c:v>Акцизний податок з реалізації суб'єктами господарювання роздрібної торгівлі алкоголю</c:v>
                  </c:pt>
                </c:lvl>
              </c:multiLvlStrCache>
            </c:multiLvlStrRef>
          </c:cat>
          <c:val>
            <c:numRef>
              <c:f>Лист1!$C$1:$C$5</c:f>
              <c:numCache>
                <c:formatCode>0.00%</c:formatCode>
                <c:ptCount val="5"/>
                <c:pt idx="0">
                  <c:v>6.3E-2</c:v>
                </c:pt>
                <c:pt idx="1">
                  <c:v>0.2273</c:v>
                </c:pt>
                <c:pt idx="2">
                  <c:v>0.37619999999999998</c:v>
                </c:pt>
                <c:pt idx="3">
                  <c:v>0.34499999999999997</c:v>
                </c:pt>
              </c:numCache>
            </c:numRef>
          </c:val>
        </c:ser>
        <c:dLbls>
          <c:showLegendKey val="0"/>
          <c:showVal val="0"/>
          <c:showCatName val="0"/>
          <c:showSerName val="0"/>
          <c:showPercent val="1"/>
          <c:showBubbleSize val="0"/>
          <c:showLeaderLines val="0"/>
        </c:dLbls>
        <c:firstSliceAng val="36"/>
        <c:holeSize val="0"/>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3462236818387612E-2"/>
          <c:y val="1.4257579871481582E-2"/>
          <c:w val="0.89113895747709782"/>
          <c:h val="0.59518051587747045"/>
        </c:manualLayout>
      </c:layout>
      <c:bar3DChart>
        <c:barDir val="col"/>
        <c:grouping val="stacked"/>
        <c:varyColors val="0"/>
        <c:ser>
          <c:idx val="0"/>
          <c:order val="0"/>
          <c:tx>
            <c:strRef>
              <c:f>Лист1!$B$1</c:f>
              <c:strCache>
                <c:ptCount val="1"/>
                <c:pt idx="0">
                  <c:v>Акцизний податок з реалізації суб'єктами господарювання роздрібної торгівлі підакцизних товарів, та тютюнових виробів</c:v>
                </c:pt>
              </c:strCache>
            </c:strRef>
          </c:tx>
          <c:spPr>
            <a:gradFill rotWithShape="1">
              <a:gsLst>
                <a:gs pos="0">
                  <a:schemeClr val="accent6">
                    <a:shade val="15000"/>
                    <a:satMod val="180000"/>
                  </a:schemeClr>
                </a:gs>
                <a:gs pos="50000">
                  <a:schemeClr val="accent6">
                    <a:shade val="45000"/>
                    <a:satMod val="170000"/>
                  </a:schemeClr>
                </a:gs>
                <a:gs pos="70000">
                  <a:schemeClr val="accent6">
                    <a:tint val="99000"/>
                    <a:shade val="65000"/>
                    <a:satMod val="155000"/>
                  </a:schemeClr>
                </a:gs>
                <a:gs pos="100000">
                  <a:schemeClr val="accent6">
                    <a:tint val="95500"/>
                    <a:shade val="100000"/>
                    <a:satMod val="155000"/>
                  </a:schemeClr>
                </a:gs>
              </a:gsLst>
              <a:lin ang="16200000" scaled="0"/>
            </a:gradFill>
            <a:ln>
              <a:noFill/>
            </a:ln>
            <a:effectLst>
              <a:outerShdw blurRad="63500" dist="38100" dir="5400000" rotWithShape="0">
                <a:srgbClr val="000000">
                  <a:alpha val="45000"/>
                </a:srgbClr>
              </a:outerShdw>
            </a:effectLst>
            <a:scene3d>
              <a:camera prst="orthographicFront">
                <a:rot lat="0" lon="0" rev="0"/>
              </a:camera>
              <a:lightRig rig="glow" dir="t">
                <a:rot lat="0" lon="0" rev="6360000"/>
              </a:lightRig>
            </a:scene3d>
            <a:sp3d prstMaterial="flat">
              <a:bevelT w="95250" h="101600"/>
              <a:contourClr>
                <a:scrgbClr r="0" g="0" b="0">
                  <a:satMod val="300000"/>
                </a:scrgbClr>
              </a:contourClr>
            </a:sp3d>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Лист1!$A$2:$A$6</c:f>
              <c:strCache>
                <c:ptCount val="5"/>
                <c:pt idx="0">
                  <c:v>2020 рік</c:v>
                </c:pt>
                <c:pt idx="1">
                  <c:v>2021 рік</c:v>
                </c:pt>
                <c:pt idx="2">
                  <c:v>2022 рік</c:v>
                </c:pt>
                <c:pt idx="3">
                  <c:v>2023 рік (очікувані)</c:v>
                </c:pt>
                <c:pt idx="4">
                  <c:v>2024 рік (проєкт)</c:v>
                </c:pt>
              </c:strCache>
            </c:strRef>
          </c:cat>
          <c:val>
            <c:numRef>
              <c:f>Лист1!$B$2:$B$6</c:f>
              <c:numCache>
                <c:formatCode>#,##0.00</c:formatCode>
                <c:ptCount val="5"/>
                <c:pt idx="0">
                  <c:v>16.399999999999999</c:v>
                </c:pt>
                <c:pt idx="1">
                  <c:v>18.64</c:v>
                </c:pt>
                <c:pt idx="2">
                  <c:v>19.72</c:v>
                </c:pt>
                <c:pt idx="3" formatCode="0.00">
                  <c:v>26.78</c:v>
                </c:pt>
                <c:pt idx="4" formatCode="0.00">
                  <c:v>29.68</c:v>
                </c:pt>
              </c:numCache>
            </c:numRef>
          </c:val>
          <c:extLst xmlns:c16r2="http://schemas.microsoft.com/office/drawing/2015/06/chart">
            <c:ext xmlns:c16="http://schemas.microsoft.com/office/drawing/2014/chart" uri="{C3380CC4-5D6E-409C-BE32-E72D297353CC}">
              <c16:uniqueId val="{00000000-12DB-4AF5-9DE0-7403A03D9063}"/>
            </c:ext>
          </c:extLst>
        </c:ser>
        <c:ser>
          <c:idx val="1"/>
          <c:order val="1"/>
          <c:tx>
            <c:strRef>
              <c:f>Лист1!$C$1</c:f>
              <c:strCache>
                <c:ptCount val="1"/>
                <c:pt idx="0">
                  <c:v>Акцизний податок з вироблених в Україні та ввезених на територію України підакцизних товарів - пальне</c:v>
                </c:pt>
              </c:strCache>
            </c:strRef>
          </c:tx>
          <c:spPr>
            <a:gradFill rotWithShape="1">
              <a:gsLst>
                <a:gs pos="0">
                  <a:schemeClr val="accent5">
                    <a:shade val="15000"/>
                    <a:satMod val="180000"/>
                  </a:schemeClr>
                </a:gs>
                <a:gs pos="50000">
                  <a:schemeClr val="accent5">
                    <a:shade val="45000"/>
                    <a:satMod val="170000"/>
                  </a:schemeClr>
                </a:gs>
                <a:gs pos="70000">
                  <a:schemeClr val="accent5">
                    <a:tint val="99000"/>
                    <a:shade val="65000"/>
                    <a:satMod val="155000"/>
                  </a:schemeClr>
                </a:gs>
                <a:gs pos="100000">
                  <a:schemeClr val="accent5">
                    <a:tint val="95500"/>
                    <a:shade val="100000"/>
                    <a:satMod val="155000"/>
                  </a:schemeClr>
                </a:gs>
              </a:gsLst>
              <a:lin ang="16200000" scaled="0"/>
            </a:gradFill>
            <a:ln>
              <a:noFill/>
            </a:ln>
            <a:effectLst>
              <a:outerShdw blurRad="63500" dist="38100" dir="5400000" rotWithShape="0">
                <a:srgbClr val="000000">
                  <a:alpha val="45000"/>
                </a:srgbClr>
              </a:outerShdw>
            </a:effectLst>
            <a:scene3d>
              <a:camera prst="orthographicFront">
                <a:rot lat="0" lon="0" rev="0"/>
              </a:camera>
              <a:lightRig rig="glow" dir="t">
                <a:rot lat="0" lon="0" rev="6360000"/>
              </a:lightRig>
            </a:scene3d>
            <a:sp3d prstMaterial="flat">
              <a:bevelT w="95250" h="101600"/>
              <a:contourClr>
                <a:scrgbClr r="0" g="0" b="0">
                  <a:satMod val="300000"/>
                </a:scrgbClr>
              </a:contourClr>
            </a:sp3d>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Лист1!$A$2:$A$6</c:f>
              <c:strCache>
                <c:ptCount val="5"/>
                <c:pt idx="0">
                  <c:v>2020 рік</c:v>
                </c:pt>
                <c:pt idx="1">
                  <c:v>2021 рік</c:v>
                </c:pt>
                <c:pt idx="2">
                  <c:v>2022 рік</c:v>
                </c:pt>
                <c:pt idx="3">
                  <c:v>2023 рік (очікувані)</c:v>
                </c:pt>
                <c:pt idx="4">
                  <c:v>2024 рік (проєкт)</c:v>
                </c:pt>
              </c:strCache>
            </c:strRef>
          </c:cat>
          <c:val>
            <c:numRef>
              <c:f>Лист1!$C$2:$C$6</c:f>
              <c:numCache>
                <c:formatCode>#,##0.00</c:formatCode>
                <c:ptCount val="5"/>
                <c:pt idx="0">
                  <c:v>16.12</c:v>
                </c:pt>
                <c:pt idx="1">
                  <c:v>21.72</c:v>
                </c:pt>
                <c:pt idx="2">
                  <c:v>5.41</c:v>
                </c:pt>
                <c:pt idx="3" formatCode="0.00">
                  <c:v>11.33</c:v>
                </c:pt>
                <c:pt idx="4" formatCode="0.00">
                  <c:v>11.5</c:v>
                </c:pt>
              </c:numCache>
            </c:numRef>
          </c:val>
          <c:extLst xmlns:c16r2="http://schemas.microsoft.com/office/drawing/2015/06/chart">
            <c:ext xmlns:c16="http://schemas.microsoft.com/office/drawing/2014/chart" uri="{C3380CC4-5D6E-409C-BE32-E72D297353CC}">
              <c16:uniqueId val="{00000001-12DB-4AF5-9DE0-7403A03D9063}"/>
            </c:ext>
          </c:extLst>
        </c:ser>
        <c:dLbls>
          <c:showLegendKey val="0"/>
          <c:showVal val="1"/>
          <c:showCatName val="0"/>
          <c:showSerName val="0"/>
          <c:showPercent val="0"/>
          <c:showBubbleSize val="0"/>
        </c:dLbls>
        <c:gapWidth val="143"/>
        <c:shape val="box"/>
        <c:axId val="677914216"/>
        <c:axId val="677915000"/>
        <c:axId val="0"/>
      </c:bar3DChart>
      <c:catAx>
        <c:axId val="677914216"/>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677915000"/>
        <c:crosses val="autoZero"/>
        <c:auto val="1"/>
        <c:lblAlgn val="ctr"/>
        <c:lblOffset val="100"/>
        <c:noMultiLvlLbl val="0"/>
      </c:catAx>
      <c:valAx>
        <c:axId val="677915000"/>
        <c:scaling>
          <c:orientation val="minMax"/>
          <c:max val="45"/>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677914216"/>
        <c:crosses val="autoZero"/>
        <c:crossBetween val="between"/>
      </c:valAx>
      <c:spPr>
        <a:noFill/>
        <a:ln>
          <a:noFill/>
        </a:ln>
        <a:effectLst/>
      </c:spPr>
    </c:plotArea>
    <c:legend>
      <c:legendPos val="b"/>
      <c:layout>
        <c:manualLayout>
          <c:xMode val="edge"/>
          <c:yMode val="edge"/>
          <c:x val="6.4638081377268605E-2"/>
          <c:y val="0.73319732691254735"/>
          <c:w val="0.87519047556241403"/>
          <c:h val="0.1193451067682542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600" b="1" i="0" u="none" strike="noStrike" kern="1200" baseline="0">
                <a:solidFill>
                  <a:schemeClr val="accent4">
                    <a:lumMod val="50000"/>
                  </a:schemeClr>
                </a:solidFill>
                <a:latin typeface="+mn-lt"/>
                <a:ea typeface="+mn-ea"/>
                <a:cs typeface="+mn-cs"/>
              </a:defRPr>
            </a:pPr>
            <a:r>
              <a:rPr lang="ru-RU" sz="1050" i="1">
                <a:solidFill>
                  <a:schemeClr val="tx1"/>
                </a:solidFill>
              </a:rPr>
              <a:t>Надходження плати за землю до бюджету Чорноморської міської територіальної громади за 2020-2024 роки (млн. грн)</a:t>
            </a:r>
          </a:p>
        </c:rich>
      </c:tx>
      <c:layout>
        <c:manualLayout>
          <c:xMode val="edge"/>
          <c:yMode val="edge"/>
          <c:x val="0.15030260468598344"/>
          <c:y val="3.8647342995169081E-3"/>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accent4">
                  <a:lumMod val="50000"/>
                </a:schemeClr>
              </a:solidFill>
              <a:latin typeface="+mn-lt"/>
              <a:ea typeface="+mn-ea"/>
              <a:cs typeface="+mn-cs"/>
            </a:defRPr>
          </a:pPr>
          <a:endParaRPr lang="uk-UA"/>
        </a:p>
      </c:txPr>
    </c:title>
    <c:autoTitleDeleted val="0"/>
    <c:view3D>
      <c:rotX val="15"/>
      <c:rotY val="20"/>
      <c:rAngAx val="0"/>
    </c:view3D>
    <c:floor>
      <c:thickness val="0"/>
      <c:spPr>
        <a:noFill/>
        <a:ln>
          <a:noFill/>
        </a:ln>
        <a:effectLst/>
        <a:sp3d/>
      </c:spPr>
    </c:floor>
    <c:sideWall>
      <c:thickness val="0"/>
      <c:spPr>
        <a:noFill/>
        <a:ln>
          <a:noFill/>
        </a:ln>
        <a:effectLst>
          <a:outerShdw blurRad="50800" dist="50800" dir="5400000" algn="ctr" rotWithShape="0">
            <a:srgbClr val="000000">
              <a:alpha val="99000"/>
            </a:srgbClr>
          </a:outerShdw>
        </a:effectLst>
        <a:sp3d/>
      </c:spPr>
    </c:sideWall>
    <c:backWall>
      <c:thickness val="0"/>
      <c:spPr>
        <a:noFill/>
        <a:ln>
          <a:noFill/>
        </a:ln>
        <a:effectLst>
          <a:outerShdw blurRad="647700" dist="977900" dir="9540000" sx="165000" sy="165000" algn="ctr" rotWithShape="0">
            <a:srgbClr val="000000">
              <a:alpha val="65000"/>
            </a:srgbClr>
          </a:outerShdw>
        </a:effectLst>
        <a:sp3d/>
      </c:spPr>
    </c:backWall>
    <c:plotArea>
      <c:layout>
        <c:manualLayout>
          <c:layoutTarget val="inner"/>
          <c:xMode val="edge"/>
          <c:yMode val="edge"/>
          <c:x val="8.8695512006408628E-2"/>
          <c:y val="8.7557132494953116E-2"/>
          <c:w val="0.89052501167686371"/>
          <c:h val="0.79468492525390844"/>
        </c:manualLayout>
      </c:layout>
      <c:bar3DChart>
        <c:barDir val="col"/>
        <c:grouping val="stacked"/>
        <c:varyColors val="0"/>
        <c:ser>
          <c:idx val="0"/>
          <c:order val="0"/>
          <c:tx>
            <c:strRef>
              <c:f>Лист1!$B$2</c:f>
              <c:strCache>
                <c:ptCount val="1"/>
                <c:pt idx="0">
                  <c:v>Земельний податок з юридичних та фізичних осіб</c:v>
                </c:pt>
              </c:strCache>
            </c:strRef>
          </c:tx>
          <c:spPr>
            <a:solidFill>
              <a:schemeClr val="accent4">
                <a:lumMod val="60000"/>
                <a:lumOff val="40000"/>
              </a:schemeClr>
            </a:solidFill>
            <a:ln>
              <a:noFill/>
            </a:ln>
            <a:effectLst>
              <a:outerShdw blurRad="63500" dist="38100" dir="5400000" rotWithShape="0">
                <a:schemeClr val="accent4">
                  <a:lumMod val="60000"/>
                  <a:lumOff val="40000"/>
                  <a:alpha val="45000"/>
                </a:schemeClr>
              </a:outerShdw>
            </a:effectLst>
            <a:scene3d>
              <a:camera prst="orthographicFront">
                <a:rot lat="0" lon="0" rev="0"/>
              </a:camera>
              <a:lightRig rig="glow" dir="t">
                <a:rot lat="0" lon="0" rev="6360000"/>
              </a:lightRig>
            </a:scene3d>
            <a:sp3d prstMaterial="flat">
              <a:bevelT w="95250" h="101600"/>
              <a:contourClr>
                <a:scrgbClr r="0" g="0" b="0">
                  <a:satMod val="300000"/>
                </a:scrgbClr>
              </a:contourClr>
            </a:sp3d>
          </c:spPr>
          <c:invertIfNegative val="0"/>
          <c:dLbls>
            <c:dLbl>
              <c:idx val="0"/>
              <c:layout>
                <c:manualLayout>
                  <c:x val="4.1356492969396195E-3"/>
                  <c:y val="-1.692753167230358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497580372537658E-3"/>
                  <c:y val="-4.231728805213655E-3"/>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1356492969396195E-3"/>
                  <c:y val="-1.0619579877709447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0678246484697339E-3"/>
                  <c:y val="0"/>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
                  <c:y val="-1.6927531672303448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2.067824648469658E-3"/>
                  <c:y val="-2.5391443161724651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a:glow rad="127000">
                  <a:schemeClr val="bg1"/>
                </a:glow>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Лист1!$A$3:$A$7</c:f>
              <c:strCache>
                <c:ptCount val="5"/>
                <c:pt idx="0">
                  <c:v>2020</c:v>
                </c:pt>
                <c:pt idx="1">
                  <c:v>2021</c:v>
                </c:pt>
                <c:pt idx="2">
                  <c:v>2022</c:v>
                </c:pt>
                <c:pt idx="3">
                  <c:v>2023 очікування</c:v>
                </c:pt>
                <c:pt idx="4">
                  <c:v>2024 проєкт</c:v>
                </c:pt>
              </c:strCache>
            </c:strRef>
          </c:cat>
          <c:val>
            <c:numRef>
              <c:f>Лист1!$B$3:$B$7</c:f>
              <c:numCache>
                <c:formatCode>0.0</c:formatCode>
                <c:ptCount val="5"/>
                <c:pt idx="0">
                  <c:v>71.33</c:v>
                </c:pt>
                <c:pt idx="1">
                  <c:v>77.83</c:v>
                </c:pt>
                <c:pt idx="2">
                  <c:v>46.65</c:v>
                </c:pt>
                <c:pt idx="3">
                  <c:v>51.52</c:v>
                </c:pt>
                <c:pt idx="4">
                  <c:v>60</c:v>
                </c:pt>
              </c:numCache>
            </c:numRef>
          </c:val>
          <c:extLst xmlns:c16r2="http://schemas.microsoft.com/office/drawing/2015/06/chart">
            <c:ext xmlns:c16="http://schemas.microsoft.com/office/drawing/2014/chart" uri="{C3380CC4-5D6E-409C-BE32-E72D297353CC}">
              <c16:uniqueId val="{00000000-B6C7-44DC-BFE7-35BF7D53C356}"/>
            </c:ext>
          </c:extLst>
        </c:ser>
        <c:ser>
          <c:idx val="1"/>
          <c:order val="1"/>
          <c:tx>
            <c:strRef>
              <c:f>Лист1!$C$2</c:f>
              <c:strCache>
                <c:ptCount val="1"/>
                <c:pt idx="0">
                  <c:v>Орендна плата з юридичних та фізичних осіб</c:v>
                </c:pt>
              </c:strCache>
            </c:strRef>
          </c:tx>
          <c:spPr>
            <a:solidFill>
              <a:schemeClr val="accent3">
                <a:lumMod val="60000"/>
                <a:lumOff val="40000"/>
              </a:schemeClr>
            </a:solidFill>
            <a:ln>
              <a:solidFill>
                <a:schemeClr val="bg1"/>
              </a:solidFill>
            </a:ln>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bg1"/>
              </a:contourClr>
            </a:sp3d>
          </c:spPr>
          <c:invertIfNegative val="0"/>
          <c:dLbls>
            <c:dLbl>
              <c:idx val="0"/>
              <c:layout>
                <c:manualLayout>
                  <c:x val="6.2034739454094297E-3"/>
                  <c:y val="2.4326717761833601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8.271298593879239E-3"/>
                  <c:y val="1.216350453418621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8.271298593879239E-3"/>
                  <c:y val="1.0566562087619181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4.1356492969396195E-3"/>
                  <c:y val="2.1026505981979779E-3"/>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4.1356492969396195E-3"/>
                  <c:y val="-4.2851191880704824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2.0678246484698098E-3"/>
                  <c:y val="-5.927330670791573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Лист1!$A$3:$A$7</c:f>
              <c:strCache>
                <c:ptCount val="5"/>
                <c:pt idx="0">
                  <c:v>2020</c:v>
                </c:pt>
                <c:pt idx="1">
                  <c:v>2021</c:v>
                </c:pt>
                <c:pt idx="2">
                  <c:v>2022</c:v>
                </c:pt>
                <c:pt idx="3">
                  <c:v>2023 очікування</c:v>
                </c:pt>
                <c:pt idx="4">
                  <c:v>2024 проєкт</c:v>
                </c:pt>
              </c:strCache>
            </c:strRef>
          </c:cat>
          <c:val>
            <c:numRef>
              <c:f>Лист1!$C$3:$C$7</c:f>
              <c:numCache>
                <c:formatCode>0.0</c:formatCode>
                <c:ptCount val="5"/>
                <c:pt idx="0">
                  <c:v>93.2</c:v>
                </c:pt>
                <c:pt idx="1">
                  <c:v>99.92</c:v>
                </c:pt>
                <c:pt idx="2">
                  <c:v>75</c:v>
                </c:pt>
                <c:pt idx="3">
                  <c:v>102.7</c:v>
                </c:pt>
                <c:pt idx="4">
                  <c:v>142</c:v>
                </c:pt>
              </c:numCache>
            </c:numRef>
          </c:val>
          <c:extLst xmlns:c16r2="http://schemas.microsoft.com/office/drawing/2015/06/chart">
            <c:ext xmlns:c16="http://schemas.microsoft.com/office/drawing/2014/chart" uri="{C3380CC4-5D6E-409C-BE32-E72D297353CC}">
              <c16:uniqueId val="{00000001-B6C7-44DC-BFE7-35BF7D53C356}"/>
            </c:ext>
          </c:extLst>
        </c:ser>
        <c:dLbls>
          <c:showLegendKey val="0"/>
          <c:showVal val="1"/>
          <c:showCatName val="0"/>
          <c:showSerName val="0"/>
          <c:showPercent val="0"/>
          <c:showBubbleSize val="0"/>
        </c:dLbls>
        <c:gapWidth val="136"/>
        <c:gapDepth val="500"/>
        <c:shape val="pyramid"/>
        <c:axId val="680511728"/>
        <c:axId val="670747352"/>
        <c:axId val="0"/>
      </c:bar3DChart>
      <c:catAx>
        <c:axId val="680511728"/>
        <c:scaling>
          <c:orientation val="minMax"/>
        </c:scaling>
        <c:delete val="0"/>
        <c:axPos val="b"/>
        <c:numFmt formatCode="General" sourceLinked="1"/>
        <c:majorTickMark val="out"/>
        <c:minorTickMark val="none"/>
        <c:tickLblPos val="nextTo"/>
        <c:spPr>
          <a:noFill/>
          <a:ln w="12700" cap="flat" cmpd="sng" algn="ctr">
            <a:solidFill>
              <a:schemeClr val="tx1">
                <a:lumMod val="15000"/>
                <a:lumOff val="85000"/>
              </a:schemeClr>
            </a:solidFill>
            <a:round/>
          </a:ln>
          <a:effectLst/>
        </c:spPr>
        <c:txPr>
          <a:bodyPr rot="0" spcFirstLastPara="1" vertOverflow="ellipsis"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mn-cs"/>
              </a:defRPr>
            </a:pPr>
            <a:endParaRPr lang="uk-UA"/>
          </a:p>
        </c:txPr>
        <c:crossAx val="670747352"/>
        <c:crosses val="autoZero"/>
        <c:auto val="1"/>
        <c:lblAlgn val="ctr"/>
        <c:lblOffset val="100"/>
        <c:noMultiLvlLbl val="0"/>
      </c:catAx>
      <c:valAx>
        <c:axId val="670747352"/>
        <c:scaling>
          <c:orientation val="minMax"/>
          <c:max val="220"/>
          <c:min val="0"/>
        </c:scaling>
        <c:delete val="0"/>
        <c:axPos val="l"/>
        <c:majorGridlines>
          <c:spPr>
            <a:ln w="9525" cap="flat" cmpd="sng" algn="ctr">
              <a:solidFill>
                <a:schemeClr val="tx1">
                  <a:lumMod val="15000"/>
                  <a:lumOff val="85000"/>
                </a:schemeClr>
              </a:solidFill>
              <a:round/>
            </a:ln>
            <a:effectLst>
              <a:outerShdw blurRad="50800" dist="38100" dir="5400000" algn="t" rotWithShape="0">
                <a:prstClr val="black">
                  <a:alpha val="40000"/>
                </a:prstClr>
              </a:outerShdw>
            </a:effectLst>
          </c:spPr>
        </c:majorGridlines>
        <c:numFmt formatCode="0.0" sourceLinked="1"/>
        <c:majorTickMark val="cross"/>
        <c:minorTickMark val="out"/>
        <c:tickLblPos val="low"/>
        <c:spPr>
          <a:noFill/>
          <a:ln>
            <a:solidFill>
              <a:schemeClr val="bg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uk-UA"/>
          </a:p>
        </c:txPr>
        <c:crossAx val="680511728"/>
        <c:crosses val="autoZero"/>
        <c:crossBetween val="between"/>
        <c:majorUnit val="20"/>
        <c:minorUnit val="1"/>
      </c:valAx>
      <c:spPr>
        <a:noFill/>
        <a:ln>
          <a:noFill/>
        </a:ln>
        <a:effectLst>
          <a:innerShdw blurRad="63500" dist="50800" dir="18900000">
            <a:prstClr val="black">
              <a:alpha val="50000"/>
            </a:prstClr>
          </a:innerShdw>
        </a:effectLst>
      </c:spPr>
    </c:plotArea>
    <c:legend>
      <c:legendPos val="b"/>
      <c:layout>
        <c:manualLayout>
          <c:xMode val="edge"/>
          <c:yMode val="edge"/>
          <c:x val="1.6850979855805869E-2"/>
          <c:y val="0.9556519895566622"/>
          <c:w val="0.9"/>
          <c:h val="4.4348414819352817E-2"/>
        </c:manualLayout>
      </c:layout>
      <c:overlay val="0"/>
      <c:spPr>
        <a:noFill/>
        <a:ln>
          <a:noFill/>
        </a:ln>
        <a:effectLst>
          <a:outerShdw blurRad="50800" dist="50800" dir="5400000" sx="65000" sy="65000" algn="ctr" rotWithShape="0">
            <a:schemeClr val="tx1">
              <a:alpha val="83000"/>
            </a:schemeClr>
          </a:outerShdw>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effectLst/>
              <a:latin typeface="Times New Roman" panose="02020603050405020304" pitchFamily="18" charset="0"/>
              <a:ea typeface="+mn-ea"/>
              <a:cs typeface="+mn-cs"/>
            </a:defRPr>
          </a:pPr>
          <a:endParaRPr lang="uk-UA"/>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rot="0"/>
    <a:lstStyle/>
    <a:p>
      <a:pPr>
        <a:defRPr/>
      </a:pPr>
      <a:endParaRPr lang="uk-UA"/>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0"/>
      <c:rotY val="0"/>
      <c:depthPercent val="100"/>
      <c:rAngAx val="0"/>
    </c:view3D>
    <c:floor>
      <c:thickness val="0"/>
      <c:spPr>
        <a:solidFill>
          <a:schemeClr val="lt1"/>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Єдиний податок 
з юридичних осіб</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Lbls>
            <c:dLbl>
              <c:idx val="0"/>
              <c:layout>
                <c:manualLayout>
                  <c:x val="-3.5322846561810302E-4"/>
                  <c:y val="-7.9617445079639016E-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415781396691284E-4"/>
                  <c:y val="-1.282062344946616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4.7400366165990145E-2"/>
                      <c:h val="7.2991047351957716E-2"/>
                    </c:manualLayout>
                  </c15:layout>
                </c:ext>
              </c:extLst>
            </c:dLbl>
            <c:dLbl>
              <c:idx val="2"/>
              <c:layout>
                <c:manualLayout>
                  <c:x val="-4.6770853459553634E-3"/>
                  <c:y val="-1.7386833495128179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6035065798377987E-3"/>
                  <c:y val="-9.1324200913242004E-3"/>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4.6770853459553634E-3"/>
                  <c:y val="-1.3113292345306152E-2"/>
                </c:manualLayout>
              </c:layout>
              <c:tx>
                <c:rich>
                  <a:bodyPr/>
                  <a:lstStyle/>
                  <a:p>
                    <a:r>
                      <a:rPr lang="en-US"/>
                      <a:t>29,7</a:t>
                    </a:r>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2020</c:v>
                </c:pt>
                <c:pt idx="1">
                  <c:v>2021</c:v>
                </c:pt>
                <c:pt idx="2">
                  <c:v>2022</c:v>
                </c:pt>
                <c:pt idx="3">
                  <c:v>2023 (очікуваний факт)</c:v>
                </c:pt>
                <c:pt idx="4">
                  <c:v>2024(прогноз)</c:v>
                </c:pt>
              </c:strCache>
            </c:strRef>
          </c:cat>
          <c:val>
            <c:numRef>
              <c:f>Лист1!$B$2:$B$6</c:f>
              <c:numCache>
                <c:formatCode>0.0</c:formatCode>
                <c:ptCount val="5"/>
                <c:pt idx="0">
                  <c:v>12.4</c:v>
                </c:pt>
                <c:pt idx="1">
                  <c:v>13</c:v>
                </c:pt>
                <c:pt idx="2">
                  <c:v>14.4</c:v>
                </c:pt>
                <c:pt idx="3">
                  <c:v>29.1</c:v>
                </c:pt>
                <c:pt idx="4">
                  <c:v>29.7</c:v>
                </c:pt>
              </c:numCache>
            </c:numRef>
          </c:val>
        </c:ser>
        <c:ser>
          <c:idx val="1"/>
          <c:order val="1"/>
          <c:tx>
            <c:strRef>
              <c:f>Лист1!$C$1</c:f>
              <c:strCache>
                <c:ptCount val="1"/>
                <c:pt idx="0">
                  <c:v>Єдиний податок 
 з фізичних осіб</c:v>
                </c:pt>
              </c:strCache>
            </c:strRef>
          </c:tx>
          <c:spPr>
            <a:pattFill prst="ltDnDiag">
              <a:fgClr>
                <a:schemeClr val="accent3"/>
              </a:fgClr>
              <a:bgClr>
                <a:schemeClr val="accent3">
                  <a:lumMod val="20000"/>
                  <a:lumOff val="80000"/>
                </a:schemeClr>
              </a:bgClr>
            </a:pattFill>
            <a:ln>
              <a:solidFill>
                <a:schemeClr val="accent3"/>
              </a:solidFill>
            </a:ln>
            <a:effectLst/>
            <a:sp3d>
              <a:contourClr>
                <a:schemeClr val="accent3"/>
              </a:contourClr>
            </a:sp3d>
          </c:spPr>
          <c:invertIfNegative val="0"/>
          <c:dLbls>
            <c:dLbl>
              <c:idx val="0"/>
              <c:layout>
                <c:manualLayout>
                  <c:x val="-3.5322846561814265E-4"/>
                  <c:y val="-3.6882033581419182E-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6918562538887445E-3"/>
                  <c:y val="-3.9808722539819716E-3"/>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5.2992781372007453E-4"/>
                  <c:y val="-3.6882033581418761E-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9558575067858166E-3"/>
                  <c:y val="5.8533779168014962E-4"/>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0279714387123077E-2"/>
                  <c:y val="-1.3113292345306152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en-US"/>
                      <a:t>55,3</a:t>
                    </a:r>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4.7400366165990145E-2"/>
                      <c:h val="5.4726207169309316E-2"/>
                    </c:manualLayout>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2020</c:v>
                </c:pt>
                <c:pt idx="1">
                  <c:v>2021</c:v>
                </c:pt>
                <c:pt idx="2">
                  <c:v>2022</c:v>
                </c:pt>
                <c:pt idx="3">
                  <c:v>2023 (очікуваний факт)</c:v>
                </c:pt>
                <c:pt idx="4">
                  <c:v>2024(прогноз)</c:v>
                </c:pt>
              </c:strCache>
            </c:strRef>
          </c:cat>
          <c:val>
            <c:numRef>
              <c:f>Лист1!$C$2:$C$6</c:f>
              <c:numCache>
                <c:formatCode>0.0</c:formatCode>
                <c:ptCount val="5"/>
                <c:pt idx="0">
                  <c:v>45.5</c:v>
                </c:pt>
                <c:pt idx="1">
                  <c:v>56.2</c:v>
                </c:pt>
                <c:pt idx="2">
                  <c:v>50.2</c:v>
                </c:pt>
                <c:pt idx="3">
                  <c:v>54.1</c:v>
                </c:pt>
                <c:pt idx="4">
                  <c:v>55.3</c:v>
                </c:pt>
              </c:numCache>
            </c:numRef>
          </c:val>
        </c:ser>
        <c:dLbls>
          <c:showLegendKey val="0"/>
          <c:showVal val="0"/>
          <c:showCatName val="0"/>
          <c:showSerName val="0"/>
          <c:showPercent val="0"/>
          <c:showBubbleSize val="0"/>
        </c:dLbls>
        <c:gapWidth val="160"/>
        <c:gapDepth val="0"/>
        <c:shape val="cylinder"/>
        <c:axId val="499842848"/>
        <c:axId val="499841672"/>
        <c:axId val="0"/>
      </c:bar3DChart>
      <c:catAx>
        <c:axId val="49984284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99841672"/>
        <c:crosses val="autoZero"/>
        <c:auto val="1"/>
        <c:lblAlgn val="ctr"/>
        <c:lblOffset val="100"/>
        <c:noMultiLvlLbl val="0"/>
      </c:catAx>
      <c:valAx>
        <c:axId val="49984167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9984284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latin typeface="Times New Roman" panose="02020603050405020304" pitchFamily="18" charset="0"/>
                <a:cs typeface="Times New Roman" panose="02020603050405020304" pitchFamily="18" charset="0"/>
              </a:rPr>
              <a:t>Структура надходжень плати за надання ад</a:t>
            </a:r>
            <a:r>
              <a:rPr lang="uk-UA" sz="1200">
                <a:latin typeface="Times New Roman" panose="02020603050405020304" pitchFamily="18" charset="0"/>
                <a:cs typeface="Times New Roman" panose="02020603050405020304" pitchFamily="18" charset="0"/>
              </a:rPr>
              <a:t>міністративних</a:t>
            </a:r>
            <a:r>
              <a:rPr lang="uk-UA" sz="1200" baseline="0">
                <a:latin typeface="Times New Roman" panose="02020603050405020304" pitchFamily="18" charset="0"/>
                <a:cs typeface="Times New Roman" panose="02020603050405020304" pitchFamily="18" charset="0"/>
              </a:rPr>
              <a:t> послуг до бюджету Чорноморської міської територіальної громади на                              2024 рік</a:t>
            </a:r>
            <a:endParaRPr lang="ru-RU" sz="1200">
              <a:latin typeface="Times New Roman" panose="02020603050405020304" pitchFamily="18" charset="0"/>
              <a:cs typeface="Times New Roman" panose="02020603050405020304" pitchFamily="18" charset="0"/>
            </a:endParaRPr>
          </a:p>
        </c:rich>
      </c:tx>
      <c:layout>
        <c:manualLayout>
          <c:xMode val="edge"/>
          <c:yMode val="edge"/>
          <c:x val="0.10705555001827301"/>
          <c:y val="6.216006216006216E-3"/>
        </c:manualLayout>
      </c:layout>
      <c:overlay val="0"/>
    </c:title>
    <c:autoTitleDeleted val="0"/>
    <c:view3D>
      <c:rotX val="30"/>
      <c:rotY val="200"/>
      <c:rAngAx val="0"/>
    </c:view3D>
    <c:floor>
      <c:thickness val="0"/>
    </c:floor>
    <c:sideWall>
      <c:thickness val="0"/>
    </c:sideWall>
    <c:backWall>
      <c:thickness val="0"/>
    </c:backWall>
    <c:plotArea>
      <c:layout>
        <c:manualLayout>
          <c:layoutTarget val="inner"/>
          <c:xMode val="edge"/>
          <c:yMode val="edge"/>
          <c:x val="8.5706667995614744E-2"/>
          <c:y val="0.26576953922426388"/>
          <c:w val="0.82858666400877101"/>
          <c:h val="0.61799795858855222"/>
        </c:manualLayout>
      </c:layout>
      <c:pie3DChart>
        <c:varyColors val="1"/>
        <c:ser>
          <c:idx val="0"/>
          <c:order val="0"/>
          <c:tx>
            <c:strRef>
              <c:f>власні!$C$6</c:f>
              <c:strCache>
                <c:ptCount val="1"/>
              </c:strCache>
            </c:strRef>
          </c:tx>
          <c:explosion val="25"/>
          <c:dLbls>
            <c:dLbl>
              <c:idx val="0"/>
              <c:layout>
                <c:manualLayout>
                  <c:x val="-0.12317552078142681"/>
                  <c:y val="-0.43349518810148735"/>
                </c:manualLayout>
              </c:layout>
              <c:tx>
                <c:rich>
                  <a:bodyPr/>
                  <a:lstStyle/>
                  <a:p>
                    <a:r>
                      <a:rPr lang="uk-UA" b="1">
                        <a:latin typeface="Times New Roman" pitchFamily="18" charset="0"/>
                        <a:cs typeface="Times New Roman" pitchFamily="18" charset="0"/>
                      </a:rPr>
                      <a:t>А</a:t>
                    </a:r>
                    <a:r>
                      <a:rPr lang="uk-UA"/>
                      <a:t>дміністративний збір за проведення державної реєстрації (22010300)
200,0
2,7%</a:t>
                    </a:r>
                  </a:p>
                </c:rich>
              </c:tx>
              <c:showLegendKey val="0"/>
              <c:showVal val="1"/>
              <c:showCatName val="1"/>
              <c:showSerName val="0"/>
              <c:showPercent val="1"/>
              <c:showBubbleSize val="0"/>
              <c:separator>
</c:separator>
              <c:extLst>
                <c:ext xmlns:c15="http://schemas.microsoft.com/office/drawing/2012/chart" uri="{CE6537A1-D6FC-4f65-9D91-7224C49458BB}"/>
              </c:extLst>
            </c:dLbl>
            <c:dLbl>
              <c:idx val="1"/>
              <c:layout>
                <c:manualLayout>
                  <c:x val="0.21632612379148794"/>
                  <c:y val="0.14884618443673556"/>
                </c:manualLayout>
              </c:layout>
              <c:tx>
                <c:rich>
                  <a:bodyPr/>
                  <a:lstStyle/>
                  <a:p>
                    <a:r>
                      <a:rPr lang="uk-UA"/>
                      <a:t>Плата за надання інших адмін. послуг(22012500)
6 9</a:t>
                    </a:r>
                    <a:r>
                      <a:rPr lang="uk-UA" baseline="0"/>
                      <a:t>00,0</a:t>
                    </a:r>
                    <a:r>
                      <a:rPr lang="uk-UA"/>
                      <a:t>
93,7%</a:t>
                    </a:r>
                  </a:p>
                </c:rich>
              </c:tx>
              <c:showLegendKey val="0"/>
              <c:showVal val="1"/>
              <c:showCatName val="1"/>
              <c:showSerName val="0"/>
              <c:showPercent val="1"/>
              <c:showBubbleSize val="0"/>
              <c:separator>
</c:separator>
              <c:extLst>
                <c:ext xmlns:c15="http://schemas.microsoft.com/office/drawing/2012/chart" uri="{CE6537A1-D6FC-4f65-9D91-7224C49458BB}"/>
              </c:extLst>
            </c:dLbl>
            <c:dLbl>
              <c:idx val="2"/>
              <c:layout>
                <c:manualLayout>
                  <c:x val="0.41561862520349513"/>
                  <c:y val="0"/>
                </c:manualLayout>
              </c:layout>
              <c:tx>
                <c:rich>
                  <a:bodyPr/>
                  <a:lstStyle/>
                  <a:p>
                    <a:r>
                      <a:rPr lang="uk-UA"/>
                      <a:t>Адміністративний збір за державну реєстрацію речових прав на нерухоме майно та їх обтяжень (22012600)
230,0
3,1%</a:t>
                    </a:r>
                  </a:p>
                </c:rich>
              </c:tx>
              <c:showLegendKey val="0"/>
              <c:showVal val="1"/>
              <c:showCatName val="1"/>
              <c:showSerName val="0"/>
              <c:showPercent val="1"/>
              <c:showBubbleSize val="0"/>
              <c:separator>
</c:separator>
              <c:extLst>
                <c:ext xmlns:c15="http://schemas.microsoft.com/office/drawing/2012/chart" uri="{CE6537A1-D6FC-4f65-9D91-7224C49458BB}"/>
              </c:extLst>
            </c:dLbl>
            <c:dLbl>
              <c:idx val="3"/>
              <c:layout>
                <c:manualLayout>
                  <c:x val="-0.18723313066880026"/>
                  <c:y val="-1.4745552639253989E-3"/>
                </c:manualLayout>
              </c:layout>
              <c:tx>
                <c:rich>
                  <a:bodyPr/>
                  <a:lstStyle/>
                  <a:p>
                    <a:r>
                      <a:rPr lang="uk-UA"/>
                      <a:t>Плата за скорочення термінів надання послуг у сфері державної реєстрації (22012900)
35,0</a:t>
                    </a:r>
                  </a:p>
                  <a:p>
                    <a:r>
                      <a:rPr lang="uk-UA"/>
                      <a:t>0,5%</a:t>
                    </a:r>
                  </a:p>
                </c:rich>
              </c:tx>
              <c:showLegendKey val="0"/>
              <c:showVal val="1"/>
              <c:showCatName val="1"/>
              <c:showSerName val="0"/>
              <c:showPercent val="1"/>
              <c:showBubbleSize val="0"/>
              <c:separator>
</c:separator>
              <c:extLst>
                <c:ext xmlns:c15="http://schemas.microsoft.com/office/drawing/2012/chart" uri="{CE6537A1-D6FC-4f65-9D91-7224C49458BB}"/>
              </c:extLst>
            </c:dLbl>
            <c:dLbl>
              <c:idx val="4"/>
              <c:layout>
                <c:manualLayout>
                  <c:x val="0.16544542869642051"/>
                  <c:y val="-8.3333333333333566E-4"/>
                </c:manualLayout>
              </c:layout>
              <c:showLegendKey val="0"/>
              <c:showVal val="1"/>
              <c:showCatName val="1"/>
              <c:showSerName val="0"/>
              <c:showPercent val="1"/>
              <c:showBubbleSize val="0"/>
              <c:separator>
</c:separator>
              <c:extLst>
                <c:ext xmlns:c15="http://schemas.microsoft.com/office/drawing/2012/chart" uri="{CE6537A1-D6FC-4f65-9D91-7224C49458BB}"/>
              </c:extLst>
            </c:dLbl>
            <c:spPr>
              <a:noFill/>
              <a:ln>
                <a:noFill/>
              </a:ln>
              <a:effectLst/>
            </c:spPr>
            <c:txPr>
              <a:bodyPr/>
              <a:lstStyle/>
              <a:p>
                <a:pPr>
                  <a:defRPr sz="900" b="1">
                    <a:latin typeface="Times New Roman" pitchFamily="18" charset="0"/>
                    <a:cs typeface="Times New Roman" pitchFamily="18" charset="0"/>
                  </a:defRPr>
                </a:pPr>
                <a:endParaRPr lang="uk-UA"/>
              </a:p>
            </c:txPr>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власні!$B$7:$B$10</c:f>
              <c:strCache>
                <c:ptCount val="4"/>
                <c:pt idx="0">
                  <c:v>Адміністративний збір за проведення державної реєстрації юридичних осіб, фізичних осіб-підприємців та громадських формувань (22010300)</c:v>
                </c:pt>
                <c:pt idx="1">
                  <c:v>Плата за надання інших адмін. послуг(22012500)</c:v>
                </c:pt>
                <c:pt idx="2">
                  <c:v>Адміністративний збір за державну реєстрацію речових прав на нерухоме майно та їх обтяжень (220126  )</c:v>
                </c:pt>
                <c:pt idx="3">
                  <c:v>Плата за скорочення термінів надання послуг у сфері державної реєстрації (220129 )</c:v>
                </c:pt>
              </c:strCache>
            </c:strRef>
          </c:cat>
          <c:val>
            <c:numRef>
              <c:f>власні!$C$7:$C$10</c:f>
              <c:numCache>
                <c:formatCode>#,##0.0</c:formatCode>
                <c:ptCount val="4"/>
                <c:pt idx="0">
                  <c:v>200</c:v>
                </c:pt>
                <c:pt idx="1">
                  <c:v>4167.9000000000005</c:v>
                </c:pt>
                <c:pt idx="2">
                  <c:v>374.5</c:v>
                </c:pt>
                <c:pt idx="3">
                  <c:v>70.7</c:v>
                </c:pt>
              </c:numCache>
            </c:numRef>
          </c:val>
        </c:ser>
        <c:dLbls>
          <c:showLegendKey val="0"/>
          <c:showVal val="0"/>
          <c:showCatName val="0"/>
          <c:showSerName val="0"/>
          <c:showPercent val="0"/>
          <c:showBubbleSize val="0"/>
          <c:showLeaderLines val="1"/>
        </c:dLbls>
      </c:pie3DChart>
    </c:plotArea>
    <c:plotVisOnly val="1"/>
    <c:dispBlanksAs val="zero"/>
    <c:showDLblsOverMax val="0"/>
  </c:chart>
  <c:externalData r:id="rId2">
    <c:autoUpdate val="0"/>
  </c:externalData>
  <c:userShapes r:id="rId3"/>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withinLinear" id="17">
  <a:schemeClr val="accent4"/>
</cs:colorStyle>
</file>

<file path=word/charts/colors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6.xml><?xml version="1.0" encoding="utf-8"?>
<cs:chartStyle xmlns:cs="http://schemas.microsoft.com/office/drawing/2012/chartStyle" xmlns:a="http://schemas.openxmlformats.org/drawingml/2006/main" id="28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solidFill>
        <a:schemeClr val="lt1"/>
      </a:solidFill>
      <a:sp3d/>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8.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FEED996-C6D3-471F-A855-567829AB6B5C}" type="doc">
      <dgm:prSet loTypeId="urn:microsoft.com/office/officeart/2005/8/layout/radial4" loCatId="relationship" qsTypeId="urn:microsoft.com/office/officeart/2005/8/quickstyle/3d3" qsCatId="3D" csTypeId="urn:microsoft.com/office/officeart/2005/8/colors/colorful1" csCatId="colorful" phldr="1"/>
      <dgm:spPr/>
      <dgm:t>
        <a:bodyPr/>
        <a:lstStyle/>
        <a:p>
          <a:endParaRPr lang="ru-RU"/>
        </a:p>
      </dgm:t>
    </dgm:pt>
    <dgm:pt modelId="{830E04EE-5D40-461D-A39D-41A91818A01A}">
      <dgm:prSet phldrT="[Текст]" custT="1"/>
      <dgm:spPr>
        <a:xfrm>
          <a:off x="2575512" y="947519"/>
          <a:ext cx="966461" cy="795101"/>
        </a:xfrm>
      </dgm:spPr>
      <dgm:t>
        <a:bodyPr/>
        <a:lstStyle/>
        <a:p>
          <a:r>
            <a:rPr lang="ru-RU" sz="900" b="1">
              <a:latin typeface="Calibri"/>
              <a:ea typeface="+mn-ea"/>
              <a:cs typeface="+mn-cs"/>
            </a:rPr>
            <a:t>Податок на майно - 230,9 млн.грн</a:t>
          </a:r>
        </a:p>
      </dgm:t>
    </dgm:pt>
    <dgm:pt modelId="{90A9338D-725D-439F-858F-E50A31DCE9FF}" type="parTrans" cxnId="{B7F2545D-A4FF-4790-B846-FA3F19E7C25C}">
      <dgm:prSet/>
      <dgm:spPr/>
      <dgm:t>
        <a:bodyPr/>
        <a:lstStyle/>
        <a:p>
          <a:endParaRPr lang="ru-RU"/>
        </a:p>
      </dgm:t>
    </dgm:pt>
    <dgm:pt modelId="{117F441B-150A-4B46-85C5-3ED025860B95}" type="sibTrans" cxnId="{B7F2545D-A4FF-4790-B846-FA3F19E7C25C}">
      <dgm:prSet/>
      <dgm:spPr/>
      <dgm:t>
        <a:bodyPr/>
        <a:lstStyle/>
        <a:p>
          <a:endParaRPr lang="ru-RU"/>
        </a:p>
      </dgm:t>
    </dgm:pt>
    <dgm:pt modelId="{A109F111-32E5-449A-9D58-8A205ECEA5BA}">
      <dgm:prSet phldrT="[Текст]" custT="1"/>
      <dgm:spPr>
        <a:xfrm>
          <a:off x="539738" y="574126"/>
          <a:ext cx="1688175" cy="604276"/>
        </a:xfrm>
      </dgm:spPr>
      <dgm:t>
        <a:bodyPr/>
        <a:lstStyle/>
        <a:p>
          <a:r>
            <a:rPr lang="ru-RU" sz="900" b="1">
              <a:latin typeface="Calibri"/>
              <a:ea typeface="+mn-ea"/>
              <a:cs typeface="+mn-cs"/>
            </a:rPr>
            <a:t>Плата за землю - </a:t>
          </a:r>
        </a:p>
        <a:p>
          <a:r>
            <a:rPr lang="ru-RU" sz="900" b="1">
              <a:latin typeface="Calibri"/>
              <a:ea typeface="+mn-ea"/>
              <a:cs typeface="+mn-cs"/>
            </a:rPr>
            <a:t>202,0 млн.грн.(87,5%)</a:t>
          </a:r>
        </a:p>
      </dgm:t>
    </dgm:pt>
    <dgm:pt modelId="{88056E42-DB48-4141-8365-BA7A5DCD7A54}" type="parTrans" cxnId="{062B14EF-C9C1-4868-959F-2CBD6D4DFA80}">
      <dgm:prSet/>
      <dgm:spPr>
        <a:xfrm rot="11738208">
          <a:off x="1361718" y="923970"/>
          <a:ext cx="1194694" cy="226603"/>
        </a:xfrm>
      </dgm:spPr>
      <dgm:t>
        <a:bodyPr/>
        <a:lstStyle/>
        <a:p>
          <a:endParaRPr lang="ru-RU"/>
        </a:p>
      </dgm:t>
    </dgm:pt>
    <dgm:pt modelId="{38669F91-80EA-4603-9B7C-C10D00CCB0A5}" type="sibTrans" cxnId="{062B14EF-C9C1-4868-959F-2CBD6D4DFA80}">
      <dgm:prSet/>
      <dgm:spPr/>
      <dgm:t>
        <a:bodyPr/>
        <a:lstStyle/>
        <a:p>
          <a:endParaRPr lang="ru-RU"/>
        </a:p>
      </dgm:t>
    </dgm:pt>
    <dgm:pt modelId="{5170ABF7-2937-4C55-AB32-CF4ADCD1302C}">
      <dgm:prSet phldrT="[Текст]" custT="1"/>
      <dgm:spPr>
        <a:xfrm>
          <a:off x="2363522" y="454"/>
          <a:ext cx="1390440" cy="604276"/>
        </a:xfrm>
      </dgm:spPr>
      <dgm:t>
        <a:bodyPr/>
        <a:lstStyle/>
        <a:p>
          <a:r>
            <a:rPr lang="ru-RU" sz="900" b="1">
              <a:latin typeface="Calibri"/>
              <a:ea typeface="+mn-ea"/>
              <a:cs typeface="+mn-cs"/>
            </a:rPr>
            <a:t>Податок на нерухоме майно, відмінне від земельної ділянки - </a:t>
          </a:r>
        </a:p>
        <a:p>
          <a:r>
            <a:rPr lang="ru-RU" sz="900" b="1">
              <a:latin typeface="Calibri"/>
              <a:ea typeface="+mn-ea"/>
              <a:cs typeface="+mn-cs"/>
            </a:rPr>
            <a:t>28,7 млн.грн (12,4%)</a:t>
          </a:r>
        </a:p>
      </dgm:t>
    </dgm:pt>
    <dgm:pt modelId="{85CD10AA-4229-42C6-83E0-9CD3603ACB2D}" type="parTrans" cxnId="{7CBDBFD8-4E7B-4526-9C7F-76CA34D8CACE}">
      <dgm:prSet/>
      <dgm:spPr>
        <a:xfrm rot="16200000">
          <a:off x="2754015" y="494018"/>
          <a:ext cx="609454" cy="226603"/>
        </a:xfrm>
      </dgm:spPr>
      <dgm:t>
        <a:bodyPr/>
        <a:lstStyle/>
        <a:p>
          <a:endParaRPr lang="ru-RU"/>
        </a:p>
      </dgm:t>
    </dgm:pt>
    <dgm:pt modelId="{B387171D-148A-419A-B30A-4DCC20CCBD58}" type="sibTrans" cxnId="{7CBDBFD8-4E7B-4526-9C7F-76CA34D8CACE}">
      <dgm:prSet/>
      <dgm:spPr/>
      <dgm:t>
        <a:bodyPr/>
        <a:lstStyle/>
        <a:p>
          <a:endParaRPr lang="ru-RU"/>
        </a:p>
      </dgm:t>
    </dgm:pt>
    <dgm:pt modelId="{03AEF854-39D6-4C83-B490-74592781FE4D}">
      <dgm:prSet phldrT="[Текст]" custT="1"/>
      <dgm:spPr>
        <a:xfrm>
          <a:off x="3890769" y="574137"/>
          <a:ext cx="1372153" cy="604276"/>
        </a:xfrm>
      </dgm:spPr>
      <dgm:t>
        <a:bodyPr/>
        <a:lstStyle/>
        <a:p>
          <a:r>
            <a:rPr lang="ru-RU" sz="900" b="1">
              <a:latin typeface="Calibri"/>
              <a:ea typeface="+mn-ea"/>
              <a:cs typeface="+mn-cs"/>
            </a:rPr>
            <a:t>Транспортний податок - </a:t>
          </a:r>
        </a:p>
        <a:p>
          <a:r>
            <a:rPr lang="ru-RU" sz="900" b="1">
              <a:latin typeface="Calibri"/>
              <a:ea typeface="+mn-ea"/>
              <a:cs typeface="+mn-cs"/>
            </a:rPr>
            <a:t>0,2 млн.грн (0,1%)</a:t>
          </a:r>
        </a:p>
      </dgm:t>
    </dgm:pt>
    <dgm:pt modelId="{D3B916F7-775C-4C5A-8C68-E31A9FC94C1C}" type="parTrans" cxnId="{E9C17F6E-92B6-44DB-8B9C-E7599F613B85}">
      <dgm:prSet/>
      <dgm:spPr>
        <a:xfrm rot="20570352">
          <a:off x="3546304" y="918468"/>
          <a:ext cx="1054004" cy="226603"/>
        </a:xfrm>
      </dgm:spPr>
      <dgm:t>
        <a:bodyPr/>
        <a:lstStyle/>
        <a:p>
          <a:endParaRPr lang="ru-RU"/>
        </a:p>
      </dgm:t>
    </dgm:pt>
    <dgm:pt modelId="{3E1475F5-119B-41E9-824E-EC8AFFB4358E}" type="sibTrans" cxnId="{E9C17F6E-92B6-44DB-8B9C-E7599F613B85}">
      <dgm:prSet/>
      <dgm:spPr/>
      <dgm:t>
        <a:bodyPr/>
        <a:lstStyle/>
        <a:p>
          <a:endParaRPr lang="ru-RU"/>
        </a:p>
      </dgm:t>
    </dgm:pt>
    <dgm:pt modelId="{16C3CB36-40A2-49E7-B8B5-C05350AD53B0}" type="pres">
      <dgm:prSet presAssocID="{9FEED996-C6D3-471F-A855-567829AB6B5C}" presName="cycle" presStyleCnt="0">
        <dgm:presLayoutVars>
          <dgm:chMax val="1"/>
          <dgm:dir/>
          <dgm:animLvl val="ctr"/>
          <dgm:resizeHandles val="exact"/>
        </dgm:presLayoutVars>
      </dgm:prSet>
      <dgm:spPr/>
      <dgm:t>
        <a:bodyPr/>
        <a:lstStyle/>
        <a:p>
          <a:endParaRPr lang="ru-RU"/>
        </a:p>
      </dgm:t>
    </dgm:pt>
    <dgm:pt modelId="{F05EDFD5-0A87-40CB-82A7-35C471587D9D}" type="pres">
      <dgm:prSet presAssocID="{830E04EE-5D40-461D-A39D-41A91818A01A}" presName="centerShape" presStyleLbl="node0" presStyleIdx="0" presStyleCnt="1" custScaleX="157524" custLinFactNeighborY="22"/>
      <dgm:spPr>
        <a:prstGeom prst="ellipse">
          <a:avLst/>
        </a:prstGeom>
      </dgm:spPr>
      <dgm:t>
        <a:bodyPr/>
        <a:lstStyle/>
        <a:p>
          <a:endParaRPr lang="ru-RU"/>
        </a:p>
      </dgm:t>
    </dgm:pt>
    <dgm:pt modelId="{E6C15FAA-CAD6-4AB5-8E7F-99A035E8DCB3}" type="pres">
      <dgm:prSet presAssocID="{88056E42-DB48-4141-8365-BA7A5DCD7A54}" presName="parTrans" presStyleLbl="bgSibTrans2D1" presStyleIdx="0" presStyleCnt="3"/>
      <dgm:spPr>
        <a:prstGeom prst="leftArrow">
          <a:avLst>
            <a:gd name="adj1" fmla="val 60000"/>
            <a:gd name="adj2" fmla="val 50000"/>
          </a:avLst>
        </a:prstGeom>
      </dgm:spPr>
      <dgm:t>
        <a:bodyPr/>
        <a:lstStyle/>
        <a:p>
          <a:endParaRPr lang="ru-RU"/>
        </a:p>
      </dgm:t>
    </dgm:pt>
    <dgm:pt modelId="{3859A1A8-9D5E-471D-BCD9-93F5E1E1A64C}" type="pres">
      <dgm:prSet presAssocID="{A109F111-32E5-449A-9D58-8A205ECEA5BA}" presName="node" presStyleLbl="node1" presStyleIdx="0" presStyleCnt="3" custScaleX="223497" custRadScaleRad="166842" custRadScaleInc="-32272">
        <dgm:presLayoutVars>
          <dgm:bulletEnabled val="1"/>
        </dgm:presLayoutVars>
      </dgm:prSet>
      <dgm:spPr>
        <a:prstGeom prst="roundRect">
          <a:avLst>
            <a:gd name="adj" fmla="val 10000"/>
          </a:avLst>
        </a:prstGeom>
      </dgm:spPr>
      <dgm:t>
        <a:bodyPr/>
        <a:lstStyle/>
        <a:p>
          <a:endParaRPr lang="ru-RU"/>
        </a:p>
      </dgm:t>
    </dgm:pt>
    <dgm:pt modelId="{ABE31A5B-5223-4FCE-B22B-1ACB23555A56}" type="pres">
      <dgm:prSet presAssocID="{85CD10AA-4229-42C6-83E0-9CD3603ACB2D}" presName="parTrans" presStyleLbl="bgSibTrans2D1" presStyleIdx="1" presStyleCnt="3"/>
      <dgm:spPr>
        <a:prstGeom prst="leftArrow">
          <a:avLst>
            <a:gd name="adj1" fmla="val 60000"/>
            <a:gd name="adj2" fmla="val 50000"/>
          </a:avLst>
        </a:prstGeom>
      </dgm:spPr>
      <dgm:t>
        <a:bodyPr/>
        <a:lstStyle/>
        <a:p>
          <a:endParaRPr lang="ru-RU"/>
        </a:p>
      </dgm:t>
    </dgm:pt>
    <dgm:pt modelId="{D39DE7B6-3382-43A4-BE07-58B3A212D114}" type="pres">
      <dgm:prSet presAssocID="{5170ABF7-2937-4C55-AB32-CF4ADCD1302C}" presName="node" presStyleLbl="node1" presStyleIdx="1" presStyleCnt="3" custScaleX="184080">
        <dgm:presLayoutVars>
          <dgm:bulletEnabled val="1"/>
        </dgm:presLayoutVars>
      </dgm:prSet>
      <dgm:spPr>
        <a:prstGeom prst="roundRect">
          <a:avLst>
            <a:gd name="adj" fmla="val 10000"/>
          </a:avLst>
        </a:prstGeom>
      </dgm:spPr>
      <dgm:t>
        <a:bodyPr/>
        <a:lstStyle/>
        <a:p>
          <a:endParaRPr lang="ru-RU"/>
        </a:p>
      </dgm:t>
    </dgm:pt>
    <dgm:pt modelId="{EC07947B-1485-415A-A584-E9B5D5FBDDB2}" type="pres">
      <dgm:prSet presAssocID="{D3B916F7-775C-4C5A-8C68-E31A9FC94C1C}" presName="parTrans" presStyleLbl="bgSibTrans2D1" presStyleIdx="2" presStyleCnt="3"/>
      <dgm:spPr>
        <a:prstGeom prst="leftArrow">
          <a:avLst>
            <a:gd name="adj1" fmla="val 60000"/>
            <a:gd name="adj2" fmla="val 50000"/>
          </a:avLst>
        </a:prstGeom>
      </dgm:spPr>
      <dgm:t>
        <a:bodyPr/>
        <a:lstStyle/>
        <a:p>
          <a:endParaRPr lang="ru-RU"/>
        </a:p>
      </dgm:t>
    </dgm:pt>
    <dgm:pt modelId="{B41D3C12-F7D8-404E-8E71-A34B8ACC4EE9}" type="pres">
      <dgm:prSet presAssocID="{03AEF854-39D6-4C83-B490-74592781FE4D}" presName="node" presStyleLbl="node1" presStyleIdx="2" presStyleCnt="3" custScaleX="216334" custRadScaleRad="168195" custRadScaleInc="32487">
        <dgm:presLayoutVars>
          <dgm:bulletEnabled val="1"/>
        </dgm:presLayoutVars>
      </dgm:prSet>
      <dgm:spPr>
        <a:prstGeom prst="roundRect">
          <a:avLst>
            <a:gd name="adj" fmla="val 10000"/>
          </a:avLst>
        </a:prstGeom>
      </dgm:spPr>
      <dgm:t>
        <a:bodyPr/>
        <a:lstStyle/>
        <a:p>
          <a:endParaRPr lang="ru-RU"/>
        </a:p>
      </dgm:t>
    </dgm:pt>
  </dgm:ptLst>
  <dgm:cxnLst>
    <dgm:cxn modelId="{B0D360F4-1729-47D3-B2F5-88AD7A7BBCF2}" type="presOf" srcId="{85CD10AA-4229-42C6-83E0-9CD3603ACB2D}" destId="{ABE31A5B-5223-4FCE-B22B-1ACB23555A56}" srcOrd="0" destOrd="0" presId="urn:microsoft.com/office/officeart/2005/8/layout/radial4"/>
    <dgm:cxn modelId="{6C125BF7-DB61-4110-9621-EE6B9360CF8B}" type="presOf" srcId="{9FEED996-C6D3-471F-A855-567829AB6B5C}" destId="{16C3CB36-40A2-49E7-B8B5-C05350AD53B0}" srcOrd="0" destOrd="0" presId="urn:microsoft.com/office/officeart/2005/8/layout/radial4"/>
    <dgm:cxn modelId="{5F333B24-8F6D-4FE1-B118-A84A7A83B736}" type="presOf" srcId="{5170ABF7-2937-4C55-AB32-CF4ADCD1302C}" destId="{D39DE7B6-3382-43A4-BE07-58B3A212D114}" srcOrd="0" destOrd="0" presId="urn:microsoft.com/office/officeart/2005/8/layout/radial4"/>
    <dgm:cxn modelId="{E9C17F6E-92B6-44DB-8B9C-E7599F613B85}" srcId="{830E04EE-5D40-461D-A39D-41A91818A01A}" destId="{03AEF854-39D6-4C83-B490-74592781FE4D}" srcOrd="2" destOrd="0" parTransId="{D3B916F7-775C-4C5A-8C68-E31A9FC94C1C}" sibTransId="{3E1475F5-119B-41E9-824E-EC8AFFB4358E}"/>
    <dgm:cxn modelId="{A9D1B8FD-ED40-4555-B574-E8D86FA8F50B}" type="presOf" srcId="{830E04EE-5D40-461D-A39D-41A91818A01A}" destId="{F05EDFD5-0A87-40CB-82A7-35C471587D9D}" srcOrd="0" destOrd="0" presId="urn:microsoft.com/office/officeart/2005/8/layout/radial4"/>
    <dgm:cxn modelId="{062B14EF-C9C1-4868-959F-2CBD6D4DFA80}" srcId="{830E04EE-5D40-461D-A39D-41A91818A01A}" destId="{A109F111-32E5-449A-9D58-8A205ECEA5BA}" srcOrd="0" destOrd="0" parTransId="{88056E42-DB48-4141-8365-BA7A5DCD7A54}" sibTransId="{38669F91-80EA-4603-9B7C-C10D00CCB0A5}"/>
    <dgm:cxn modelId="{7CBDBFD8-4E7B-4526-9C7F-76CA34D8CACE}" srcId="{830E04EE-5D40-461D-A39D-41A91818A01A}" destId="{5170ABF7-2937-4C55-AB32-CF4ADCD1302C}" srcOrd="1" destOrd="0" parTransId="{85CD10AA-4229-42C6-83E0-9CD3603ACB2D}" sibTransId="{B387171D-148A-419A-B30A-4DCC20CCBD58}"/>
    <dgm:cxn modelId="{6C39441B-A4E1-4E67-A4CD-FD2355F0C41B}" type="presOf" srcId="{D3B916F7-775C-4C5A-8C68-E31A9FC94C1C}" destId="{EC07947B-1485-415A-A584-E9B5D5FBDDB2}" srcOrd="0" destOrd="0" presId="urn:microsoft.com/office/officeart/2005/8/layout/radial4"/>
    <dgm:cxn modelId="{B7F2545D-A4FF-4790-B846-FA3F19E7C25C}" srcId="{9FEED996-C6D3-471F-A855-567829AB6B5C}" destId="{830E04EE-5D40-461D-A39D-41A91818A01A}" srcOrd="0" destOrd="0" parTransId="{90A9338D-725D-439F-858F-E50A31DCE9FF}" sibTransId="{117F441B-150A-4B46-85C5-3ED025860B95}"/>
    <dgm:cxn modelId="{7CE22313-785D-46E3-ADB5-CB8C0D0E1E96}" type="presOf" srcId="{03AEF854-39D6-4C83-B490-74592781FE4D}" destId="{B41D3C12-F7D8-404E-8E71-A34B8ACC4EE9}" srcOrd="0" destOrd="0" presId="urn:microsoft.com/office/officeart/2005/8/layout/radial4"/>
    <dgm:cxn modelId="{72196137-740C-4988-A5E2-66A63D10743F}" type="presOf" srcId="{88056E42-DB48-4141-8365-BA7A5DCD7A54}" destId="{E6C15FAA-CAD6-4AB5-8E7F-99A035E8DCB3}" srcOrd="0" destOrd="0" presId="urn:microsoft.com/office/officeart/2005/8/layout/radial4"/>
    <dgm:cxn modelId="{817D5E48-76B6-4E62-8179-0D4CFFA801F0}" type="presOf" srcId="{A109F111-32E5-449A-9D58-8A205ECEA5BA}" destId="{3859A1A8-9D5E-471D-BCD9-93F5E1E1A64C}" srcOrd="0" destOrd="0" presId="urn:microsoft.com/office/officeart/2005/8/layout/radial4"/>
    <dgm:cxn modelId="{30C6D49A-9C46-492C-BE5F-EB4E9AD448AC}" type="presParOf" srcId="{16C3CB36-40A2-49E7-B8B5-C05350AD53B0}" destId="{F05EDFD5-0A87-40CB-82A7-35C471587D9D}" srcOrd="0" destOrd="0" presId="urn:microsoft.com/office/officeart/2005/8/layout/radial4"/>
    <dgm:cxn modelId="{FEC2D8A2-7DE0-4839-A36E-F3FC3D2E7C4E}" type="presParOf" srcId="{16C3CB36-40A2-49E7-B8B5-C05350AD53B0}" destId="{E6C15FAA-CAD6-4AB5-8E7F-99A035E8DCB3}" srcOrd="1" destOrd="0" presId="urn:microsoft.com/office/officeart/2005/8/layout/radial4"/>
    <dgm:cxn modelId="{F171E268-719E-4E9F-83C0-FBC536AD7BCF}" type="presParOf" srcId="{16C3CB36-40A2-49E7-B8B5-C05350AD53B0}" destId="{3859A1A8-9D5E-471D-BCD9-93F5E1E1A64C}" srcOrd="2" destOrd="0" presId="urn:microsoft.com/office/officeart/2005/8/layout/radial4"/>
    <dgm:cxn modelId="{22D83A76-6B6D-4CF1-A209-C9B80A2D4576}" type="presParOf" srcId="{16C3CB36-40A2-49E7-B8B5-C05350AD53B0}" destId="{ABE31A5B-5223-4FCE-B22B-1ACB23555A56}" srcOrd="3" destOrd="0" presId="urn:microsoft.com/office/officeart/2005/8/layout/radial4"/>
    <dgm:cxn modelId="{62D6B955-D023-4B00-8C1A-8E0D6FEE0542}" type="presParOf" srcId="{16C3CB36-40A2-49E7-B8B5-C05350AD53B0}" destId="{D39DE7B6-3382-43A4-BE07-58B3A212D114}" srcOrd="4" destOrd="0" presId="urn:microsoft.com/office/officeart/2005/8/layout/radial4"/>
    <dgm:cxn modelId="{D63380A2-70B3-4418-92A3-FB88D7D40B44}" type="presParOf" srcId="{16C3CB36-40A2-49E7-B8B5-C05350AD53B0}" destId="{EC07947B-1485-415A-A584-E9B5D5FBDDB2}" srcOrd="5" destOrd="0" presId="urn:microsoft.com/office/officeart/2005/8/layout/radial4"/>
    <dgm:cxn modelId="{DD814996-70BF-490E-B4CF-66D76AC5C55B}" type="presParOf" srcId="{16C3CB36-40A2-49E7-B8B5-C05350AD53B0}" destId="{B41D3C12-F7D8-404E-8E71-A34B8ACC4EE9}" srcOrd="6" destOrd="0" presId="urn:microsoft.com/office/officeart/2005/8/layout/radial4"/>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E97E450-9358-489C-B1C9-54DED7A1DB57}" type="doc">
      <dgm:prSet loTypeId="urn:microsoft.com/office/officeart/2005/8/layout/vList6" loCatId="list" qsTypeId="urn:microsoft.com/office/officeart/2005/8/quickstyle/3d1" qsCatId="3D" csTypeId="urn:microsoft.com/office/officeart/2005/8/colors/colorful5" csCatId="colorful" phldr="1"/>
      <dgm:spPr/>
      <dgm:t>
        <a:bodyPr/>
        <a:lstStyle/>
        <a:p>
          <a:endParaRPr lang="ru-RU"/>
        </a:p>
      </dgm:t>
    </dgm:pt>
    <dgm:pt modelId="{A9EF2D43-18FC-4846-8C24-149194243E33}">
      <dgm:prSet phldrT="[Текст]" custT="1"/>
      <dgm:spPr>
        <a:xfrm>
          <a:off x="0" y="183"/>
          <a:ext cx="2366010" cy="716467"/>
        </a:xfrm>
        <a:gradFill rotWithShape="0">
          <a:gsLst>
            <a:gs pos="0">
              <a:srgbClr val="4BACC6">
                <a:hueOff val="0"/>
                <a:satOff val="0"/>
                <a:lumOff val="0"/>
                <a:alphaOff val="0"/>
                <a:shade val="51000"/>
                <a:satMod val="130000"/>
              </a:srgbClr>
            </a:gs>
            <a:gs pos="80000">
              <a:srgbClr val="4BACC6">
                <a:hueOff val="0"/>
                <a:satOff val="0"/>
                <a:lumOff val="0"/>
                <a:alphaOff val="0"/>
                <a:shade val="93000"/>
                <a:satMod val="130000"/>
              </a:srgbClr>
            </a:gs>
            <a:gs pos="100000">
              <a:srgbClr val="4BACC6">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ru-RU" sz="1400">
              <a:solidFill>
                <a:sysClr val="window" lastClr="FFFFFF"/>
              </a:solidFill>
              <a:latin typeface="Calibri"/>
              <a:ea typeface="+mn-ea"/>
              <a:cs typeface="+mn-cs"/>
            </a:rPr>
            <a:t>Податок на нерухоме майно за об</a:t>
          </a:r>
          <a:r>
            <a:rPr lang="en-US" sz="1400">
              <a:solidFill>
                <a:sysClr val="window" lastClr="FFFFFF"/>
              </a:solidFill>
              <a:latin typeface="Calibri"/>
              <a:ea typeface="+mn-ea"/>
              <a:cs typeface="+mn-cs"/>
            </a:rPr>
            <a:t>`</a:t>
          </a:r>
          <a:r>
            <a:rPr lang="uk-UA" sz="1400">
              <a:solidFill>
                <a:sysClr val="window" lastClr="FFFFFF"/>
              </a:solidFill>
              <a:latin typeface="Calibri"/>
              <a:ea typeface="+mn-ea"/>
              <a:cs typeface="+mn-cs"/>
            </a:rPr>
            <a:t>єкти </a:t>
          </a:r>
          <a:r>
            <a:rPr lang="uk-UA" sz="1400" b="1" i="1">
              <a:solidFill>
                <a:sysClr val="window" lastClr="FFFFFF"/>
              </a:solidFill>
              <a:latin typeface="Calibri"/>
              <a:ea typeface="+mn-ea"/>
              <a:cs typeface="+mn-cs"/>
            </a:rPr>
            <a:t>житлової</a:t>
          </a:r>
          <a:r>
            <a:rPr lang="uk-UA" sz="1400">
              <a:solidFill>
                <a:sysClr val="window" lastClr="FFFFFF"/>
              </a:solidFill>
              <a:latin typeface="Calibri"/>
              <a:ea typeface="+mn-ea"/>
              <a:cs typeface="+mn-cs"/>
            </a:rPr>
            <a:t> нерухомості - </a:t>
          </a:r>
          <a:r>
            <a:rPr lang="uk-UA" sz="1600">
              <a:solidFill>
                <a:sysClr val="window" lastClr="FFFFFF"/>
              </a:solidFill>
              <a:latin typeface="Calibri"/>
              <a:ea typeface="+mn-ea"/>
              <a:cs typeface="+mn-cs"/>
            </a:rPr>
            <a:t>9,2 %</a:t>
          </a:r>
          <a:endParaRPr lang="ru-RU" sz="1400">
            <a:solidFill>
              <a:sysClr val="window" lastClr="FFFFFF"/>
            </a:solidFill>
            <a:latin typeface="Calibri"/>
            <a:ea typeface="+mn-ea"/>
            <a:cs typeface="+mn-cs"/>
          </a:endParaRPr>
        </a:p>
      </dgm:t>
    </dgm:pt>
    <dgm:pt modelId="{F25330D6-2B63-4122-AB3A-F85AE3871FB7}" type="parTrans" cxnId="{19FC45A6-03C7-42B2-9DA9-F827E58BB637}">
      <dgm:prSet/>
      <dgm:spPr/>
      <dgm:t>
        <a:bodyPr/>
        <a:lstStyle/>
        <a:p>
          <a:endParaRPr lang="ru-RU"/>
        </a:p>
      </dgm:t>
    </dgm:pt>
    <dgm:pt modelId="{F9622F6C-7101-4C40-A298-A54BD13D349F}" type="sibTrans" cxnId="{19FC45A6-03C7-42B2-9DA9-F827E58BB637}">
      <dgm:prSet/>
      <dgm:spPr/>
      <dgm:t>
        <a:bodyPr/>
        <a:lstStyle/>
        <a:p>
          <a:endParaRPr lang="ru-RU"/>
        </a:p>
      </dgm:t>
    </dgm:pt>
    <dgm:pt modelId="{5E71E7B5-C211-471F-8698-8A015F17D429}">
      <dgm:prSet phldrT="[Текст]"/>
      <dgm:spPr>
        <a:xfrm>
          <a:off x="2366010" y="183"/>
          <a:ext cx="3549015" cy="716467"/>
        </a:xfrm>
        <a:solidFill>
          <a:srgbClr val="4BACC6">
            <a:tint val="40000"/>
            <a:alpha val="90000"/>
            <a:hueOff val="0"/>
            <a:satOff val="0"/>
            <a:lumOff val="0"/>
            <a:alphaOff val="0"/>
          </a:srgbClr>
        </a:solidFill>
        <a:ln w="9525" cap="flat" cmpd="sng" algn="ctr">
          <a:solidFill>
            <a:srgbClr val="4BACC6">
              <a:tint val="40000"/>
              <a:alpha val="90000"/>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uk-UA" i="1">
              <a:solidFill>
                <a:sysClr val="windowText" lastClr="000000">
                  <a:hueOff val="0"/>
                  <a:satOff val="0"/>
                  <a:lumOff val="0"/>
                  <a:alphaOff val="0"/>
                </a:sysClr>
              </a:solidFill>
              <a:latin typeface="Calibri"/>
              <a:ea typeface="+mn-ea"/>
              <a:cs typeface="+mn-cs"/>
            </a:rPr>
            <a:t>Сплачений юридичними особами - 0,2 %</a:t>
          </a:r>
          <a:endParaRPr lang="ru-RU" i="1">
            <a:solidFill>
              <a:sysClr val="windowText" lastClr="000000">
                <a:hueOff val="0"/>
                <a:satOff val="0"/>
                <a:lumOff val="0"/>
                <a:alphaOff val="0"/>
              </a:sysClr>
            </a:solidFill>
            <a:latin typeface="Calibri"/>
            <a:ea typeface="+mn-ea"/>
            <a:cs typeface="+mn-cs"/>
          </a:endParaRPr>
        </a:p>
      </dgm:t>
    </dgm:pt>
    <dgm:pt modelId="{EEBA06F5-2C3F-452E-A236-815B252D155D}" type="parTrans" cxnId="{83566E37-4746-4996-B516-D892736E24BB}">
      <dgm:prSet/>
      <dgm:spPr/>
      <dgm:t>
        <a:bodyPr/>
        <a:lstStyle/>
        <a:p>
          <a:endParaRPr lang="ru-RU"/>
        </a:p>
      </dgm:t>
    </dgm:pt>
    <dgm:pt modelId="{9229132E-F26D-4167-89F5-3D628CFB2583}" type="sibTrans" cxnId="{83566E37-4746-4996-B516-D892736E24BB}">
      <dgm:prSet/>
      <dgm:spPr/>
      <dgm:t>
        <a:bodyPr/>
        <a:lstStyle/>
        <a:p>
          <a:endParaRPr lang="ru-RU"/>
        </a:p>
      </dgm:t>
    </dgm:pt>
    <dgm:pt modelId="{5946B8C4-FBEF-48DF-A6E2-DBB48C467937}">
      <dgm:prSet phldrT="[Текст]"/>
      <dgm:spPr>
        <a:xfrm>
          <a:off x="2366010" y="183"/>
          <a:ext cx="3549015" cy="716467"/>
        </a:xfrm>
        <a:solidFill>
          <a:srgbClr val="4BACC6">
            <a:tint val="40000"/>
            <a:alpha val="90000"/>
            <a:hueOff val="0"/>
            <a:satOff val="0"/>
            <a:lumOff val="0"/>
            <a:alphaOff val="0"/>
          </a:srgbClr>
        </a:solidFill>
        <a:ln w="9525" cap="flat" cmpd="sng" algn="ctr">
          <a:solidFill>
            <a:srgbClr val="4BACC6">
              <a:tint val="40000"/>
              <a:alpha val="90000"/>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uk-UA" i="1">
              <a:solidFill>
                <a:sysClr val="windowText" lastClr="000000">
                  <a:hueOff val="0"/>
                  <a:satOff val="0"/>
                  <a:lumOff val="0"/>
                  <a:alphaOff val="0"/>
                </a:sysClr>
              </a:solidFill>
              <a:latin typeface="Calibri"/>
              <a:ea typeface="+mn-ea"/>
              <a:cs typeface="+mn-cs"/>
            </a:rPr>
            <a:t>Сплачений фізичними особами - 9,0 %</a:t>
          </a:r>
          <a:endParaRPr lang="ru-RU" i="1">
            <a:solidFill>
              <a:sysClr val="windowText" lastClr="000000">
                <a:hueOff val="0"/>
                <a:satOff val="0"/>
                <a:lumOff val="0"/>
                <a:alphaOff val="0"/>
              </a:sysClr>
            </a:solidFill>
            <a:latin typeface="Calibri"/>
            <a:ea typeface="+mn-ea"/>
            <a:cs typeface="+mn-cs"/>
          </a:endParaRPr>
        </a:p>
      </dgm:t>
    </dgm:pt>
    <dgm:pt modelId="{F61D9844-10FE-4AAE-A69A-C2B339E2F419}" type="parTrans" cxnId="{D62EA133-8DF8-4DAA-8836-20EE8051623E}">
      <dgm:prSet/>
      <dgm:spPr/>
      <dgm:t>
        <a:bodyPr/>
        <a:lstStyle/>
        <a:p>
          <a:endParaRPr lang="ru-RU"/>
        </a:p>
      </dgm:t>
    </dgm:pt>
    <dgm:pt modelId="{48005C94-6880-4B31-9007-9BD070F2B5A1}" type="sibTrans" cxnId="{D62EA133-8DF8-4DAA-8836-20EE8051623E}">
      <dgm:prSet/>
      <dgm:spPr/>
      <dgm:t>
        <a:bodyPr/>
        <a:lstStyle/>
        <a:p>
          <a:endParaRPr lang="ru-RU"/>
        </a:p>
      </dgm:t>
    </dgm:pt>
    <dgm:pt modelId="{E8F72E8D-7F69-4C58-AC87-D7FB1C6190BD}">
      <dgm:prSet phldrT="[Текст]" custT="1"/>
      <dgm:spPr>
        <a:xfrm>
          <a:off x="0" y="788298"/>
          <a:ext cx="2366010" cy="716467"/>
        </a:xfrm>
        <a:gradFill rotWithShape="0">
          <a:gsLst>
            <a:gs pos="0">
              <a:srgbClr val="4BACC6">
                <a:hueOff val="-9933876"/>
                <a:satOff val="39811"/>
                <a:lumOff val="8628"/>
                <a:alphaOff val="0"/>
                <a:shade val="51000"/>
                <a:satMod val="130000"/>
              </a:srgbClr>
            </a:gs>
            <a:gs pos="80000">
              <a:srgbClr val="4BACC6">
                <a:hueOff val="-9933876"/>
                <a:satOff val="39811"/>
                <a:lumOff val="8628"/>
                <a:alphaOff val="0"/>
                <a:shade val="93000"/>
                <a:satMod val="130000"/>
              </a:srgbClr>
            </a:gs>
            <a:gs pos="100000">
              <a:srgbClr val="4BACC6">
                <a:hueOff val="-9933876"/>
                <a:satOff val="39811"/>
                <a:lumOff val="862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ru-RU" sz="1400">
              <a:solidFill>
                <a:sysClr val="window" lastClr="FFFFFF"/>
              </a:solidFill>
              <a:latin typeface="Calibri"/>
              <a:ea typeface="+mn-ea"/>
              <a:cs typeface="+mn-cs"/>
            </a:rPr>
            <a:t>Податок на нерухоме майно за об</a:t>
          </a:r>
          <a:r>
            <a:rPr lang="en-US" sz="1400">
              <a:solidFill>
                <a:sysClr val="window" lastClr="FFFFFF"/>
              </a:solidFill>
              <a:latin typeface="Calibri"/>
              <a:ea typeface="+mn-ea"/>
              <a:cs typeface="+mn-cs"/>
            </a:rPr>
            <a:t>`</a:t>
          </a:r>
          <a:r>
            <a:rPr lang="uk-UA" sz="1400">
              <a:solidFill>
                <a:sysClr val="window" lastClr="FFFFFF"/>
              </a:solidFill>
              <a:latin typeface="Calibri"/>
              <a:ea typeface="+mn-ea"/>
              <a:cs typeface="+mn-cs"/>
            </a:rPr>
            <a:t>єкти </a:t>
          </a:r>
          <a:r>
            <a:rPr lang="uk-UA" sz="1400" b="1" i="1">
              <a:solidFill>
                <a:sysClr val="window" lastClr="FFFFFF"/>
              </a:solidFill>
              <a:latin typeface="Calibri"/>
              <a:ea typeface="+mn-ea"/>
              <a:cs typeface="+mn-cs"/>
            </a:rPr>
            <a:t>нежитлової</a:t>
          </a:r>
          <a:r>
            <a:rPr lang="uk-UA" sz="1400">
              <a:solidFill>
                <a:sysClr val="window" lastClr="FFFFFF"/>
              </a:solidFill>
              <a:latin typeface="Calibri"/>
              <a:ea typeface="+mn-ea"/>
              <a:cs typeface="+mn-cs"/>
            </a:rPr>
            <a:t> нерухомості - </a:t>
          </a:r>
          <a:r>
            <a:rPr lang="uk-UA" sz="1600">
              <a:solidFill>
                <a:sysClr val="window" lastClr="FFFFFF"/>
              </a:solidFill>
              <a:latin typeface="Calibri"/>
              <a:ea typeface="+mn-ea"/>
              <a:cs typeface="+mn-cs"/>
            </a:rPr>
            <a:t>90,8 %</a:t>
          </a:r>
          <a:endParaRPr lang="ru-RU" sz="1400">
            <a:solidFill>
              <a:sysClr val="window" lastClr="FFFFFF"/>
            </a:solidFill>
            <a:latin typeface="Calibri"/>
            <a:ea typeface="+mn-ea"/>
            <a:cs typeface="+mn-cs"/>
          </a:endParaRPr>
        </a:p>
      </dgm:t>
    </dgm:pt>
    <dgm:pt modelId="{A1298077-2E7A-4D11-A496-B30A368E2A6A}" type="parTrans" cxnId="{FCC8DD70-20A9-4970-A0CE-F085C3A28066}">
      <dgm:prSet/>
      <dgm:spPr/>
      <dgm:t>
        <a:bodyPr/>
        <a:lstStyle/>
        <a:p>
          <a:endParaRPr lang="ru-RU"/>
        </a:p>
      </dgm:t>
    </dgm:pt>
    <dgm:pt modelId="{47B7AF26-B315-4C64-BE97-939922773943}" type="sibTrans" cxnId="{FCC8DD70-20A9-4970-A0CE-F085C3A28066}">
      <dgm:prSet/>
      <dgm:spPr/>
      <dgm:t>
        <a:bodyPr/>
        <a:lstStyle/>
        <a:p>
          <a:endParaRPr lang="ru-RU"/>
        </a:p>
      </dgm:t>
    </dgm:pt>
    <dgm:pt modelId="{45C70776-BE34-4F62-AC49-116CD7A851F2}">
      <dgm:prSet phldrT="[Текст]"/>
      <dgm:spPr>
        <a:xfrm>
          <a:off x="2366010" y="788298"/>
          <a:ext cx="3549015" cy="716467"/>
        </a:xfrm>
        <a:solidFill>
          <a:srgbClr val="4BACC6">
            <a:tint val="40000"/>
            <a:alpha val="90000"/>
            <a:hueOff val="-10740482"/>
            <a:satOff val="48253"/>
            <a:lumOff val="3317"/>
            <a:alphaOff val="0"/>
          </a:srgbClr>
        </a:solidFill>
        <a:ln w="9525" cap="flat" cmpd="sng" algn="ctr">
          <a:solidFill>
            <a:srgbClr val="4BACC6">
              <a:tint val="40000"/>
              <a:alpha val="90000"/>
              <a:hueOff val="-10740482"/>
              <a:satOff val="48253"/>
              <a:lumOff val="3317"/>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uk-UA" i="1">
              <a:solidFill>
                <a:sysClr val="windowText" lastClr="000000">
                  <a:hueOff val="0"/>
                  <a:satOff val="0"/>
                  <a:lumOff val="0"/>
                  <a:alphaOff val="0"/>
                </a:sysClr>
              </a:solidFill>
              <a:latin typeface="Calibri"/>
              <a:ea typeface="+mn-ea"/>
              <a:cs typeface="+mn-cs"/>
            </a:rPr>
            <a:t>Сплачений юридичними особами - 63,0 %</a:t>
          </a:r>
          <a:endParaRPr lang="ru-RU" i="1">
            <a:solidFill>
              <a:sysClr val="windowText" lastClr="000000">
                <a:hueOff val="0"/>
                <a:satOff val="0"/>
                <a:lumOff val="0"/>
                <a:alphaOff val="0"/>
              </a:sysClr>
            </a:solidFill>
            <a:latin typeface="Calibri"/>
            <a:ea typeface="+mn-ea"/>
            <a:cs typeface="+mn-cs"/>
          </a:endParaRPr>
        </a:p>
      </dgm:t>
    </dgm:pt>
    <dgm:pt modelId="{B9EADC06-DA24-4766-AE24-FF22AEFD1B63}" type="parTrans" cxnId="{9083C0C5-14B0-46F3-A38A-90FC75E8DBF6}">
      <dgm:prSet/>
      <dgm:spPr/>
      <dgm:t>
        <a:bodyPr/>
        <a:lstStyle/>
        <a:p>
          <a:endParaRPr lang="ru-RU"/>
        </a:p>
      </dgm:t>
    </dgm:pt>
    <dgm:pt modelId="{05093637-4D8C-48B7-B112-F5994504FD80}" type="sibTrans" cxnId="{9083C0C5-14B0-46F3-A38A-90FC75E8DBF6}">
      <dgm:prSet/>
      <dgm:spPr/>
      <dgm:t>
        <a:bodyPr/>
        <a:lstStyle/>
        <a:p>
          <a:endParaRPr lang="ru-RU"/>
        </a:p>
      </dgm:t>
    </dgm:pt>
    <dgm:pt modelId="{852A6E60-B4CF-4778-A294-E6163A1C786F}">
      <dgm:prSet/>
      <dgm:spPr>
        <a:xfrm>
          <a:off x="2366010" y="788298"/>
          <a:ext cx="3549015" cy="716467"/>
        </a:xfrm>
        <a:solidFill>
          <a:srgbClr val="4BACC6">
            <a:tint val="40000"/>
            <a:alpha val="90000"/>
            <a:hueOff val="-10740482"/>
            <a:satOff val="48253"/>
            <a:lumOff val="3317"/>
            <a:alphaOff val="0"/>
          </a:srgbClr>
        </a:solidFill>
        <a:ln w="9525" cap="flat" cmpd="sng" algn="ctr">
          <a:solidFill>
            <a:srgbClr val="4BACC6">
              <a:tint val="40000"/>
              <a:alpha val="90000"/>
              <a:hueOff val="-10740482"/>
              <a:satOff val="48253"/>
              <a:lumOff val="3317"/>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uk-UA" i="1">
              <a:solidFill>
                <a:sysClr val="windowText" lastClr="000000">
                  <a:hueOff val="0"/>
                  <a:satOff val="0"/>
                  <a:lumOff val="0"/>
                  <a:alphaOff val="0"/>
                </a:sysClr>
              </a:solidFill>
              <a:latin typeface="Calibri"/>
              <a:ea typeface="+mn-ea"/>
              <a:cs typeface="+mn-cs"/>
            </a:rPr>
            <a:t>Сплачений фізичними особами - 27,8 %</a:t>
          </a:r>
          <a:endParaRPr lang="ru-RU" i="1">
            <a:solidFill>
              <a:sysClr val="windowText" lastClr="000000">
                <a:hueOff val="0"/>
                <a:satOff val="0"/>
                <a:lumOff val="0"/>
                <a:alphaOff val="0"/>
              </a:sysClr>
            </a:solidFill>
            <a:latin typeface="Calibri"/>
            <a:ea typeface="+mn-ea"/>
            <a:cs typeface="+mn-cs"/>
          </a:endParaRPr>
        </a:p>
      </dgm:t>
    </dgm:pt>
    <dgm:pt modelId="{95A27E41-41C2-452D-B94E-EE84C75962E0}" type="parTrans" cxnId="{AF4A2C3E-727E-4B4A-81BA-352CC070A93A}">
      <dgm:prSet/>
      <dgm:spPr/>
      <dgm:t>
        <a:bodyPr/>
        <a:lstStyle/>
        <a:p>
          <a:endParaRPr lang="ru-RU"/>
        </a:p>
      </dgm:t>
    </dgm:pt>
    <dgm:pt modelId="{7913721D-A15B-4A5D-A427-E5E60745299B}" type="sibTrans" cxnId="{AF4A2C3E-727E-4B4A-81BA-352CC070A93A}">
      <dgm:prSet/>
      <dgm:spPr/>
      <dgm:t>
        <a:bodyPr/>
        <a:lstStyle/>
        <a:p>
          <a:endParaRPr lang="ru-RU"/>
        </a:p>
      </dgm:t>
    </dgm:pt>
    <dgm:pt modelId="{828F7766-83B8-470F-9B2D-16445157756E}" type="pres">
      <dgm:prSet presAssocID="{6E97E450-9358-489C-B1C9-54DED7A1DB57}" presName="Name0" presStyleCnt="0">
        <dgm:presLayoutVars>
          <dgm:dir/>
          <dgm:animLvl val="lvl"/>
          <dgm:resizeHandles/>
        </dgm:presLayoutVars>
      </dgm:prSet>
      <dgm:spPr/>
      <dgm:t>
        <a:bodyPr/>
        <a:lstStyle/>
        <a:p>
          <a:endParaRPr lang="ru-RU"/>
        </a:p>
      </dgm:t>
    </dgm:pt>
    <dgm:pt modelId="{E33FA1BA-B336-4754-A73B-F9F5BCB4F07C}" type="pres">
      <dgm:prSet presAssocID="{A9EF2D43-18FC-4846-8C24-149194243E33}" presName="linNode" presStyleCnt="0"/>
      <dgm:spPr/>
      <dgm:t>
        <a:bodyPr/>
        <a:lstStyle/>
        <a:p>
          <a:endParaRPr lang="ru-RU"/>
        </a:p>
      </dgm:t>
    </dgm:pt>
    <dgm:pt modelId="{587A4F8A-5F61-4EE7-9C88-860853133A5C}" type="pres">
      <dgm:prSet presAssocID="{A9EF2D43-18FC-4846-8C24-149194243E33}" presName="parentShp" presStyleLbl="node1" presStyleIdx="0" presStyleCnt="2">
        <dgm:presLayoutVars>
          <dgm:bulletEnabled val="1"/>
        </dgm:presLayoutVars>
      </dgm:prSet>
      <dgm:spPr>
        <a:prstGeom prst="roundRect">
          <a:avLst/>
        </a:prstGeom>
      </dgm:spPr>
      <dgm:t>
        <a:bodyPr/>
        <a:lstStyle/>
        <a:p>
          <a:endParaRPr lang="ru-RU"/>
        </a:p>
      </dgm:t>
    </dgm:pt>
    <dgm:pt modelId="{C9F9D6F3-8931-47E3-ABD7-67F62CD0AF58}" type="pres">
      <dgm:prSet presAssocID="{A9EF2D43-18FC-4846-8C24-149194243E33}" presName="childShp" presStyleLbl="bgAccFollowNode1" presStyleIdx="0" presStyleCnt="2">
        <dgm:presLayoutVars>
          <dgm:bulletEnabled val="1"/>
        </dgm:presLayoutVars>
      </dgm:prSet>
      <dgm:spPr>
        <a:prstGeom prst="rightArrow">
          <a:avLst>
            <a:gd name="adj1" fmla="val 75000"/>
            <a:gd name="adj2" fmla="val 50000"/>
          </a:avLst>
        </a:prstGeom>
      </dgm:spPr>
      <dgm:t>
        <a:bodyPr/>
        <a:lstStyle/>
        <a:p>
          <a:endParaRPr lang="ru-RU"/>
        </a:p>
      </dgm:t>
    </dgm:pt>
    <dgm:pt modelId="{E86882A0-FB81-4709-AA61-282C68DC25F9}" type="pres">
      <dgm:prSet presAssocID="{F9622F6C-7101-4C40-A298-A54BD13D349F}" presName="spacing" presStyleCnt="0"/>
      <dgm:spPr/>
      <dgm:t>
        <a:bodyPr/>
        <a:lstStyle/>
        <a:p>
          <a:endParaRPr lang="ru-RU"/>
        </a:p>
      </dgm:t>
    </dgm:pt>
    <dgm:pt modelId="{5FF88C8D-2B55-45D8-8411-8EAC354A05EF}" type="pres">
      <dgm:prSet presAssocID="{E8F72E8D-7F69-4C58-AC87-D7FB1C6190BD}" presName="linNode" presStyleCnt="0"/>
      <dgm:spPr/>
      <dgm:t>
        <a:bodyPr/>
        <a:lstStyle/>
        <a:p>
          <a:endParaRPr lang="ru-RU"/>
        </a:p>
      </dgm:t>
    </dgm:pt>
    <dgm:pt modelId="{36EA6635-C449-4928-91B2-38B5E2E2A661}" type="pres">
      <dgm:prSet presAssocID="{E8F72E8D-7F69-4C58-AC87-D7FB1C6190BD}" presName="parentShp" presStyleLbl="node1" presStyleIdx="1" presStyleCnt="2">
        <dgm:presLayoutVars>
          <dgm:bulletEnabled val="1"/>
        </dgm:presLayoutVars>
      </dgm:prSet>
      <dgm:spPr>
        <a:prstGeom prst="roundRect">
          <a:avLst/>
        </a:prstGeom>
      </dgm:spPr>
      <dgm:t>
        <a:bodyPr/>
        <a:lstStyle/>
        <a:p>
          <a:endParaRPr lang="ru-RU"/>
        </a:p>
      </dgm:t>
    </dgm:pt>
    <dgm:pt modelId="{6FDDA541-FCD5-47FD-8C3D-BB0216F99AA7}" type="pres">
      <dgm:prSet presAssocID="{E8F72E8D-7F69-4C58-AC87-D7FB1C6190BD}" presName="childShp" presStyleLbl="bgAccFollowNode1" presStyleIdx="1" presStyleCnt="2">
        <dgm:presLayoutVars>
          <dgm:bulletEnabled val="1"/>
        </dgm:presLayoutVars>
      </dgm:prSet>
      <dgm:spPr>
        <a:prstGeom prst="rightArrow">
          <a:avLst>
            <a:gd name="adj1" fmla="val 75000"/>
            <a:gd name="adj2" fmla="val 50000"/>
          </a:avLst>
        </a:prstGeom>
      </dgm:spPr>
      <dgm:t>
        <a:bodyPr/>
        <a:lstStyle/>
        <a:p>
          <a:endParaRPr lang="ru-RU"/>
        </a:p>
      </dgm:t>
    </dgm:pt>
  </dgm:ptLst>
  <dgm:cxnLst>
    <dgm:cxn modelId="{FCC8DD70-20A9-4970-A0CE-F085C3A28066}" srcId="{6E97E450-9358-489C-B1C9-54DED7A1DB57}" destId="{E8F72E8D-7F69-4C58-AC87-D7FB1C6190BD}" srcOrd="1" destOrd="0" parTransId="{A1298077-2E7A-4D11-A496-B30A368E2A6A}" sibTransId="{47B7AF26-B315-4C64-BE97-939922773943}"/>
    <dgm:cxn modelId="{9083C0C5-14B0-46F3-A38A-90FC75E8DBF6}" srcId="{E8F72E8D-7F69-4C58-AC87-D7FB1C6190BD}" destId="{45C70776-BE34-4F62-AC49-116CD7A851F2}" srcOrd="0" destOrd="0" parTransId="{B9EADC06-DA24-4766-AE24-FF22AEFD1B63}" sibTransId="{05093637-4D8C-48B7-B112-F5994504FD80}"/>
    <dgm:cxn modelId="{26597D1E-507E-43DC-8FB3-77F91346E7AA}" type="presOf" srcId="{852A6E60-B4CF-4778-A294-E6163A1C786F}" destId="{6FDDA541-FCD5-47FD-8C3D-BB0216F99AA7}" srcOrd="0" destOrd="1" presId="urn:microsoft.com/office/officeart/2005/8/layout/vList6"/>
    <dgm:cxn modelId="{D62EA133-8DF8-4DAA-8836-20EE8051623E}" srcId="{A9EF2D43-18FC-4846-8C24-149194243E33}" destId="{5946B8C4-FBEF-48DF-A6E2-DBB48C467937}" srcOrd="1" destOrd="0" parTransId="{F61D9844-10FE-4AAE-A69A-C2B339E2F419}" sibTransId="{48005C94-6880-4B31-9007-9BD070F2B5A1}"/>
    <dgm:cxn modelId="{F44D2CEE-1A6D-49E3-B7C0-30485292CE30}" type="presOf" srcId="{45C70776-BE34-4F62-AC49-116CD7A851F2}" destId="{6FDDA541-FCD5-47FD-8C3D-BB0216F99AA7}" srcOrd="0" destOrd="0" presId="urn:microsoft.com/office/officeart/2005/8/layout/vList6"/>
    <dgm:cxn modelId="{786A6819-B391-4303-B379-1298BA12A2FC}" type="presOf" srcId="{5946B8C4-FBEF-48DF-A6E2-DBB48C467937}" destId="{C9F9D6F3-8931-47E3-ABD7-67F62CD0AF58}" srcOrd="0" destOrd="1" presId="urn:microsoft.com/office/officeart/2005/8/layout/vList6"/>
    <dgm:cxn modelId="{F60ACE4A-4C6B-4E88-AC0C-EDD3419E868F}" type="presOf" srcId="{A9EF2D43-18FC-4846-8C24-149194243E33}" destId="{587A4F8A-5F61-4EE7-9C88-860853133A5C}" srcOrd="0" destOrd="0" presId="urn:microsoft.com/office/officeart/2005/8/layout/vList6"/>
    <dgm:cxn modelId="{19FC45A6-03C7-42B2-9DA9-F827E58BB637}" srcId="{6E97E450-9358-489C-B1C9-54DED7A1DB57}" destId="{A9EF2D43-18FC-4846-8C24-149194243E33}" srcOrd="0" destOrd="0" parTransId="{F25330D6-2B63-4122-AB3A-F85AE3871FB7}" sibTransId="{F9622F6C-7101-4C40-A298-A54BD13D349F}"/>
    <dgm:cxn modelId="{CD4AA393-F22D-4E4B-A2D1-1BA5FC2FD2DC}" type="presOf" srcId="{E8F72E8D-7F69-4C58-AC87-D7FB1C6190BD}" destId="{36EA6635-C449-4928-91B2-38B5E2E2A661}" srcOrd="0" destOrd="0" presId="urn:microsoft.com/office/officeart/2005/8/layout/vList6"/>
    <dgm:cxn modelId="{AF4A2C3E-727E-4B4A-81BA-352CC070A93A}" srcId="{E8F72E8D-7F69-4C58-AC87-D7FB1C6190BD}" destId="{852A6E60-B4CF-4778-A294-E6163A1C786F}" srcOrd="1" destOrd="0" parTransId="{95A27E41-41C2-452D-B94E-EE84C75962E0}" sibTransId="{7913721D-A15B-4A5D-A427-E5E60745299B}"/>
    <dgm:cxn modelId="{83566E37-4746-4996-B516-D892736E24BB}" srcId="{A9EF2D43-18FC-4846-8C24-149194243E33}" destId="{5E71E7B5-C211-471F-8698-8A015F17D429}" srcOrd="0" destOrd="0" parTransId="{EEBA06F5-2C3F-452E-A236-815B252D155D}" sibTransId="{9229132E-F26D-4167-89F5-3D628CFB2583}"/>
    <dgm:cxn modelId="{43993DA7-9F25-4396-8C28-EAA063CEAA7B}" type="presOf" srcId="{6E97E450-9358-489C-B1C9-54DED7A1DB57}" destId="{828F7766-83B8-470F-9B2D-16445157756E}" srcOrd="0" destOrd="0" presId="urn:microsoft.com/office/officeart/2005/8/layout/vList6"/>
    <dgm:cxn modelId="{2BDC8BAA-799E-461F-8D4E-2DE08881F286}" type="presOf" srcId="{5E71E7B5-C211-471F-8698-8A015F17D429}" destId="{C9F9D6F3-8931-47E3-ABD7-67F62CD0AF58}" srcOrd="0" destOrd="0" presId="urn:microsoft.com/office/officeart/2005/8/layout/vList6"/>
    <dgm:cxn modelId="{A8081295-6AF4-4B7E-9AEA-D69B65C6FA84}" type="presParOf" srcId="{828F7766-83B8-470F-9B2D-16445157756E}" destId="{E33FA1BA-B336-4754-A73B-F9F5BCB4F07C}" srcOrd="0" destOrd="0" presId="urn:microsoft.com/office/officeart/2005/8/layout/vList6"/>
    <dgm:cxn modelId="{D814943B-D7D1-42E8-81B1-B8552F9CF1DB}" type="presParOf" srcId="{E33FA1BA-B336-4754-A73B-F9F5BCB4F07C}" destId="{587A4F8A-5F61-4EE7-9C88-860853133A5C}" srcOrd="0" destOrd="0" presId="urn:microsoft.com/office/officeart/2005/8/layout/vList6"/>
    <dgm:cxn modelId="{1CCF2D72-4225-4ECA-A821-28BEC90F8F24}" type="presParOf" srcId="{E33FA1BA-B336-4754-A73B-F9F5BCB4F07C}" destId="{C9F9D6F3-8931-47E3-ABD7-67F62CD0AF58}" srcOrd="1" destOrd="0" presId="urn:microsoft.com/office/officeart/2005/8/layout/vList6"/>
    <dgm:cxn modelId="{7F937D68-9F78-4BA3-8F8C-34DAAA926FDD}" type="presParOf" srcId="{828F7766-83B8-470F-9B2D-16445157756E}" destId="{E86882A0-FB81-4709-AA61-282C68DC25F9}" srcOrd="1" destOrd="0" presId="urn:microsoft.com/office/officeart/2005/8/layout/vList6"/>
    <dgm:cxn modelId="{B6456198-1AFC-4D47-9A4E-CF93EC7E8133}" type="presParOf" srcId="{828F7766-83B8-470F-9B2D-16445157756E}" destId="{5FF88C8D-2B55-45D8-8411-8EAC354A05EF}" srcOrd="2" destOrd="0" presId="urn:microsoft.com/office/officeart/2005/8/layout/vList6"/>
    <dgm:cxn modelId="{D7A3C808-4B1E-42DC-8E4E-4720A5710099}" type="presParOf" srcId="{5FF88C8D-2B55-45D8-8411-8EAC354A05EF}" destId="{36EA6635-C449-4928-91B2-38B5E2E2A661}" srcOrd="0" destOrd="0" presId="urn:microsoft.com/office/officeart/2005/8/layout/vList6"/>
    <dgm:cxn modelId="{79A6326B-597E-4C29-AB20-C11EE1C91AD3}" type="presParOf" srcId="{5FF88C8D-2B55-45D8-8411-8EAC354A05EF}" destId="{6FDDA541-FCD5-47FD-8C3D-BB0216F99AA7}" srcOrd="1" destOrd="0" presId="urn:microsoft.com/office/officeart/2005/8/layout/vList6"/>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6F1C05E-DEB4-4C2B-AFD0-73AD925116FD}" type="doc">
      <dgm:prSet loTypeId="urn:microsoft.com/office/officeart/2005/8/layout/hierarchy3" loCatId="list" qsTypeId="urn:microsoft.com/office/officeart/2005/8/quickstyle/3d3" qsCatId="3D" csTypeId="urn:microsoft.com/office/officeart/2005/8/colors/accent1_2" csCatId="accent1" phldr="1"/>
      <dgm:spPr/>
      <dgm:t>
        <a:bodyPr/>
        <a:lstStyle/>
        <a:p>
          <a:endParaRPr lang="ru-RU"/>
        </a:p>
      </dgm:t>
    </dgm:pt>
    <dgm:pt modelId="{08C3E8F8-40A1-4DE1-A20F-82A879E3A7BE}">
      <dgm:prSet phldrT="[Текст]"/>
      <dgm:spPr>
        <a:xfrm>
          <a:off x="401022" y="0"/>
          <a:ext cx="4278270" cy="370077"/>
        </a:xfrm>
      </dgm:spPr>
      <dgm:t>
        <a:bodyPr/>
        <a:lstStyle/>
        <a:p>
          <a:r>
            <a:rPr lang="uk-UA">
              <a:latin typeface="Calibri"/>
              <a:ea typeface="+mn-ea"/>
              <a:cs typeface="+mn-cs"/>
            </a:rPr>
            <a:t>Єдиний податок  на 2024р.(разом) - 85 000,0 тис.грн</a:t>
          </a:r>
          <a:endParaRPr lang="ru-RU">
            <a:latin typeface="Calibri"/>
            <a:ea typeface="+mn-ea"/>
            <a:cs typeface="+mn-cs"/>
          </a:endParaRPr>
        </a:p>
      </dgm:t>
    </dgm:pt>
    <dgm:pt modelId="{3D7C2FF3-8842-4093-A010-08C25F7CC96C}" type="parTrans" cxnId="{38083987-04B4-4F64-AE94-BDE84107C750}">
      <dgm:prSet/>
      <dgm:spPr/>
      <dgm:t>
        <a:bodyPr/>
        <a:lstStyle/>
        <a:p>
          <a:endParaRPr lang="ru-RU"/>
        </a:p>
      </dgm:t>
    </dgm:pt>
    <dgm:pt modelId="{40F4447E-35AB-4F67-A00A-651FBFE5365D}" type="sibTrans" cxnId="{38083987-04B4-4F64-AE94-BDE84107C750}">
      <dgm:prSet/>
      <dgm:spPr/>
      <dgm:t>
        <a:bodyPr/>
        <a:lstStyle/>
        <a:p>
          <a:endParaRPr lang="ru-RU"/>
        </a:p>
      </dgm:t>
    </dgm:pt>
    <dgm:pt modelId="{DEF8A94D-ACEE-4724-B7D8-EBE445A4B047}">
      <dgm:prSet phldrT="[Текст]"/>
      <dgm:spPr>
        <a:xfrm>
          <a:off x="1213984" y="462912"/>
          <a:ext cx="4010886" cy="370077"/>
        </a:xfrm>
      </dgm:spPr>
      <dgm:t>
        <a:bodyPr/>
        <a:lstStyle/>
        <a:p>
          <a:r>
            <a:rPr lang="uk-UA">
              <a:latin typeface="Calibri"/>
              <a:ea typeface="+mn-ea"/>
              <a:cs typeface="+mn-cs"/>
            </a:rPr>
            <a:t>Єдиний податок з юридичних осіб - 29 700,0 тис.грн (34,9%)</a:t>
          </a:r>
          <a:endParaRPr lang="ru-RU">
            <a:latin typeface="Calibri"/>
            <a:ea typeface="+mn-ea"/>
            <a:cs typeface="+mn-cs"/>
          </a:endParaRPr>
        </a:p>
      </dgm:t>
    </dgm:pt>
    <dgm:pt modelId="{CBEA5CD2-0B20-430B-A909-737F34665A6A}" type="parTrans" cxnId="{5B5D1333-3793-487E-9148-11B290D3A8F4}">
      <dgm:prSet/>
      <dgm:spPr>
        <a:xfrm>
          <a:off x="828849" y="370077"/>
          <a:ext cx="385134" cy="277873"/>
        </a:xfrm>
      </dgm:spPr>
      <dgm:t>
        <a:bodyPr/>
        <a:lstStyle/>
        <a:p>
          <a:endParaRPr lang="ru-RU"/>
        </a:p>
      </dgm:t>
    </dgm:pt>
    <dgm:pt modelId="{791753F5-0160-40E9-8783-86751657DD61}" type="sibTrans" cxnId="{5B5D1333-3793-487E-9148-11B290D3A8F4}">
      <dgm:prSet/>
      <dgm:spPr/>
      <dgm:t>
        <a:bodyPr/>
        <a:lstStyle/>
        <a:p>
          <a:endParaRPr lang="ru-RU"/>
        </a:p>
      </dgm:t>
    </dgm:pt>
    <dgm:pt modelId="{57DBEBD4-CD01-4491-A4D1-06B260F75710}">
      <dgm:prSet phldrT="[Текст]"/>
      <dgm:spPr>
        <a:xfrm>
          <a:off x="1213984" y="925509"/>
          <a:ext cx="3992074" cy="370077"/>
        </a:xfrm>
      </dgm:spPr>
      <dgm:t>
        <a:bodyPr/>
        <a:lstStyle/>
        <a:p>
          <a:r>
            <a:rPr lang="uk-UA">
              <a:latin typeface="Calibri"/>
              <a:ea typeface="+mn-ea"/>
              <a:cs typeface="+mn-cs"/>
            </a:rPr>
            <a:t>Єдиний податок з фізичних осіб - 55 300,0 тис.грн.  (65,1 %)</a:t>
          </a:r>
          <a:endParaRPr lang="ru-RU">
            <a:latin typeface="Calibri"/>
            <a:ea typeface="+mn-ea"/>
            <a:cs typeface="+mn-cs"/>
          </a:endParaRPr>
        </a:p>
      </dgm:t>
    </dgm:pt>
    <dgm:pt modelId="{36B137F9-EC1F-4338-827A-BDF35BD537B2}" type="parTrans" cxnId="{4DB65F37-891F-41C1-9B41-A95411BCA1AC}">
      <dgm:prSet/>
      <dgm:spPr>
        <a:xfrm>
          <a:off x="828849" y="370077"/>
          <a:ext cx="385134" cy="740470"/>
        </a:xfrm>
      </dgm:spPr>
      <dgm:t>
        <a:bodyPr/>
        <a:lstStyle/>
        <a:p>
          <a:endParaRPr lang="ru-RU"/>
        </a:p>
      </dgm:t>
    </dgm:pt>
    <dgm:pt modelId="{33569702-108B-48C6-93BF-4CA795AE274E}" type="sibTrans" cxnId="{4DB65F37-891F-41C1-9B41-A95411BCA1AC}">
      <dgm:prSet/>
      <dgm:spPr/>
      <dgm:t>
        <a:bodyPr/>
        <a:lstStyle/>
        <a:p>
          <a:endParaRPr lang="ru-RU"/>
        </a:p>
      </dgm:t>
    </dgm:pt>
    <dgm:pt modelId="{871EA27C-1471-45E5-BC47-9F5FE08E30E7}" type="pres">
      <dgm:prSet presAssocID="{46F1C05E-DEB4-4C2B-AFD0-73AD925116FD}" presName="diagram" presStyleCnt="0">
        <dgm:presLayoutVars>
          <dgm:chPref val="1"/>
          <dgm:dir/>
          <dgm:animOne val="branch"/>
          <dgm:animLvl val="lvl"/>
          <dgm:resizeHandles/>
        </dgm:presLayoutVars>
      </dgm:prSet>
      <dgm:spPr/>
      <dgm:t>
        <a:bodyPr/>
        <a:lstStyle/>
        <a:p>
          <a:endParaRPr lang="ru-RU"/>
        </a:p>
      </dgm:t>
    </dgm:pt>
    <dgm:pt modelId="{5592632F-992C-44B4-A34D-27127536E224}" type="pres">
      <dgm:prSet presAssocID="{08C3E8F8-40A1-4DE1-A20F-82A879E3A7BE}" presName="root" presStyleCnt="0"/>
      <dgm:spPr/>
      <dgm:t>
        <a:bodyPr/>
        <a:lstStyle/>
        <a:p>
          <a:endParaRPr lang="ru-RU"/>
        </a:p>
      </dgm:t>
    </dgm:pt>
    <dgm:pt modelId="{2B8ECA79-286F-4726-B680-F2E7EA1ACECD}" type="pres">
      <dgm:prSet presAssocID="{08C3E8F8-40A1-4DE1-A20F-82A879E3A7BE}" presName="rootComposite" presStyleCnt="0"/>
      <dgm:spPr/>
      <dgm:t>
        <a:bodyPr/>
        <a:lstStyle/>
        <a:p>
          <a:endParaRPr lang="ru-RU"/>
        </a:p>
      </dgm:t>
    </dgm:pt>
    <dgm:pt modelId="{21FE3CDF-D9CD-418C-A28E-5DBAD10826E3}" type="pres">
      <dgm:prSet presAssocID="{08C3E8F8-40A1-4DE1-A20F-82A879E3A7BE}" presName="rootText" presStyleLbl="node1" presStyleIdx="0" presStyleCnt="1" custScaleX="578023" custLinFactNeighborX="9200" custLinFactNeighborY="2203"/>
      <dgm:spPr>
        <a:prstGeom prst="roundRect">
          <a:avLst>
            <a:gd name="adj" fmla="val 10000"/>
          </a:avLst>
        </a:prstGeom>
      </dgm:spPr>
      <dgm:t>
        <a:bodyPr/>
        <a:lstStyle/>
        <a:p>
          <a:endParaRPr lang="ru-RU"/>
        </a:p>
      </dgm:t>
    </dgm:pt>
    <dgm:pt modelId="{548438B3-753C-4B64-9DB0-221C2D9F2062}" type="pres">
      <dgm:prSet presAssocID="{08C3E8F8-40A1-4DE1-A20F-82A879E3A7BE}" presName="rootConnector" presStyleLbl="node1" presStyleIdx="0" presStyleCnt="1"/>
      <dgm:spPr/>
      <dgm:t>
        <a:bodyPr/>
        <a:lstStyle/>
        <a:p>
          <a:endParaRPr lang="ru-RU"/>
        </a:p>
      </dgm:t>
    </dgm:pt>
    <dgm:pt modelId="{D3873557-A88C-40D9-8799-C2EDEF426A50}" type="pres">
      <dgm:prSet presAssocID="{08C3E8F8-40A1-4DE1-A20F-82A879E3A7BE}" presName="childShape" presStyleCnt="0"/>
      <dgm:spPr/>
      <dgm:t>
        <a:bodyPr/>
        <a:lstStyle/>
        <a:p>
          <a:endParaRPr lang="ru-RU"/>
        </a:p>
      </dgm:t>
    </dgm:pt>
    <dgm:pt modelId="{2E631192-62E7-4AAB-80D6-DB1F82506576}" type="pres">
      <dgm:prSet presAssocID="{CBEA5CD2-0B20-430B-A909-737F34665A6A}" presName="Name13" presStyleLbl="parChTrans1D2" presStyleIdx="0" presStyleCnt="2"/>
      <dgm:spPr>
        <a:custGeom>
          <a:avLst/>
          <a:gdLst/>
          <a:ahLst/>
          <a:cxnLst/>
          <a:rect l="0" t="0" r="0" b="0"/>
          <a:pathLst>
            <a:path>
              <a:moveTo>
                <a:pt x="0" y="0"/>
              </a:moveTo>
              <a:lnTo>
                <a:pt x="0" y="277873"/>
              </a:lnTo>
              <a:lnTo>
                <a:pt x="385134" y="277873"/>
              </a:lnTo>
            </a:path>
          </a:pathLst>
        </a:custGeom>
      </dgm:spPr>
      <dgm:t>
        <a:bodyPr/>
        <a:lstStyle/>
        <a:p>
          <a:endParaRPr lang="ru-RU"/>
        </a:p>
      </dgm:t>
    </dgm:pt>
    <dgm:pt modelId="{A2A32113-9335-4EEF-8DC7-977E90D62823}" type="pres">
      <dgm:prSet presAssocID="{DEF8A94D-ACEE-4724-B7D8-EBE445A4B047}" presName="childText" presStyleLbl="bgAcc1" presStyleIdx="0" presStyleCnt="2" custScaleX="677372">
        <dgm:presLayoutVars>
          <dgm:bulletEnabled val="1"/>
        </dgm:presLayoutVars>
      </dgm:prSet>
      <dgm:spPr>
        <a:prstGeom prst="roundRect">
          <a:avLst>
            <a:gd name="adj" fmla="val 10000"/>
          </a:avLst>
        </a:prstGeom>
      </dgm:spPr>
      <dgm:t>
        <a:bodyPr/>
        <a:lstStyle/>
        <a:p>
          <a:endParaRPr lang="ru-RU"/>
        </a:p>
      </dgm:t>
    </dgm:pt>
    <dgm:pt modelId="{6D8E6ABD-E11D-425A-B07C-EF27F6AFAE61}" type="pres">
      <dgm:prSet presAssocID="{36B137F9-EC1F-4338-827A-BDF35BD537B2}" presName="Name13" presStyleLbl="parChTrans1D2" presStyleIdx="1" presStyleCnt="2"/>
      <dgm:spPr>
        <a:custGeom>
          <a:avLst/>
          <a:gdLst/>
          <a:ahLst/>
          <a:cxnLst/>
          <a:rect l="0" t="0" r="0" b="0"/>
          <a:pathLst>
            <a:path>
              <a:moveTo>
                <a:pt x="0" y="0"/>
              </a:moveTo>
              <a:lnTo>
                <a:pt x="0" y="740470"/>
              </a:lnTo>
              <a:lnTo>
                <a:pt x="385134" y="740470"/>
              </a:lnTo>
            </a:path>
          </a:pathLst>
        </a:custGeom>
      </dgm:spPr>
      <dgm:t>
        <a:bodyPr/>
        <a:lstStyle/>
        <a:p>
          <a:endParaRPr lang="ru-RU"/>
        </a:p>
      </dgm:t>
    </dgm:pt>
    <dgm:pt modelId="{374C567B-34F6-457F-BDC0-6E6C8285277D}" type="pres">
      <dgm:prSet presAssocID="{57DBEBD4-CD01-4491-A4D1-06B260F75710}" presName="childText" presStyleLbl="bgAcc1" presStyleIdx="1" presStyleCnt="2" custScaleX="674195">
        <dgm:presLayoutVars>
          <dgm:bulletEnabled val="1"/>
        </dgm:presLayoutVars>
      </dgm:prSet>
      <dgm:spPr>
        <a:prstGeom prst="roundRect">
          <a:avLst>
            <a:gd name="adj" fmla="val 10000"/>
          </a:avLst>
        </a:prstGeom>
      </dgm:spPr>
      <dgm:t>
        <a:bodyPr/>
        <a:lstStyle/>
        <a:p>
          <a:endParaRPr lang="ru-RU"/>
        </a:p>
      </dgm:t>
    </dgm:pt>
  </dgm:ptLst>
  <dgm:cxnLst>
    <dgm:cxn modelId="{5B5D1333-3793-487E-9148-11B290D3A8F4}" srcId="{08C3E8F8-40A1-4DE1-A20F-82A879E3A7BE}" destId="{DEF8A94D-ACEE-4724-B7D8-EBE445A4B047}" srcOrd="0" destOrd="0" parTransId="{CBEA5CD2-0B20-430B-A909-737F34665A6A}" sibTransId="{791753F5-0160-40E9-8783-86751657DD61}"/>
    <dgm:cxn modelId="{45723B35-1739-4E35-A897-9C8783709115}" type="presOf" srcId="{57DBEBD4-CD01-4491-A4D1-06B260F75710}" destId="{374C567B-34F6-457F-BDC0-6E6C8285277D}" srcOrd="0" destOrd="0" presId="urn:microsoft.com/office/officeart/2005/8/layout/hierarchy3"/>
    <dgm:cxn modelId="{733D4EF1-EC3E-4128-948D-93CD34689FCC}" type="presOf" srcId="{08C3E8F8-40A1-4DE1-A20F-82A879E3A7BE}" destId="{548438B3-753C-4B64-9DB0-221C2D9F2062}" srcOrd="1" destOrd="0" presId="urn:microsoft.com/office/officeart/2005/8/layout/hierarchy3"/>
    <dgm:cxn modelId="{6B61B7A0-469C-485E-9E35-7B3B9F8D867F}" type="presOf" srcId="{CBEA5CD2-0B20-430B-A909-737F34665A6A}" destId="{2E631192-62E7-4AAB-80D6-DB1F82506576}" srcOrd="0" destOrd="0" presId="urn:microsoft.com/office/officeart/2005/8/layout/hierarchy3"/>
    <dgm:cxn modelId="{4DB65F37-891F-41C1-9B41-A95411BCA1AC}" srcId="{08C3E8F8-40A1-4DE1-A20F-82A879E3A7BE}" destId="{57DBEBD4-CD01-4491-A4D1-06B260F75710}" srcOrd="1" destOrd="0" parTransId="{36B137F9-EC1F-4338-827A-BDF35BD537B2}" sibTransId="{33569702-108B-48C6-93BF-4CA795AE274E}"/>
    <dgm:cxn modelId="{03762BB0-581A-4262-BC04-FE22CC81D79E}" type="presOf" srcId="{46F1C05E-DEB4-4C2B-AFD0-73AD925116FD}" destId="{871EA27C-1471-45E5-BC47-9F5FE08E30E7}" srcOrd="0" destOrd="0" presId="urn:microsoft.com/office/officeart/2005/8/layout/hierarchy3"/>
    <dgm:cxn modelId="{A826FA51-EDD2-49E9-84CC-2DAF7309FAE3}" type="presOf" srcId="{36B137F9-EC1F-4338-827A-BDF35BD537B2}" destId="{6D8E6ABD-E11D-425A-B07C-EF27F6AFAE61}" srcOrd="0" destOrd="0" presId="urn:microsoft.com/office/officeart/2005/8/layout/hierarchy3"/>
    <dgm:cxn modelId="{47D3122D-0224-47ED-A391-9E6A41EF4C42}" type="presOf" srcId="{DEF8A94D-ACEE-4724-B7D8-EBE445A4B047}" destId="{A2A32113-9335-4EEF-8DC7-977E90D62823}" srcOrd="0" destOrd="0" presId="urn:microsoft.com/office/officeart/2005/8/layout/hierarchy3"/>
    <dgm:cxn modelId="{D283AA97-4EA3-4CB3-B331-C545CDE7C538}" type="presOf" srcId="{08C3E8F8-40A1-4DE1-A20F-82A879E3A7BE}" destId="{21FE3CDF-D9CD-418C-A28E-5DBAD10826E3}" srcOrd="0" destOrd="0" presId="urn:microsoft.com/office/officeart/2005/8/layout/hierarchy3"/>
    <dgm:cxn modelId="{38083987-04B4-4F64-AE94-BDE84107C750}" srcId="{46F1C05E-DEB4-4C2B-AFD0-73AD925116FD}" destId="{08C3E8F8-40A1-4DE1-A20F-82A879E3A7BE}" srcOrd="0" destOrd="0" parTransId="{3D7C2FF3-8842-4093-A010-08C25F7CC96C}" sibTransId="{40F4447E-35AB-4F67-A00A-651FBFE5365D}"/>
    <dgm:cxn modelId="{1F79F981-A51A-4E23-8D4F-3710A0D5E1DC}" type="presParOf" srcId="{871EA27C-1471-45E5-BC47-9F5FE08E30E7}" destId="{5592632F-992C-44B4-A34D-27127536E224}" srcOrd="0" destOrd="0" presId="urn:microsoft.com/office/officeart/2005/8/layout/hierarchy3"/>
    <dgm:cxn modelId="{F1CECF50-9617-4B17-AA4B-243F323F595F}" type="presParOf" srcId="{5592632F-992C-44B4-A34D-27127536E224}" destId="{2B8ECA79-286F-4726-B680-F2E7EA1ACECD}" srcOrd="0" destOrd="0" presId="urn:microsoft.com/office/officeart/2005/8/layout/hierarchy3"/>
    <dgm:cxn modelId="{CB1896FA-2AAF-459D-8AF4-AC5294FCBFF9}" type="presParOf" srcId="{2B8ECA79-286F-4726-B680-F2E7EA1ACECD}" destId="{21FE3CDF-D9CD-418C-A28E-5DBAD10826E3}" srcOrd="0" destOrd="0" presId="urn:microsoft.com/office/officeart/2005/8/layout/hierarchy3"/>
    <dgm:cxn modelId="{D50E549F-D162-4D05-8697-5666C90E4D7A}" type="presParOf" srcId="{2B8ECA79-286F-4726-B680-F2E7EA1ACECD}" destId="{548438B3-753C-4B64-9DB0-221C2D9F2062}" srcOrd="1" destOrd="0" presId="urn:microsoft.com/office/officeart/2005/8/layout/hierarchy3"/>
    <dgm:cxn modelId="{1B44F7A6-6619-49D3-B301-FD9B3ABE9CAC}" type="presParOf" srcId="{5592632F-992C-44B4-A34D-27127536E224}" destId="{D3873557-A88C-40D9-8799-C2EDEF426A50}" srcOrd="1" destOrd="0" presId="urn:microsoft.com/office/officeart/2005/8/layout/hierarchy3"/>
    <dgm:cxn modelId="{6C442976-0EAB-41B3-9A34-9F5BC65C0BCF}" type="presParOf" srcId="{D3873557-A88C-40D9-8799-C2EDEF426A50}" destId="{2E631192-62E7-4AAB-80D6-DB1F82506576}" srcOrd="0" destOrd="0" presId="urn:microsoft.com/office/officeart/2005/8/layout/hierarchy3"/>
    <dgm:cxn modelId="{D8A07F1A-2421-4FD7-8B6D-9BB5C1E4536C}" type="presParOf" srcId="{D3873557-A88C-40D9-8799-C2EDEF426A50}" destId="{A2A32113-9335-4EEF-8DC7-977E90D62823}" srcOrd="1" destOrd="0" presId="urn:microsoft.com/office/officeart/2005/8/layout/hierarchy3"/>
    <dgm:cxn modelId="{678ED63A-062F-489A-9E27-8E3119EE81E1}" type="presParOf" srcId="{D3873557-A88C-40D9-8799-C2EDEF426A50}" destId="{6D8E6ABD-E11D-425A-B07C-EF27F6AFAE61}" srcOrd="2" destOrd="0" presId="urn:microsoft.com/office/officeart/2005/8/layout/hierarchy3"/>
    <dgm:cxn modelId="{DE230B30-96CA-43F9-8139-B1F1BF2F65F7}" type="presParOf" srcId="{D3873557-A88C-40D9-8799-C2EDEF426A50}" destId="{374C567B-34F6-457F-BDC0-6E6C8285277D}" srcOrd="3" destOrd="0" presId="urn:microsoft.com/office/officeart/2005/8/layout/hierarchy3"/>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05EDFD5-0A87-40CB-82A7-35C471587D9D}">
      <dsp:nvSpPr>
        <dsp:cNvPr id="0" name=""/>
        <dsp:cNvSpPr/>
      </dsp:nvSpPr>
      <dsp:spPr>
        <a:xfrm>
          <a:off x="2385795" y="918354"/>
          <a:ext cx="1214108" cy="770745"/>
        </a:xfrm>
        <a:prstGeom prst="ellipse">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b="1" kern="1200">
              <a:latin typeface="Calibri"/>
              <a:ea typeface="+mn-ea"/>
              <a:cs typeface="+mn-cs"/>
            </a:rPr>
            <a:t>Податок на майно - 230,9 млн.грн</a:t>
          </a:r>
        </a:p>
      </dsp:txBody>
      <dsp:txXfrm>
        <a:off x="2563597" y="1031227"/>
        <a:ext cx="858504" cy="544999"/>
      </dsp:txXfrm>
    </dsp:sp>
    <dsp:sp modelId="{E6C15FAA-CAD6-4AB5-8E7F-99A035E8DCB3}">
      <dsp:nvSpPr>
        <dsp:cNvPr id="0" name=""/>
        <dsp:cNvSpPr/>
      </dsp:nvSpPr>
      <dsp:spPr>
        <a:xfrm rot="11738590">
          <a:off x="1349969" y="880608"/>
          <a:ext cx="1048127" cy="219662"/>
        </a:xfrm>
        <a:prstGeom prst="leftArrow">
          <a:avLst>
            <a:gd name="adj1" fmla="val 60000"/>
            <a:gd name="adj2" fmla="val 50000"/>
          </a:avLst>
        </a:prstGeom>
        <a:solidFill>
          <a:schemeClr val="accent2">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sp>
    <dsp:sp modelId="{3859A1A8-9D5E-471D-BCD9-93F5E1E1A64C}">
      <dsp:nvSpPr>
        <dsp:cNvPr id="0" name=""/>
        <dsp:cNvSpPr/>
      </dsp:nvSpPr>
      <dsp:spPr>
        <a:xfrm>
          <a:off x="551149" y="556244"/>
          <a:ext cx="1636462" cy="585766"/>
        </a:xfrm>
        <a:prstGeom prst="roundRect">
          <a:avLst>
            <a:gd name="adj" fmla="val 10000"/>
          </a:avLst>
        </a:prstGeom>
        <a:solidFill>
          <a:schemeClr val="accent2">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ru-RU" sz="900" b="1" kern="1200">
              <a:latin typeface="Calibri"/>
              <a:ea typeface="+mn-ea"/>
              <a:cs typeface="+mn-cs"/>
            </a:rPr>
            <a:t>Плата за землю - </a:t>
          </a:r>
        </a:p>
        <a:p>
          <a:pPr lvl="0" algn="ctr" defTabSz="400050">
            <a:lnSpc>
              <a:spcPct val="90000"/>
            </a:lnSpc>
            <a:spcBef>
              <a:spcPct val="0"/>
            </a:spcBef>
            <a:spcAft>
              <a:spcPct val="35000"/>
            </a:spcAft>
          </a:pPr>
          <a:r>
            <a:rPr lang="ru-RU" sz="900" b="1" kern="1200">
              <a:latin typeface="Calibri"/>
              <a:ea typeface="+mn-ea"/>
              <a:cs typeface="+mn-cs"/>
            </a:rPr>
            <a:t>202,0 млн.грн.(87,5%)</a:t>
          </a:r>
        </a:p>
      </dsp:txBody>
      <dsp:txXfrm>
        <a:off x="568306" y="573401"/>
        <a:ext cx="1602148" cy="551452"/>
      </dsp:txXfrm>
    </dsp:sp>
    <dsp:sp modelId="{ABE31A5B-5223-4FCE-B22B-1ACB23555A56}">
      <dsp:nvSpPr>
        <dsp:cNvPr id="0" name=""/>
        <dsp:cNvSpPr/>
      </dsp:nvSpPr>
      <dsp:spPr>
        <a:xfrm rot="16200000">
          <a:off x="2697406" y="478690"/>
          <a:ext cx="590886" cy="219662"/>
        </a:xfrm>
        <a:prstGeom prst="leftArrow">
          <a:avLst>
            <a:gd name="adj1" fmla="val 60000"/>
            <a:gd name="adj2" fmla="val 50000"/>
          </a:avLst>
        </a:prstGeom>
        <a:solidFill>
          <a:schemeClr val="accent3">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sp>
    <dsp:sp modelId="{D39DE7B6-3382-43A4-BE07-58B3A212D114}">
      <dsp:nvSpPr>
        <dsp:cNvPr id="0" name=""/>
        <dsp:cNvSpPr/>
      </dsp:nvSpPr>
      <dsp:spPr>
        <a:xfrm>
          <a:off x="2318925" y="194"/>
          <a:ext cx="1347848" cy="585766"/>
        </a:xfrm>
        <a:prstGeom prst="roundRect">
          <a:avLst>
            <a:gd name="adj" fmla="val 10000"/>
          </a:avLst>
        </a:prstGeom>
        <a:solidFill>
          <a:schemeClr val="accent3">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ru-RU" sz="900" b="1" kern="1200">
              <a:latin typeface="Calibri"/>
              <a:ea typeface="+mn-ea"/>
              <a:cs typeface="+mn-cs"/>
            </a:rPr>
            <a:t>Податок на нерухоме майно, відмінне від земельної ділянки - </a:t>
          </a:r>
        </a:p>
        <a:p>
          <a:pPr lvl="0" algn="ctr" defTabSz="400050">
            <a:lnSpc>
              <a:spcPct val="90000"/>
            </a:lnSpc>
            <a:spcBef>
              <a:spcPct val="0"/>
            </a:spcBef>
            <a:spcAft>
              <a:spcPct val="35000"/>
            </a:spcAft>
          </a:pPr>
          <a:r>
            <a:rPr lang="ru-RU" sz="900" b="1" kern="1200">
              <a:latin typeface="Calibri"/>
              <a:ea typeface="+mn-ea"/>
              <a:cs typeface="+mn-cs"/>
            </a:rPr>
            <a:t>28,7 млн.грн (12,4%)</a:t>
          </a:r>
        </a:p>
      </dsp:txBody>
      <dsp:txXfrm>
        <a:off x="2336082" y="17351"/>
        <a:ext cx="1313534" cy="551452"/>
      </dsp:txXfrm>
    </dsp:sp>
    <dsp:sp modelId="{EC07947B-1485-415A-A584-E9B5D5FBDDB2}">
      <dsp:nvSpPr>
        <dsp:cNvPr id="0" name=""/>
        <dsp:cNvSpPr/>
      </dsp:nvSpPr>
      <dsp:spPr>
        <a:xfrm rot="20669153">
          <a:off x="3589211" y="881143"/>
          <a:ext cx="1060621" cy="219662"/>
        </a:xfrm>
        <a:prstGeom prst="leftArrow">
          <a:avLst>
            <a:gd name="adj1" fmla="val 60000"/>
            <a:gd name="adj2" fmla="val 50000"/>
          </a:avLst>
        </a:prstGeom>
        <a:solidFill>
          <a:schemeClr val="accent4">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sp>
    <dsp:sp modelId="{B41D3C12-F7D8-404E-8E71-A34B8ACC4EE9}">
      <dsp:nvSpPr>
        <dsp:cNvPr id="0" name=""/>
        <dsp:cNvSpPr/>
      </dsp:nvSpPr>
      <dsp:spPr>
        <a:xfrm>
          <a:off x="3838503" y="556245"/>
          <a:ext cx="1584014" cy="585766"/>
        </a:xfrm>
        <a:prstGeom prst="roundRect">
          <a:avLst>
            <a:gd name="adj" fmla="val 10000"/>
          </a:avLst>
        </a:prstGeom>
        <a:solidFill>
          <a:schemeClr val="accent4">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ru-RU" sz="900" b="1" kern="1200">
              <a:latin typeface="Calibri"/>
              <a:ea typeface="+mn-ea"/>
              <a:cs typeface="+mn-cs"/>
            </a:rPr>
            <a:t>Транспортний податок - </a:t>
          </a:r>
        </a:p>
        <a:p>
          <a:pPr lvl="0" algn="ctr" defTabSz="400050">
            <a:lnSpc>
              <a:spcPct val="90000"/>
            </a:lnSpc>
            <a:spcBef>
              <a:spcPct val="0"/>
            </a:spcBef>
            <a:spcAft>
              <a:spcPct val="35000"/>
            </a:spcAft>
          </a:pPr>
          <a:r>
            <a:rPr lang="ru-RU" sz="900" b="1" kern="1200">
              <a:latin typeface="Calibri"/>
              <a:ea typeface="+mn-ea"/>
              <a:cs typeface="+mn-cs"/>
            </a:rPr>
            <a:t>0,2 млн.грн (0,1%)</a:t>
          </a:r>
        </a:p>
      </dsp:txBody>
      <dsp:txXfrm>
        <a:off x="3855660" y="573402"/>
        <a:ext cx="1549700" cy="5514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F9D6F3-8931-47E3-ABD7-67F62CD0AF58}">
      <dsp:nvSpPr>
        <dsp:cNvPr id="0" name=""/>
        <dsp:cNvSpPr/>
      </dsp:nvSpPr>
      <dsp:spPr>
        <a:xfrm>
          <a:off x="2366010" y="183"/>
          <a:ext cx="3549015" cy="716467"/>
        </a:xfrm>
        <a:prstGeom prst="rightArrow">
          <a:avLst>
            <a:gd name="adj1" fmla="val 75000"/>
            <a:gd name="adj2" fmla="val 50000"/>
          </a:avLst>
        </a:prstGeom>
        <a:solidFill>
          <a:srgbClr val="4BACC6">
            <a:tint val="40000"/>
            <a:alpha val="90000"/>
            <a:hueOff val="0"/>
            <a:satOff val="0"/>
            <a:lumOff val="0"/>
            <a:alphaOff val="0"/>
          </a:srgbClr>
        </a:solidFill>
        <a:ln w="9525" cap="flat" cmpd="sng" algn="ctr">
          <a:solidFill>
            <a:srgbClr val="4BACC6">
              <a:tint val="40000"/>
              <a:alpha val="90000"/>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890" tIns="8890" rIns="8890" bIns="8890" numCol="1" spcCol="1270" anchor="t" anchorCtr="0">
          <a:noAutofit/>
        </a:bodyPr>
        <a:lstStyle/>
        <a:p>
          <a:pPr marL="114300" lvl="1" indent="-114300" algn="l" defTabSz="622300">
            <a:lnSpc>
              <a:spcPct val="90000"/>
            </a:lnSpc>
            <a:spcBef>
              <a:spcPct val="0"/>
            </a:spcBef>
            <a:spcAft>
              <a:spcPct val="15000"/>
            </a:spcAft>
            <a:buChar char="••"/>
          </a:pPr>
          <a:r>
            <a:rPr lang="uk-UA" sz="1400" i="1" kern="1200">
              <a:solidFill>
                <a:sysClr val="windowText" lastClr="000000">
                  <a:hueOff val="0"/>
                  <a:satOff val="0"/>
                  <a:lumOff val="0"/>
                  <a:alphaOff val="0"/>
                </a:sysClr>
              </a:solidFill>
              <a:latin typeface="Calibri"/>
              <a:ea typeface="+mn-ea"/>
              <a:cs typeface="+mn-cs"/>
            </a:rPr>
            <a:t>Сплачений юридичними особами - 0,2 %</a:t>
          </a:r>
          <a:endParaRPr lang="ru-RU" sz="1400" i="1" kern="1200">
            <a:solidFill>
              <a:sysClr val="windowText" lastClr="000000">
                <a:hueOff val="0"/>
                <a:satOff val="0"/>
                <a:lumOff val="0"/>
                <a:alphaOff val="0"/>
              </a:sysClr>
            </a:solidFill>
            <a:latin typeface="Calibri"/>
            <a:ea typeface="+mn-ea"/>
            <a:cs typeface="+mn-cs"/>
          </a:endParaRPr>
        </a:p>
        <a:p>
          <a:pPr marL="114300" lvl="1" indent="-114300" algn="l" defTabSz="622300">
            <a:lnSpc>
              <a:spcPct val="90000"/>
            </a:lnSpc>
            <a:spcBef>
              <a:spcPct val="0"/>
            </a:spcBef>
            <a:spcAft>
              <a:spcPct val="15000"/>
            </a:spcAft>
            <a:buChar char="••"/>
          </a:pPr>
          <a:r>
            <a:rPr lang="uk-UA" sz="1400" i="1" kern="1200">
              <a:solidFill>
                <a:sysClr val="windowText" lastClr="000000">
                  <a:hueOff val="0"/>
                  <a:satOff val="0"/>
                  <a:lumOff val="0"/>
                  <a:alphaOff val="0"/>
                </a:sysClr>
              </a:solidFill>
              <a:latin typeface="Calibri"/>
              <a:ea typeface="+mn-ea"/>
              <a:cs typeface="+mn-cs"/>
            </a:rPr>
            <a:t>Сплачений фізичними особами - 9,0 %</a:t>
          </a:r>
          <a:endParaRPr lang="ru-RU" sz="1400" i="1" kern="1200">
            <a:solidFill>
              <a:sysClr val="windowText" lastClr="000000">
                <a:hueOff val="0"/>
                <a:satOff val="0"/>
                <a:lumOff val="0"/>
                <a:alphaOff val="0"/>
              </a:sysClr>
            </a:solidFill>
            <a:latin typeface="Calibri"/>
            <a:ea typeface="+mn-ea"/>
            <a:cs typeface="+mn-cs"/>
          </a:endParaRPr>
        </a:p>
      </dsp:txBody>
      <dsp:txXfrm>
        <a:off x="2366010" y="89741"/>
        <a:ext cx="3280340" cy="537351"/>
      </dsp:txXfrm>
    </dsp:sp>
    <dsp:sp modelId="{587A4F8A-5F61-4EE7-9C88-860853133A5C}">
      <dsp:nvSpPr>
        <dsp:cNvPr id="0" name=""/>
        <dsp:cNvSpPr/>
      </dsp:nvSpPr>
      <dsp:spPr>
        <a:xfrm>
          <a:off x="0" y="183"/>
          <a:ext cx="2366010" cy="716467"/>
        </a:xfrm>
        <a:prstGeom prst="roundRect">
          <a:avLst/>
        </a:prstGeom>
        <a:gradFill rotWithShape="0">
          <a:gsLst>
            <a:gs pos="0">
              <a:srgbClr val="4BACC6">
                <a:hueOff val="0"/>
                <a:satOff val="0"/>
                <a:lumOff val="0"/>
                <a:alphaOff val="0"/>
                <a:shade val="51000"/>
                <a:satMod val="130000"/>
              </a:srgbClr>
            </a:gs>
            <a:gs pos="80000">
              <a:srgbClr val="4BACC6">
                <a:hueOff val="0"/>
                <a:satOff val="0"/>
                <a:lumOff val="0"/>
                <a:alphaOff val="0"/>
                <a:shade val="93000"/>
                <a:satMod val="130000"/>
              </a:srgbClr>
            </a:gs>
            <a:gs pos="100000">
              <a:srgbClr val="4BACC6">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ct val="35000"/>
            </a:spcAft>
          </a:pPr>
          <a:r>
            <a:rPr lang="ru-RU" sz="1400" kern="1200">
              <a:solidFill>
                <a:sysClr val="window" lastClr="FFFFFF"/>
              </a:solidFill>
              <a:latin typeface="Calibri"/>
              <a:ea typeface="+mn-ea"/>
              <a:cs typeface="+mn-cs"/>
            </a:rPr>
            <a:t>Податок на нерухоме майно за об</a:t>
          </a:r>
          <a:r>
            <a:rPr lang="en-US" sz="1400" kern="1200">
              <a:solidFill>
                <a:sysClr val="window" lastClr="FFFFFF"/>
              </a:solidFill>
              <a:latin typeface="Calibri"/>
              <a:ea typeface="+mn-ea"/>
              <a:cs typeface="+mn-cs"/>
            </a:rPr>
            <a:t>`</a:t>
          </a:r>
          <a:r>
            <a:rPr lang="uk-UA" sz="1400" kern="1200">
              <a:solidFill>
                <a:sysClr val="window" lastClr="FFFFFF"/>
              </a:solidFill>
              <a:latin typeface="Calibri"/>
              <a:ea typeface="+mn-ea"/>
              <a:cs typeface="+mn-cs"/>
            </a:rPr>
            <a:t>єкти </a:t>
          </a:r>
          <a:r>
            <a:rPr lang="uk-UA" sz="1400" b="1" i="1" kern="1200">
              <a:solidFill>
                <a:sysClr val="window" lastClr="FFFFFF"/>
              </a:solidFill>
              <a:latin typeface="Calibri"/>
              <a:ea typeface="+mn-ea"/>
              <a:cs typeface="+mn-cs"/>
            </a:rPr>
            <a:t>житлової</a:t>
          </a:r>
          <a:r>
            <a:rPr lang="uk-UA" sz="1400" kern="1200">
              <a:solidFill>
                <a:sysClr val="window" lastClr="FFFFFF"/>
              </a:solidFill>
              <a:latin typeface="Calibri"/>
              <a:ea typeface="+mn-ea"/>
              <a:cs typeface="+mn-cs"/>
            </a:rPr>
            <a:t> нерухомості - </a:t>
          </a:r>
          <a:r>
            <a:rPr lang="uk-UA" sz="1600" kern="1200">
              <a:solidFill>
                <a:sysClr val="window" lastClr="FFFFFF"/>
              </a:solidFill>
              <a:latin typeface="Calibri"/>
              <a:ea typeface="+mn-ea"/>
              <a:cs typeface="+mn-cs"/>
            </a:rPr>
            <a:t>9,2 %</a:t>
          </a:r>
          <a:endParaRPr lang="ru-RU" sz="1400" kern="1200">
            <a:solidFill>
              <a:sysClr val="window" lastClr="FFFFFF"/>
            </a:solidFill>
            <a:latin typeface="Calibri"/>
            <a:ea typeface="+mn-ea"/>
            <a:cs typeface="+mn-cs"/>
          </a:endParaRPr>
        </a:p>
      </dsp:txBody>
      <dsp:txXfrm>
        <a:off x="34975" y="35158"/>
        <a:ext cx="2296060" cy="646517"/>
      </dsp:txXfrm>
    </dsp:sp>
    <dsp:sp modelId="{6FDDA541-FCD5-47FD-8C3D-BB0216F99AA7}">
      <dsp:nvSpPr>
        <dsp:cNvPr id="0" name=""/>
        <dsp:cNvSpPr/>
      </dsp:nvSpPr>
      <dsp:spPr>
        <a:xfrm>
          <a:off x="2366010" y="788298"/>
          <a:ext cx="3549015" cy="716467"/>
        </a:xfrm>
        <a:prstGeom prst="rightArrow">
          <a:avLst>
            <a:gd name="adj1" fmla="val 75000"/>
            <a:gd name="adj2" fmla="val 50000"/>
          </a:avLst>
        </a:prstGeom>
        <a:solidFill>
          <a:srgbClr val="4BACC6">
            <a:tint val="40000"/>
            <a:alpha val="90000"/>
            <a:hueOff val="-10740482"/>
            <a:satOff val="48253"/>
            <a:lumOff val="3317"/>
            <a:alphaOff val="0"/>
          </a:srgbClr>
        </a:solidFill>
        <a:ln w="9525" cap="flat" cmpd="sng" algn="ctr">
          <a:solidFill>
            <a:srgbClr val="4BACC6">
              <a:tint val="40000"/>
              <a:alpha val="90000"/>
              <a:hueOff val="-10740482"/>
              <a:satOff val="48253"/>
              <a:lumOff val="3317"/>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890" tIns="8890" rIns="8890" bIns="8890" numCol="1" spcCol="1270" anchor="t" anchorCtr="0">
          <a:noAutofit/>
        </a:bodyPr>
        <a:lstStyle/>
        <a:p>
          <a:pPr marL="114300" lvl="1" indent="-114300" algn="l" defTabSz="622300">
            <a:lnSpc>
              <a:spcPct val="90000"/>
            </a:lnSpc>
            <a:spcBef>
              <a:spcPct val="0"/>
            </a:spcBef>
            <a:spcAft>
              <a:spcPct val="15000"/>
            </a:spcAft>
            <a:buChar char="••"/>
          </a:pPr>
          <a:r>
            <a:rPr lang="uk-UA" sz="1400" i="1" kern="1200">
              <a:solidFill>
                <a:sysClr val="windowText" lastClr="000000">
                  <a:hueOff val="0"/>
                  <a:satOff val="0"/>
                  <a:lumOff val="0"/>
                  <a:alphaOff val="0"/>
                </a:sysClr>
              </a:solidFill>
              <a:latin typeface="Calibri"/>
              <a:ea typeface="+mn-ea"/>
              <a:cs typeface="+mn-cs"/>
            </a:rPr>
            <a:t>Сплачений юридичними особами - 63,0 %</a:t>
          </a:r>
          <a:endParaRPr lang="ru-RU" sz="1400" i="1" kern="1200">
            <a:solidFill>
              <a:sysClr val="windowText" lastClr="000000">
                <a:hueOff val="0"/>
                <a:satOff val="0"/>
                <a:lumOff val="0"/>
                <a:alphaOff val="0"/>
              </a:sysClr>
            </a:solidFill>
            <a:latin typeface="Calibri"/>
            <a:ea typeface="+mn-ea"/>
            <a:cs typeface="+mn-cs"/>
          </a:endParaRPr>
        </a:p>
        <a:p>
          <a:pPr marL="114300" lvl="1" indent="-114300" algn="l" defTabSz="622300">
            <a:lnSpc>
              <a:spcPct val="90000"/>
            </a:lnSpc>
            <a:spcBef>
              <a:spcPct val="0"/>
            </a:spcBef>
            <a:spcAft>
              <a:spcPct val="15000"/>
            </a:spcAft>
            <a:buChar char="••"/>
          </a:pPr>
          <a:r>
            <a:rPr lang="uk-UA" sz="1400" i="1" kern="1200">
              <a:solidFill>
                <a:sysClr val="windowText" lastClr="000000">
                  <a:hueOff val="0"/>
                  <a:satOff val="0"/>
                  <a:lumOff val="0"/>
                  <a:alphaOff val="0"/>
                </a:sysClr>
              </a:solidFill>
              <a:latin typeface="Calibri"/>
              <a:ea typeface="+mn-ea"/>
              <a:cs typeface="+mn-cs"/>
            </a:rPr>
            <a:t>Сплачений фізичними особами - 27,8 %</a:t>
          </a:r>
          <a:endParaRPr lang="ru-RU" sz="1400" i="1" kern="1200">
            <a:solidFill>
              <a:sysClr val="windowText" lastClr="000000">
                <a:hueOff val="0"/>
                <a:satOff val="0"/>
                <a:lumOff val="0"/>
                <a:alphaOff val="0"/>
              </a:sysClr>
            </a:solidFill>
            <a:latin typeface="Calibri"/>
            <a:ea typeface="+mn-ea"/>
            <a:cs typeface="+mn-cs"/>
          </a:endParaRPr>
        </a:p>
      </dsp:txBody>
      <dsp:txXfrm>
        <a:off x="2366010" y="877856"/>
        <a:ext cx="3280340" cy="537351"/>
      </dsp:txXfrm>
    </dsp:sp>
    <dsp:sp modelId="{36EA6635-C449-4928-91B2-38B5E2E2A661}">
      <dsp:nvSpPr>
        <dsp:cNvPr id="0" name=""/>
        <dsp:cNvSpPr/>
      </dsp:nvSpPr>
      <dsp:spPr>
        <a:xfrm>
          <a:off x="0" y="788298"/>
          <a:ext cx="2366010" cy="716467"/>
        </a:xfrm>
        <a:prstGeom prst="roundRect">
          <a:avLst/>
        </a:prstGeom>
        <a:gradFill rotWithShape="0">
          <a:gsLst>
            <a:gs pos="0">
              <a:srgbClr val="4BACC6">
                <a:hueOff val="-9933876"/>
                <a:satOff val="39811"/>
                <a:lumOff val="8628"/>
                <a:alphaOff val="0"/>
                <a:shade val="51000"/>
                <a:satMod val="130000"/>
              </a:srgbClr>
            </a:gs>
            <a:gs pos="80000">
              <a:srgbClr val="4BACC6">
                <a:hueOff val="-9933876"/>
                <a:satOff val="39811"/>
                <a:lumOff val="8628"/>
                <a:alphaOff val="0"/>
                <a:shade val="93000"/>
                <a:satMod val="130000"/>
              </a:srgbClr>
            </a:gs>
            <a:gs pos="100000">
              <a:srgbClr val="4BACC6">
                <a:hueOff val="-9933876"/>
                <a:satOff val="39811"/>
                <a:lumOff val="862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ct val="35000"/>
            </a:spcAft>
          </a:pPr>
          <a:r>
            <a:rPr lang="ru-RU" sz="1400" kern="1200">
              <a:solidFill>
                <a:sysClr val="window" lastClr="FFFFFF"/>
              </a:solidFill>
              <a:latin typeface="Calibri"/>
              <a:ea typeface="+mn-ea"/>
              <a:cs typeface="+mn-cs"/>
            </a:rPr>
            <a:t>Податок на нерухоме майно за об</a:t>
          </a:r>
          <a:r>
            <a:rPr lang="en-US" sz="1400" kern="1200">
              <a:solidFill>
                <a:sysClr val="window" lastClr="FFFFFF"/>
              </a:solidFill>
              <a:latin typeface="Calibri"/>
              <a:ea typeface="+mn-ea"/>
              <a:cs typeface="+mn-cs"/>
            </a:rPr>
            <a:t>`</a:t>
          </a:r>
          <a:r>
            <a:rPr lang="uk-UA" sz="1400" kern="1200">
              <a:solidFill>
                <a:sysClr val="window" lastClr="FFFFFF"/>
              </a:solidFill>
              <a:latin typeface="Calibri"/>
              <a:ea typeface="+mn-ea"/>
              <a:cs typeface="+mn-cs"/>
            </a:rPr>
            <a:t>єкти </a:t>
          </a:r>
          <a:r>
            <a:rPr lang="uk-UA" sz="1400" b="1" i="1" kern="1200">
              <a:solidFill>
                <a:sysClr val="window" lastClr="FFFFFF"/>
              </a:solidFill>
              <a:latin typeface="Calibri"/>
              <a:ea typeface="+mn-ea"/>
              <a:cs typeface="+mn-cs"/>
            </a:rPr>
            <a:t>нежитлової</a:t>
          </a:r>
          <a:r>
            <a:rPr lang="uk-UA" sz="1400" kern="1200">
              <a:solidFill>
                <a:sysClr val="window" lastClr="FFFFFF"/>
              </a:solidFill>
              <a:latin typeface="Calibri"/>
              <a:ea typeface="+mn-ea"/>
              <a:cs typeface="+mn-cs"/>
            </a:rPr>
            <a:t> нерухомості - </a:t>
          </a:r>
          <a:r>
            <a:rPr lang="uk-UA" sz="1600" kern="1200">
              <a:solidFill>
                <a:sysClr val="window" lastClr="FFFFFF"/>
              </a:solidFill>
              <a:latin typeface="Calibri"/>
              <a:ea typeface="+mn-ea"/>
              <a:cs typeface="+mn-cs"/>
            </a:rPr>
            <a:t>90,8 %</a:t>
          </a:r>
          <a:endParaRPr lang="ru-RU" sz="1400" kern="1200">
            <a:solidFill>
              <a:sysClr val="window" lastClr="FFFFFF"/>
            </a:solidFill>
            <a:latin typeface="Calibri"/>
            <a:ea typeface="+mn-ea"/>
            <a:cs typeface="+mn-cs"/>
          </a:endParaRPr>
        </a:p>
      </dsp:txBody>
      <dsp:txXfrm>
        <a:off x="34975" y="823273"/>
        <a:ext cx="2296060" cy="64651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1FE3CDF-D9CD-418C-A28E-5DBAD10826E3}">
      <dsp:nvSpPr>
        <dsp:cNvPr id="0" name=""/>
        <dsp:cNvSpPr/>
      </dsp:nvSpPr>
      <dsp:spPr>
        <a:xfrm>
          <a:off x="426424" y="8467"/>
          <a:ext cx="4278270" cy="370077"/>
        </a:xfrm>
        <a:prstGeom prst="roundRect">
          <a:avLst>
            <a:gd name="adj" fmla="val 10000"/>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uk-UA" sz="1400" kern="1200">
              <a:latin typeface="Calibri"/>
              <a:ea typeface="+mn-ea"/>
              <a:cs typeface="+mn-cs"/>
            </a:rPr>
            <a:t>Єдиний податок  на 2024р.(разом) - 85 000,0 тис.грн</a:t>
          </a:r>
          <a:endParaRPr lang="ru-RU" sz="1400" kern="1200">
            <a:latin typeface="Calibri"/>
            <a:ea typeface="+mn-ea"/>
            <a:cs typeface="+mn-cs"/>
          </a:endParaRPr>
        </a:p>
      </dsp:txBody>
      <dsp:txXfrm>
        <a:off x="437263" y="19306"/>
        <a:ext cx="4256592" cy="348399"/>
      </dsp:txXfrm>
    </dsp:sp>
    <dsp:sp modelId="{2E631192-62E7-4AAB-80D6-DB1F82506576}">
      <dsp:nvSpPr>
        <dsp:cNvPr id="0" name=""/>
        <dsp:cNvSpPr/>
      </dsp:nvSpPr>
      <dsp:spPr>
        <a:xfrm>
          <a:off x="854251" y="378545"/>
          <a:ext cx="359732" cy="269405"/>
        </a:xfrm>
        <a:custGeom>
          <a:avLst/>
          <a:gdLst/>
          <a:ahLst/>
          <a:cxnLst/>
          <a:rect l="0" t="0" r="0" b="0"/>
          <a:pathLst>
            <a:path>
              <a:moveTo>
                <a:pt x="0" y="0"/>
              </a:moveTo>
              <a:lnTo>
                <a:pt x="0" y="277873"/>
              </a:lnTo>
              <a:lnTo>
                <a:pt x="385134" y="277873"/>
              </a:lnTo>
            </a:path>
          </a:pathLst>
        </a:custGeom>
        <a:noFill/>
        <a:ln w="25400" cap="flat" cmpd="sng" algn="ctr">
          <a:solidFill>
            <a:schemeClr val="accent1">
              <a:shade val="60000"/>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 modelId="{A2A32113-9335-4EEF-8DC7-977E90D62823}">
      <dsp:nvSpPr>
        <dsp:cNvPr id="0" name=""/>
        <dsp:cNvSpPr/>
      </dsp:nvSpPr>
      <dsp:spPr>
        <a:xfrm>
          <a:off x="1213984" y="462912"/>
          <a:ext cx="4010886" cy="370077"/>
        </a:xfrm>
        <a:prstGeom prst="roundRect">
          <a:avLst>
            <a:gd name="adj" fmla="val 10000"/>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uk-UA" sz="1200" kern="1200">
              <a:latin typeface="Calibri"/>
              <a:ea typeface="+mn-ea"/>
              <a:cs typeface="+mn-cs"/>
            </a:rPr>
            <a:t>Єдиний податок з юридичних осіб - 29 700,0 тис.грн (34,9%)</a:t>
          </a:r>
          <a:endParaRPr lang="ru-RU" sz="1200" kern="1200">
            <a:latin typeface="Calibri"/>
            <a:ea typeface="+mn-ea"/>
            <a:cs typeface="+mn-cs"/>
          </a:endParaRPr>
        </a:p>
      </dsp:txBody>
      <dsp:txXfrm>
        <a:off x="1224823" y="473751"/>
        <a:ext cx="3989208" cy="348399"/>
      </dsp:txXfrm>
    </dsp:sp>
    <dsp:sp modelId="{6D8E6ABD-E11D-425A-B07C-EF27F6AFAE61}">
      <dsp:nvSpPr>
        <dsp:cNvPr id="0" name=""/>
        <dsp:cNvSpPr/>
      </dsp:nvSpPr>
      <dsp:spPr>
        <a:xfrm>
          <a:off x="854251" y="378545"/>
          <a:ext cx="359732" cy="732002"/>
        </a:xfrm>
        <a:custGeom>
          <a:avLst/>
          <a:gdLst/>
          <a:ahLst/>
          <a:cxnLst/>
          <a:rect l="0" t="0" r="0" b="0"/>
          <a:pathLst>
            <a:path>
              <a:moveTo>
                <a:pt x="0" y="0"/>
              </a:moveTo>
              <a:lnTo>
                <a:pt x="0" y="740470"/>
              </a:lnTo>
              <a:lnTo>
                <a:pt x="385134" y="740470"/>
              </a:lnTo>
            </a:path>
          </a:pathLst>
        </a:custGeom>
        <a:noFill/>
        <a:ln w="25400" cap="flat" cmpd="sng" algn="ctr">
          <a:solidFill>
            <a:schemeClr val="accent1">
              <a:shade val="60000"/>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sp>
    <dsp:sp modelId="{374C567B-34F6-457F-BDC0-6E6C8285277D}">
      <dsp:nvSpPr>
        <dsp:cNvPr id="0" name=""/>
        <dsp:cNvSpPr/>
      </dsp:nvSpPr>
      <dsp:spPr>
        <a:xfrm>
          <a:off x="1213984" y="925509"/>
          <a:ext cx="3992074" cy="370077"/>
        </a:xfrm>
        <a:prstGeom prst="roundRect">
          <a:avLst>
            <a:gd name="adj" fmla="val 10000"/>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uk-UA" sz="1200" kern="1200">
              <a:latin typeface="Calibri"/>
              <a:ea typeface="+mn-ea"/>
              <a:cs typeface="+mn-cs"/>
            </a:rPr>
            <a:t>Єдиний податок з фізичних осіб - 55 300,0 тис.грн.  (65,1 %)</a:t>
          </a:r>
          <a:endParaRPr lang="ru-RU" sz="1200" kern="1200">
            <a:latin typeface="Calibri"/>
            <a:ea typeface="+mn-ea"/>
            <a:cs typeface="+mn-cs"/>
          </a:endParaRPr>
        </a:p>
      </dsp:txBody>
      <dsp:txXfrm>
        <a:off x="1224823" y="936348"/>
        <a:ext cx="3970396" cy="348399"/>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0.5279</cdr:x>
      <cdr:y>0.39177</cdr:y>
    </cdr:from>
    <cdr:to>
      <cdr:x>0.67502</cdr:x>
      <cdr:y>0.68054</cdr:y>
    </cdr:to>
    <cdr:sp macro="" textlink="">
      <cdr:nvSpPr>
        <cdr:cNvPr id="3" name="Надпись 2"/>
        <cdr:cNvSpPr txBox="1"/>
      </cdr:nvSpPr>
      <cdr:spPr>
        <a:xfrm xmlns:a="http://schemas.openxmlformats.org/drawingml/2006/main">
          <a:off x="3284220" y="131826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a:p>
      </cdr:txBody>
    </cdr:sp>
  </cdr:relSizeAnchor>
  <cdr:relSizeAnchor xmlns:cdr="http://schemas.openxmlformats.org/drawingml/2006/chartDrawing">
    <cdr:from>
      <cdr:x>0.51124</cdr:x>
      <cdr:y>0.37998</cdr:y>
    </cdr:from>
    <cdr:to>
      <cdr:x>0.65836</cdr:x>
      <cdr:y>0.66775</cdr:y>
    </cdr:to>
    <cdr:sp macro="" textlink="">
      <cdr:nvSpPr>
        <cdr:cNvPr id="4" name="Надпись 3"/>
        <cdr:cNvSpPr txBox="1"/>
      </cdr:nvSpPr>
      <cdr:spPr>
        <a:xfrm xmlns:a="http://schemas.openxmlformats.org/drawingml/2006/main">
          <a:off x="3177540" y="128016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a:p>
      </cdr:txBody>
    </cdr:sp>
  </cdr:relSizeAnchor>
  <cdr:relSizeAnchor xmlns:cdr="http://schemas.openxmlformats.org/drawingml/2006/chartDrawing">
    <cdr:from>
      <cdr:x>0.44081</cdr:x>
      <cdr:y>0.33247</cdr:y>
    </cdr:from>
    <cdr:to>
      <cdr:x>0.6463</cdr:x>
      <cdr:y>0.48593</cdr:y>
    </cdr:to>
    <cdr:sp macro="" textlink="">
      <cdr:nvSpPr>
        <cdr:cNvPr id="5" name="Надпись 4"/>
        <cdr:cNvSpPr txBox="1"/>
      </cdr:nvSpPr>
      <cdr:spPr>
        <a:xfrm xmlns:a="http://schemas.openxmlformats.org/drawingml/2006/main" rot="20219374">
          <a:off x="2898027" y="1159727"/>
          <a:ext cx="1352488" cy="51549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100" b="1">
              <a:solidFill>
                <a:schemeClr val="accent6">
                  <a:lumMod val="50000"/>
                </a:schemeClr>
              </a:solidFill>
            </a:rPr>
            <a:t>+231,0 млн грн;</a:t>
          </a:r>
        </a:p>
        <a:p xmlns:a="http://schemas.openxmlformats.org/drawingml/2006/main">
          <a:pPr algn="ctr"/>
          <a:r>
            <a:rPr lang="ru-RU" sz="1100" b="1" baseline="0">
              <a:solidFill>
                <a:schemeClr val="accent6">
                  <a:lumMod val="50000"/>
                </a:schemeClr>
              </a:solidFill>
            </a:rPr>
            <a:t>136,3</a:t>
          </a:r>
          <a:r>
            <a:rPr lang="ru-RU" sz="1100" b="1">
              <a:solidFill>
                <a:schemeClr val="accent6">
                  <a:lumMod val="50000"/>
                </a:schemeClr>
              </a:solidFill>
            </a:rPr>
            <a:t>%</a:t>
          </a:r>
        </a:p>
      </cdr:txBody>
    </cdr:sp>
  </cdr:relSizeAnchor>
  <cdr:relSizeAnchor xmlns:cdr="http://schemas.openxmlformats.org/drawingml/2006/chartDrawing">
    <cdr:from>
      <cdr:x>0.45773</cdr:x>
      <cdr:y>0.40248</cdr:y>
    </cdr:from>
    <cdr:to>
      <cdr:x>0.61696</cdr:x>
      <cdr:y>0.53617</cdr:y>
    </cdr:to>
    <cdr:cxnSp macro="">
      <cdr:nvCxnSpPr>
        <cdr:cNvPr id="8" name="Пряма зі стрілкою 7">
          <a:extLst xmlns:a="http://schemas.openxmlformats.org/drawingml/2006/main">
            <a:ext uri="{FF2B5EF4-FFF2-40B4-BE49-F238E27FC236}"/>
          </a:extLst>
        </cdr:cNvPr>
        <cdr:cNvCxnSpPr/>
      </cdr:nvCxnSpPr>
      <cdr:spPr>
        <a:xfrm xmlns:a="http://schemas.openxmlformats.org/drawingml/2006/main" flipV="1">
          <a:off x="3011015" y="1397290"/>
          <a:ext cx="1048016" cy="449520"/>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drawings/drawing10.xml><?xml version="1.0" encoding="utf-8"?>
<c:userShapes xmlns:c="http://schemas.openxmlformats.org/drawingml/2006/chart">
  <cdr:relSizeAnchor xmlns:cdr="http://schemas.openxmlformats.org/drawingml/2006/chartDrawing">
    <cdr:from>
      <cdr:x>0.26364</cdr:x>
      <cdr:y>0.2059</cdr:y>
    </cdr:from>
    <cdr:to>
      <cdr:x>0.36651</cdr:x>
      <cdr:y>0.30963</cdr:y>
    </cdr:to>
    <cdr:sp macro="" textlink="">
      <cdr:nvSpPr>
        <cdr:cNvPr id="2" name="TextBox 1"/>
        <cdr:cNvSpPr txBox="1"/>
      </cdr:nvSpPr>
      <cdr:spPr>
        <a:xfrm xmlns:a="http://schemas.openxmlformats.org/drawingml/2006/main">
          <a:off x="1489129" y="449121"/>
          <a:ext cx="581043" cy="22625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200" b="1">
            <a:solidFill>
              <a:srgbClr val="FF0000"/>
            </a:solidFill>
          </a:endParaRPr>
        </a:p>
      </cdr:txBody>
    </cdr:sp>
  </cdr:relSizeAnchor>
  <cdr:relSizeAnchor xmlns:cdr="http://schemas.openxmlformats.org/drawingml/2006/chartDrawing">
    <cdr:from>
      <cdr:x>0.46906</cdr:x>
      <cdr:y>0.21076</cdr:y>
    </cdr:from>
    <cdr:to>
      <cdr:x>0.55843</cdr:x>
      <cdr:y>0.32819</cdr:y>
    </cdr:to>
    <cdr:sp macro="" textlink="">
      <cdr:nvSpPr>
        <cdr:cNvPr id="4" name="TextBox 1"/>
        <cdr:cNvSpPr txBox="1"/>
      </cdr:nvSpPr>
      <cdr:spPr>
        <a:xfrm xmlns:a="http://schemas.openxmlformats.org/drawingml/2006/main">
          <a:off x="2649376" y="459721"/>
          <a:ext cx="504791" cy="25614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endParaRPr lang="ru-RU" sz="1200" b="1">
            <a:solidFill>
              <a:srgbClr val="FF0000"/>
            </a:solidFill>
          </a:endParaRPr>
        </a:p>
      </cdr:txBody>
    </cdr:sp>
  </cdr:relSizeAnchor>
  <cdr:relSizeAnchor xmlns:cdr="http://schemas.openxmlformats.org/drawingml/2006/chartDrawing">
    <cdr:from>
      <cdr:x>0.63476</cdr:x>
      <cdr:y>0.30777</cdr:y>
    </cdr:from>
    <cdr:to>
      <cdr:x>0.73594</cdr:x>
      <cdr:y>0.40444</cdr:y>
    </cdr:to>
    <cdr:sp macro="" textlink="">
      <cdr:nvSpPr>
        <cdr:cNvPr id="8" name="TextBox 7"/>
        <cdr:cNvSpPr txBox="1"/>
      </cdr:nvSpPr>
      <cdr:spPr>
        <a:xfrm xmlns:a="http://schemas.openxmlformats.org/drawingml/2006/main">
          <a:off x="3585338" y="671316"/>
          <a:ext cx="571497" cy="21085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a:solidFill>
                <a:srgbClr val="FF0000"/>
              </a:solidFill>
            </a:rPr>
            <a:t>   </a:t>
          </a:r>
        </a:p>
      </cdr:txBody>
    </cdr:sp>
  </cdr:relSizeAnchor>
</c:userShapes>
</file>

<file path=word/drawings/drawing11.xml><?xml version="1.0" encoding="utf-8"?>
<c:userShapes xmlns:c="http://schemas.openxmlformats.org/drawingml/2006/chart">
  <cdr:relSizeAnchor xmlns:cdr="http://schemas.openxmlformats.org/drawingml/2006/chartDrawing">
    <cdr:from>
      <cdr:x>0.43393</cdr:x>
      <cdr:y>0.18031</cdr:y>
    </cdr:from>
    <cdr:to>
      <cdr:x>0.60536</cdr:x>
      <cdr:y>0.29915</cdr:y>
    </cdr:to>
    <cdr:sp macro="" textlink="">
      <cdr:nvSpPr>
        <cdr:cNvPr id="2" name="TextBox 1"/>
        <cdr:cNvSpPr txBox="1"/>
      </cdr:nvSpPr>
      <cdr:spPr>
        <a:xfrm xmlns:a="http://schemas.openxmlformats.org/drawingml/2006/main">
          <a:off x="2556102" y="661434"/>
          <a:ext cx="1009823" cy="43593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200" b="1">
            <a:latin typeface="Times New Roman" pitchFamily="18" charset="0"/>
            <a:cs typeface="Times New Roman" pitchFamily="18" charset="0"/>
          </a:endParaRPr>
        </a:p>
        <a:p xmlns:a="http://schemas.openxmlformats.org/drawingml/2006/main">
          <a:endParaRPr lang="ru-RU" sz="1200" b="1">
            <a:latin typeface="Times New Roman" pitchFamily="18" charset="0"/>
            <a:cs typeface="Times New Roman"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0.7365</cdr:x>
      <cdr:y>0.60288</cdr:y>
    </cdr:from>
    <cdr:to>
      <cdr:x>0.8862</cdr:x>
      <cdr:y>0.60288</cdr:y>
    </cdr:to>
    <cdr:cxnSp macro="">
      <cdr:nvCxnSpPr>
        <cdr:cNvPr id="4" name="Пряма зі стрілкою 3"/>
        <cdr:cNvCxnSpPr/>
      </cdr:nvCxnSpPr>
      <cdr:spPr>
        <a:xfrm xmlns:a="http://schemas.openxmlformats.org/drawingml/2006/main">
          <a:off x="4244196" y="2199735"/>
          <a:ext cx="862641" cy="0"/>
        </a:xfrm>
        <a:prstGeom xmlns:a="http://schemas.openxmlformats.org/drawingml/2006/main" prst="straightConnector1">
          <a:avLst/>
        </a:prstGeom>
        <a:ln xmlns:a="http://schemas.openxmlformats.org/drawingml/2006/main">
          <a:gradFill>
            <a:gsLst>
              <a:gs pos="0">
                <a:schemeClr val="accent4">
                  <a:lumMod val="50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tailEnd type="triangle"/>
        </a:ln>
      </cdr:spPr>
      <cdr:style>
        <a:lnRef xmlns:a="http://schemas.openxmlformats.org/drawingml/2006/main" idx="3">
          <a:schemeClr val="accent6"/>
        </a:lnRef>
        <a:fillRef xmlns:a="http://schemas.openxmlformats.org/drawingml/2006/main" idx="0">
          <a:schemeClr val="accent6"/>
        </a:fillRef>
        <a:effectRef xmlns:a="http://schemas.openxmlformats.org/drawingml/2006/main" idx="2">
          <a:schemeClr val="accent6"/>
        </a:effectRef>
        <a:fontRef xmlns:a="http://schemas.openxmlformats.org/drawingml/2006/main" idx="minor">
          <a:schemeClr val="tx1"/>
        </a:fontRef>
      </cdr:style>
    </cdr:cxnSp>
  </cdr:relSizeAnchor>
  <cdr:relSizeAnchor xmlns:cdr="http://schemas.openxmlformats.org/drawingml/2006/chartDrawing">
    <cdr:from>
      <cdr:x>0.75596</cdr:x>
      <cdr:y>0.62652</cdr:y>
    </cdr:from>
    <cdr:to>
      <cdr:x>0.87522</cdr:x>
      <cdr:y>0.72582</cdr:y>
    </cdr:to>
    <cdr:sp macro="" textlink="">
      <cdr:nvSpPr>
        <cdr:cNvPr id="6" name="Овал 5"/>
        <cdr:cNvSpPr/>
      </cdr:nvSpPr>
      <cdr:spPr>
        <a:xfrm xmlns:a="http://schemas.openxmlformats.org/drawingml/2006/main">
          <a:off x="4356340" y="2286002"/>
          <a:ext cx="687213" cy="362307"/>
        </a:xfrm>
        <a:prstGeom xmlns:a="http://schemas.openxmlformats.org/drawingml/2006/main" prst="ellipse">
          <a:avLst/>
        </a:prstGeom>
      </cdr:spPr>
      <cdr:style>
        <a:lnRef xmlns:a="http://schemas.openxmlformats.org/drawingml/2006/main" idx="1">
          <a:schemeClr val="dk1"/>
        </a:lnRef>
        <a:fillRef xmlns:a="http://schemas.openxmlformats.org/drawingml/2006/main" idx="1001">
          <a:schemeClr val="lt1"/>
        </a:fillRef>
        <a:effectRef xmlns:a="http://schemas.openxmlformats.org/drawingml/2006/main" idx="1">
          <a:schemeClr val="dk1"/>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pPr algn="just"/>
          <a:r>
            <a:rPr lang="ru-RU" sz="800" b="1"/>
            <a:t>91,2</a:t>
          </a:r>
          <a:r>
            <a:rPr lang="ru-RU" sz="800"/>
            <a:t>%</a:t>
          </a:r>
        </a:p>
      </cdr:txBody>
    </cdr:sp>
  </cdr:relSizeAnchor>
  <cdr:relSizeAnchor xmlns:cdr="http://schemas.openxmlformats.org/drawingml/2006/chartDrawing">
    <cdr:from>
      <cdr:x>0.738</cdr:x>
      <cdr:y>0.4823</cdr:y>
    </cdr:from>
    <cdr:to>
      <cdr:x>0.89368</cdr:x>
      <cdr:y>0.57687</cdr:y>
    </cdr:to>
    <cdr:sp macro="" textlink="">
      <cdr:nvSpPr>
        <cdr:cNvPr id="7" name="Овал 6"/>
        <cdr:cNvSpPr/>
      </cdr:nvSpPr>
      <cdr:spPr>
        <a:xfrm xmlns:a="http://schemas.openxmlformats.org/drawingml/2006/main">
          <a:off x="4252817" y="1759773"/>
          <a:ext cx="897126" cy="345058"/>
        </a:xfrm>
        <a:prstGeom xmlns:a="http://schemas.openxmlformats.org/drawingml/2006/main" prst="ellipse">
          <a:avLst/>
        </a:prstGeom>
        <a:ln xmlns:a="http://schemas.openxmlformats.org/drawingml/2006/main" w="3175">
          <a:solidFill>
            <a:schemeClr val="tx1"/>
          </a:solidFill>
        </a:ln>
      </cdr:spPr>
      <cdr:style>
        <a:lnRef xmlns:a="http://schemas.openxmlformats.org/drawingml/2006/main" idx="2">
          <a:schemeClr val="accent1">
            <a:shade val="50000"/>
          </a:schemeClr>
        </a:lnRef>
        <a:fillRef xmlns:a="http://schemas.openxmlformats.org/drawingml/2006/main" idx="1001">
          <a:schemeClr val="l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ru-RU" sz="800" b="1"/>
            <a:t>-</a:t>
          </a:r>
          <a:r>
            <a:rPr lang="ru-RU" sz="800" b="1">
              <a:solidFill>
                <a:schemeClr val="tx1"/>
              </a:solidFill>
            </a:rPr>
            <a:t>-</a:t>
          </a:r>
          <a:r>
            <a:rPr lang="ru-RU" sz="800" b="1" baseline="0">
              <a:solidFill>
                <a:schemeClr val="tx1"/>
              </a:solidFill>
            </a:rPr>
            <a:t> 97 098,5</a:t>
          </a:r>
          <a:endParaRPr lang="ru-RU" sz="800" b="1"/>
        </a:p>
      </cdr:txBody>
    </cdr:sp>
  </cdr:relSizeAnchor>
</c:userShapes>
</file>

<file path=word/drawings/drawing3.xml><?xml version="1.0" encoding="utf-8"?>
<c:userShapes xmlns:c="http://schemas.openxmlformats.org/drawingml/2006/chart">
  <cdr:relSizeAnchor xmlns:cdr="http://schemas.openxmlformats.org/drawingml/2006/chartDrawing">
    <cdr:from>
      <cdr:x>0.01122</cdr:x>
      <cdr:y>0.67021</cdr:y>
    </cdr:from>
    <cdr:to>
      <cdr:x>0.35417</cdr:x>
      <cdr:y>0.99462</cdr:y>
    </cdr:to>
    <cdr:sp macro="" textlink="">
      <cdr:nvSpPr>
        <cdr:cNvPr id="12" name="Прямоугольная выноска 11"/>
        <cdr:cNvSpPr/>
      </cdr:nvSpPr>
      <cdr:spPr>
        <a:xfrm xmlns:a="http://schemas.openxmlformats.org/drawingml/2006/main">
          <a:off x="66644" y="1899804"/>
          <a:ext cx="2037051" cy="919596"/>
        </a:xfrm>
        <a:prstGeom xmlns:a="http://schemas.openxmlformats.org/drawingml/2006/main" prst="wedgeRectCallout">
          <a:avLst>
            <a:gd name="adj1" fmla="val -19428"/>
            <a:gd name="adj2" fmla="val -71546"/>
          </a:avLst>
        </a:prstGeom>
        <a:noFill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ru-RU" sz="900">
              <a:solidFill>
                <a:sysClr val="windowText" lastClr="000000"/>
              </a:solidFill>
              <a:latin typeface="Times New Roman" pitchFamily="18" charset="0"/>
              <a:cs typeface="Times New Roman" pitchFamily="18" charset="0"/>
            </a:rPr>
            <a:t>в т.ч. :</a:t>
          </a:r>
        </a:p>
        <a:p xmlns:a="http://schemas.openxmlformats.org/drawingml/2006/main">
          <a:r>
            <a:rPr lang="ru-RU" sz="900">
              <a:solidFill>
                <a:sysClr val="windowText" lastClr="000000"/>
              </a:solidFill>
              <a:latin typeface="Times New Roman" pitchFamily="18" charset="0"/>
              <a:cs typeface="Times New Roman" pitchFamily="18" charset="0"/>
            </a:rPr>
            <a:t>-  плата за землю - 202,0</a:t>
          </a:r>
          <a:r>
            <a:rPr lang="ru-RU" sz="900" baseline="0">
              <a:solidFill>
                <a:sysClr val="windowText" lastClr="000000"/>
              </a:solidFill>
              <a:latin typeface="Times New Roman" pitchFamily="18" charset="0"/>
              <a:cs typeface="Times New Roman" pitchFamily="18" charset="0"/>
            </a:rPr>
            <a:t> </a:t>
          </a:r>
          <a:r>
            <a:rPr lang="ru-RU" sz="900">
              <a:solidFill>
                <a:sysClr val="windowText" lastClr="000000"/>
              </a:solidFill>
              <a:latin typeface="Times New Roman" pitchFamily="18" charset="0"/>
              <a:cs typeface="Times New Roman" pitchFamily="18" charset="0"/>
            </a:rPr>
            <a:t>млн.грн;</a:t>
          </a:r>
        </a:p>
        <a:p xmlns:a="http://schemas.openxmlformats.org/drawingml/2006/main">
          <a:r>
            <a:rPr lang="ru-RU" sz="900">
              <a:solidFill>
                <a:sysClr val="windowText" lastClr="000000"/>
              </a:solidFill>
              <a:latin typeface="Times New Roman" pitchFamily="18" charset="0"/>
              <a:cs typeface="Times New Roman" pitchFamily="18" charset="0"/>
            </a:rPr>
            <a:t>- податок на нерухоме майно, відмінне від земельної</a:t>
          </a:r>
          <a:r>
            <a:rPr lang="ru-RU" sz="900" baseline="0">
              <a:solidFill>
                <a:sysClr val="windowText" lastClr="000000"/>
              </a:solidFill>
              <a:latin typeface="Times New Roman" pitchFamily="18" charset="0"/>
              <a:cs typeface="Times New Roman" pitchFamily="18" charset="0"/>
            </a:rPr>
            <a:t> ділянки</a:t>
          </a:r>
          <a:r>
            <a:rPr lang="ru-RU" sz="900">
              <a:solidFill>
                <a:sysClr val="windowText" lastClr="000000"/>
              </a:solidFill>
              <a:latin typeface="Times New Roman" pitchFamily="18" charset="0"/>
              <a:cs typeface="Times New Roman" pitchFamily="18" charset="0"/>
            </a:rPr>
            <a:t> -     28,7 млн.грн;</a:t>
          </a:r>
        </a:p>
        <a:p xmlns:a="http://schemas.openxmlformats.org/drawingml/2006/main">
          <a:r>
            <a:rPr lang="ru-RU" sz="900">
              <a:solidFill>
                <a:sysClr val="windowText" lastClr="000000"/>
              </a:solidFill>
              <a:latin typeface="Times New Roman" pitchFamily="18" charset="0"/>
              <a:cs typeface="Times New Roman" pitchFamily="18" charset="0"/>
            </a:rPr>
            <a:t>- транспортний податок - 0,2 млн.грн.</a:t>
          </a:r>
        </a:p>
      </cdr:txBody>
    </cdr:sp>
  </cdr:relSizeAnchor>
</c:userShapes>
</file>

<file path=word/drawings/drawing4.xml><?xml version="1.0" encoding="utf-8"?>
<c:userShapes xmlns:c="http://schemas.openxmlformats.org/drawingml/2006/chart">
  <cdr:relSizeAnchor xmlns:cdr="http://schemas.openxmlformats.org/drawingml/2006/chartDrawing">
    <cdr:from>
      <cdr:x>0.3128</cdr:x>
      <cdr:y>0.34578</cdr:y>
    </cdr:from>
    <cdr:to>
      <cdr:x>0.46446</cdr:x>
      <cdr:y>0.53438</cdr:y>
    </cdr:to>
    <cdr:sp macro="" textlink="">
      <cdr:nvSpPr>
        <cdr:cNvPr id="2" name="TextBox 1"/>
        <cdr:cNvSpPr txBox="1"/>
      </cdr:nvSpPr>
      <cdr:spPr>
        <a:xfrm xmlns:a="http://schemas.openxmlformats.org/drawingml/2006/main">
          <a:off x="1885951" y="1676401"/>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0.29749</cdr:x>
      <cdr:y>0.24152</cdr:y>
    </cdr:from>
    <cdr:to>
      <cdr:x>0.40491</cdr:x>
      <cdr:y>0.3046</cdr:y>
    </cdr:to>
    <cdr:sp macro="" textlink="">
      <cdr:nvSpPr>
        <cdr:cNvPr id="3" name="TextBox 2"/>
        <cdr:cNvSpPr txBox="1"/>
      </cdr:nvSpPr>
      <cdr:spPr>
        <a:xfrm xmlns:a="http://schemas.openxmlformats.org/drawingml/2006/main">
          <a:off x="1767028" y="822960"/>
          <a:ext cx="638052" cy="21493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baseline="0">
              <a:solidFill>
                <a:srgbClr val="FF0000"/>
              </a:solidFill>
            </a:rPr>
            <a:t>111,2</a:t>
          </a:r>
          <a:r>
            <a:rPr lang="ru-RU" sz="1100" b="1">
              <a:solidFill>
                <a:srgbClr val="FF0000"/>
              </a:solidFill>
            </a:rPr>
            <a:t> %</a:t>
          </a:r>
        </a:p>
        <a:p xmlns:a="http://schemas.openxmlformats.org/drawingml/2006/main">
          <a:endParaRPr lang="ru-RU" sz="1100"/>
        </a:p>
        <a:p xmlns:a="http://schemas.openxmlformats.org/drawingml/2006/main">
          <a:endParaRPr lang="ru-RU" sz="1100"/>
        </a:p>
        <a:p xmlns:a="http://schemas.openxmlformats.org/drawingml/2006/main">
          <a:endParaRPr lang="ru-RU" sz="1100"/>
        </a:p>
        <a:p xmlns:a="http://schemas.openxmlformats.org/drawingml/2006/main">
          <a:endParaRPr lang="ru-RU" sz="1100"/>
        </a:p>
        <a:p xmlns:a="http://schemas.openxmlformats.org/drawingml/2006/main">
          <a:endParaRPr lang="ru-RU" sz="1100"/>
        </a:p>
        <a:p xmlns:a="http://schemas.openxmlformats.org/drawingml/2006/main">
          <a:endParaRPr lang="ru-RU" sz="1100"/>
        </a:p>
        <a:p xmlns:a="http://schemas.openxmlformats.org/drawingml/2006/main">
          <a:r>
            <a:rPr lang="ru-RU" sz="1100"/>
            <a:t>5</a:t>
          </a:r>
        </a:p>
      </cdr:txBody>
    </cdr:sp>
  </cdr:relSizeAnchor>
  <cdr:relSizeAnchor xmlns:cdr="http://schemas.openxmlformats.org/drawingml/2006/chartDrawing">
    <cdr:from>
      <cdr:x>0.4238</cdr:x>
      <cdr:y>0.27283</cdr:y>
    </cdr:from>
    <cdr:to>
      <cdr:x>0.51705</cdr:x>
      <cdr:y>0.3463</cdr:y>
    </cdr:to>
    <cdr:sp macro="" textlink="">
      <cdr:nvSpPr>
        <cdr:cNvPr id="4" name="TextBox 3"/>
        <cdr:cNvSpPr txBox="1"/>
      </cdr:nvSpPr>
      <cdr:spPr>
        <a:xfrm xmlns:a="http://schemas.openxmlformats.org/drawingml/2006/main">
          <a:off x="2517283" y="929641"/>
          <a:ext cx="553885" cy="250346"/>
        </a:xfrm>
        <a:prstGeom xmlns:a="http://schemas.openxmlformats.org/drawingml/2006/main" prst="rect">
          <a:avLst/>
        </a:prstGeom>
        <a:noFill xmlns:a="http://schemas.openxmlformats.org/drawingml/2006/main"/>
      </cdr:spPr>
      <cdr:txBody>
        <a:bodyPr xmlns:a="http://schemas.openxmlformats.org/drawingml/2006/main" vertOverflow="clip" wrap="none" rtlCol="0"/>
        <a:lstStyle xmlns:a="http://schemas.openxmlformats.org/drawingml/2006/main"/>
        <a:p xmlns:a="http://schemas.openxmlformats.org/drawingml/2006/main">
          <a:r>
            <a:rPr lang="ru-RU" sz="1100" b="1" baseline="0">
              <a:solidFill>
                <a:srgbClr val="FF0000"/>
              </a:solidFill>
            </a:rPr>
            <a:t>105,9 %</a:t>
          </a:r>
        </a:p>
      </cdr:txBody>
    </cdr:sp>
  </cdr:relSizeAnchor>
  <cdr:relSizeAnchor xmlns:cdr="http://schemas.openxmlformats.org/drawingml/2006/chartDrawing">
    <cdr:from>
      <cdr:x>0.52878</cdr:x>
      <cdr:y>0.25492</cdr:y>
    </cdr:from>
    <cdr:to>
      <cdr:x>0.6296</cdr:x>
      <cdr:y>0.31998</cdr:y>
    </cdr:to>
    <cdr:sp macro="" textlink="">
      <cdr:nvSpPr>
        <cdr:cNvPr id="5" name="TextBox 4"/>
        <cdr:cNvSpPr txBox="1"/>
      </cdr:nvSpPr>
      <cdr:spPr>
        <a:xfrm xmlns:a="http://schemas.openxmlformats.org/drawingml/2006/main" rot="19771804">
          <a:off x="3140842" y="868600"/>
          <a:ext cx="598849" cy="2217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baseline="0">
              <a:solidFill>
                <a:srgbClr val="FF0000"/>
              </a:solidFill>
            </a:rPr>
            <a:t>133,5 </a:t>
          </a:r>
          <a:r>
            <a:rPr lang="ru-RU" sz="1100" b="1" i="1" baseline="0">
              <a:solidFill>
                <a:srgbClr val="FF0000"/>
              </a:solidFill>
            </a:rPr>
            <a:t>%</a:t>
          </a:r>
        </a:p>
      </cdr:txBody>
    </cdr:sp>
  </cdr:relSizeAnchor>
  <cdr:relSizeAnchor xmlns:cdr="http://schemas.openxmlformats.org/drawingml/2006/chartDrawing">
    <cdr:from>
      <cdr:x>0.73094</cdr:x>
      <cdr:y>0.30934</cdr:y>
    </cdr:from>
    <cdr:to>
      <cdr:x>0.81678</cdr:x>
      <cdr:y>0.37625</cdr:y>
    </cdr:to>
    <cdr:sp macro="" textlink="">
      <cdr:nvSpPr>
        <cdr:cNvPr id="7" name="TextBox 6"/>
        <cdr:cNvSpPr txBox="1"/>
      </cdr:nvSpPr>
      <cdr:spPr>
        <a:xfrm xmlns:a="http://schemas.openxmlformats.org/drawingml/2006/main" rot="1342390">
          <a:off x="4341634" y="1054038"/>
          <a:ext cx="509872" cy="22799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a:solidFill>
                <a:srgbClr val="FF0000"/>
              </a:solidFill>
            </a:rPr>
            <a:t>73,6 %</a:t>
          </a:r>
        </a:p>
      </cdr:txBody>
    </cdr:sp>
  </cdr:relSizeAnchor>
</c:userShapes>
</file>

<file path=word/drawings/drawing5.xml><?xml version="1.0" encoding="utf-8"?>
<c:userShapes xmlns:c="http://schemas.openxmlformats.org/drawingml/2006/chart">
  <cdr:relSizeAnchor xmlns:cdr="http://schemas.openxmlformats.org/drawingml/2006/chartDrawing">
    <cdr:from>
      <cdr:x>0.2275</cdr:x>
      <cdr:y>0.20836</cdr:y>
    </cdr:from>
    <cdr:to>
      <cdr:x>0.33486</cdr:x>
      <cdr:y>0.2799</cdr:y>
    </cdr:to>
    <cdr:sp macro="" textlink="">
      <cdr:nvSpPr>
        <cdr:cNvPr id="6" name="Стрілка вправо 5"/>
        <cdr:cNvSpPr/>
      </cdr:nvSpPr>
      <cdr:spPr>
        <a:xfrm xmlns:a="http://schemas.openxmlformats.org/drawingml/2006/main" rot="1741481">
          <a:off x="1371664" y="815949"/>
          <a:ext cx="647309" cy="280154"/>
        </a:xfrm>
        <a:prstGeom xmlns:a="http://schemas.openxmlformats.org/drawingml/2006/main" prst="rightArrow">
          <a:avLst/>
        </a:prstGeom>
        <a:solidFill xmlns:a="http://schemas.openxmlformats.org/drawingml/2006/main">
          <a:schemeClr val="accent4">
            <a:lumMod val="60000"/>
            <a:lumOff val="40000"/>
          </a:schemeClr>
        </a:solidFill>
        <a:ln xmlns:a="http://schemas.openxmlformats.org/drawingml/2006/main">
          <a:solidFill>
            <a:schemeClr val="accent4">
              <a:lumMod val="60000"/>
              <a:lumOff val="40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nchor="ctr"/>
        <a:lstStyle xmlns:a="http://schemas.openxmlformats.org/drawingml/2006/main"/>
        <a:p xmlns:a="http://schemas.openxmlformats.org/drawingml/2006/main">
          <a:pPr algn="ctr"/>
          <a:r>
            <a:rPr lang="ru-RU" sz="1200" b="1">
              <a:solidFill>
                <a:srgbClr val="002060"/>
              </a:solidFill>
              <a:latin typeface="Times New Roman" panose="02020603050405020304" pitchFamily="18" charset="0"/>
              <a:cs typeface="Times New Roman" panose="02020603050405020304" pitchFamily="18" charset="0"/>
            </a:rPr>
            <a:t>14,2</a:t>
          </a:r>
        </a:p>
      </cdr:txBody>
    </cdr:sp>
  </cdr:relSizeAnchor>
  <cdr:relSizeAnchor xmlns:cdr="http://schemas.openxmlformats.org/drawingml/2006/chartDrawing">
    <cdr:from>
      <cdr:x>0.67351</cdr:x>
      <cdr:y>0.22122</cdr:y>
    </cdr:from>
    <cdr:to>
      <cdr:x>0.78277</cdr:x>
      <cdr:y>0.29402</cdr:y>
    </cdr:to>
    <cdr:sp macro="" textlink="">
      <cdr:nvSpPr>
        <cdr:cNvPr id="7" name="Стрілка вліво 6"/>
        <cdr:cNvSpPr/>
      </cdr:nvSpPr>
      <cdr:spPr>
        <a:xfrm xmlns:a="http://schemas.openxmlformats.org/drawingml/2006/main" rot="19603440">
          <a:off x="4060801" y="866312"/>
          <a:ext cx="658764" cy="285088"/>
        </a:xfrm>
        <a:prstGeom xmlns:a="http://schemas.openxmlformats.org/drawingml/2006/main" prst="leftArrow">
          <a:avLst/>
        </a:prstGeom>
        <a:ln xmlns:a="http://schemas.openxmlformats.org/drawingml/2006/main">
          <a:solidFill>
            <a:schemeClr val="accent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nchor="ctr"/>
        <a:lstStyle xmlns:a="http://schemas.openxmlformats.org/drawingml/2006/main"/>
        <a:p xmlns:a="http://schemas.openxmlformats.org/drawingml/2006/main">
          <a:pPr algn="ctr"/>
          <a:r>
            <a:rPr lang="ru-RU" sz="1200" b="1">
              <a:solidFill>
                <a:sysClr val="windowText" lastClr="000000"/>
              </a:solidFill>
              <a:latin typeface="Times New Roman" panose="02020603050405020304" pitchFamily="18" charset="0"/>
              <a:cs typeface="Times New Roman" panose="02020603050405020304" pitchFamily="18" charset="0"/>
            </a:rPr>
            <a:t>2,5</a:t>
          </a:r>
        </a:p>
      </cdr:txBody>
    </cdr:sp>
  </cdr:relSizeAnchor>
  <cdr:relSizeAnchor xmlns:cdr="http://schemas.openxmlformats.org/drawingml/2006/chartDrawing">
    <cdr:from>
      <cdr:x>0.73831</cdr:x>
      <cdr:y>0.64936</cdr:y>
    </cdr:from>
    <cdr:to>
      <cdr:x>0.84069</cdr:x>
      <cdr:y>0.72419</cdr:y>
    </cdr:to>
    <cdr:sp macro="" textlink="">
      <cdr:nvSpPr>
        <cdr:cNvPr id="8" name="Стрілка вгору 7"/>
        <cdr:cNvSpPr/>
      </cdr:nvSpPr>
      <cdr:spPr>
        <a:xfrm xmlns:a="http://schemas.openxmlformats.org/drawingml/2006/main" rot="17505637">
          <a:off x="4613632" y="2380815"/>
          <a:ext cx="293038" cy="617283"/>
        </a:xfrm>
        <a:prstGeom xmlns:a="http://schemas.openxmlformats.org/drawingml/2006/main" prst="upArrow">
          <a:avLst/>
        </a:prstGeom>
        <a:solidFill xmlns:a="http://schemas.openxmlformats.org/drawingml/2006/main">
          <a:schemeClr val="accent2"/>
        </a:solidFill>
        <a:ln xmlns:a="http://schemas.openxmlformats.org/drawingml/2006/main">
          <a:solidFill>
            <a:schemeClr val="accent2"/>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vert="vert" anchor="ctr"/>
        <a:lstStyle xmlns:a="http://schemas.openxmlformats.org/drawingml/2006/main"/>
        <a:p xmlns:a="http://schemas.openxmlformats.org/drawingml/2006/main">
          <a:pPr algn="ctr"/>
          <a:r>
            <a:rPr lang="ru-RU" sz="1200" b="1">
              <a:solidFill>
                <a:sysClr val="windowText" lastClr="000000"/>
              </a:solidFill>
              <a:latin typeface="Times New Roman" panose="02020603050405020304" pitchFamily="18" charset="0"/>
              <a:cs typeface="Times New Roman" panose="02020603050405020304" pitchFamily="18" charset="0"/>
            </a:rPr>
            <a:t>9,0</a:t>
          </a:r>
        </a:p>
      </cdr:txBody>
    </cdr:sp>
  </cdr:relSizeAnchor>
  <cdr:relSizeAnchor xmlns:cdr="http://schemas.openxmlformats.org/drawingml/2006/chartDrawing">
    <cdr:from>
      <cdr:x>0.2081</cdr:x>
      <cdr:y>0.78069</cdr:y>
    </cdr:from>
    <cdr:to>
      <cdr:x>0.31404</cdr:x>
      <cdr:y>0.85525</cdr:y>
    </cdr:to>
    <cdr:sp macro="" textlink="">
      <cdr:nvSpPr>
        <cdr:cNvPr id="9" name="Стрілка вправо 8"/>
        <cdr:cNvSpPr/>
      </cdr:nvSpPr>
      <cdr:spPr>
        <a:xfrm xmlns:a="http://schemas.openxmlformats.org/drawingml/2006/main" rot="19738629">
          <a:off x="1254731" y="3057212"/>
          <a:ext cx="638747" cy="291981"/>
        </a:xfrm>
        <a:prstGeom xmlns:a="http://schemas.openxmlformats.org/drawingml/2006/main" prst="rightArrow">
          <a:avLst/>
        </a:prstGeom>
        <a:solidFill xmlns:a="http://schemas.openxmlformats.org/drawingml/2006/main">
          <a:schemeClr val="accent3"/>
        </a:solidFill>
        <a:ln xmlns:a="http://schemas.openxmlformats.org/drawingml/2006/main">
          <a:solidFill>
            <a:schemeClr val="accent3"/>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nchor="ctr"/>
        <a:lstStyle xmlns:a="http://schemas.openxmlformats.org/drawingml/2006/main"/>
        <a:p xmlns:a="http://schemas.openxmlformats.org/drawingml/2006/main">
          <a:pPr algn="ctr"/>
          <a:r>
            <a:rPr lang="ru-RU" sz="1200" b="1">
              <a:solidFill>
                <a:srgbClr val="002060"/>
              </a:solidFill>
              <a:latin typeface="Times New Roman" panose="02020603050405020304" pitchFamily="18" charset="0"/>
              <a:cs typeface="Times New Roman" panose="02020603050405020304" pitchFamily="18" charset="0"/>
            </a:rPr>
            <a:t>15,5</a:t>
          </a:r>
        </a:p>
      </cdr:txBody>
    </cdr:sp>
  </cdr:relSizeAnchor>
  <cdr:relSizeAnchor xmlns:cdr="http://schemas.openxmlformats.org/drawingml/2006/chartDrawing">
    <cdr:from>
      <cdr:x>0.41511</cdr:x>
      <cdr:y>0.41265</cdr:y>
    </cdr:from>
    <cdr:to>
      <cdr:x>0.58762</cdr:x>
      <cdr:y>0.69424</cdr:y>
    </cdr:to>
    <cdr:sp macro="" textlink="">
      <cdr:nvSpPr>
        <cdr:cNvPr id="11" name="Блок-схема: вузол 10"/>
        <cdr:cNvSpPr/>
      </cdr:nvSpPr>
      <cdr:spPr>
        <a:xfrm xmlns:a="http://schemas.openxmlformats.org/drawingml/2006/main">
          <a:off x="2502846" y="1511148"/>
          <a:ext cx="1040119" cy="1031195"/>
        </a:xfrm>
        <a:prstGeom xmlns:a="http://schemas.openxmlformats.org/drawingml/2006/main" prst="flowChartConnector">
          <a:avLst/>
        </a:prstGeom>
        <a:solidFill xmlns:a="http://schemas.openxmlformats.org/drawingml/2006/main">
          <a:schemeClr val="accent6">
            <a:lumMod val="40000"/>
            <a:lumOff val="60000"/>
          </a:schemeClr>
        </a:solidFill>
      </cdr:spPr>
      <cdr:style>
        <a:lnRef xmlns:a="http://schemas.openxmlformats.org/drawingml/2006/main" idx="1">
          <a:schemeClr val="accent4"/>
        </a:lnRef>
        <a:fillRef xmlns:a="http://schemas.openxmlformats.org/drawingml/2006/main" idx="2">
          <a:schemeClr val="accent4"/>
        </a:fillRef>
        <a:effectRef xmlns:a="http://schemas.openxmlformats.org/drawingml/2006/main" idx="1">
          <a:schemeClr val="accent4"/>
        </a:effectRef>
        <a:fontRef xmlns:a="http://schemas.openxmlformats.org/drawingml/2006/main" idx="minor">
          <a:schemeClr val="dk1"/>
        </a:fontRef>
      </cdr:style>
      <cdr:txBody>
        <a:bodyPr xmlns:a="http://schemas.openxmlformats.org/drawingml/2006/main" vertOverflow="clip" anchor="ctr"/>
        <a:lstStyle xmlns:a="http://schemas.openxmlformats.org/drawingml/2006/main"/>
        <a:p xmlns:a="http://schemas.openxmlformats.org/drawingml/2006/main">
          <a:pPr algn="ctr"/>
          <a:r>
            <a:rPr lang="ru-RU" sz="1200" b="1">
              <a:latin typeface="Times New Roman" panose="02020603050405020304" pitchFamily="18" charset="0"/>
              <a:cs typeface="Times New Roman" panose="02020603050405020304" pitchFamily="18" charset="0"/>
            </a:rPr>
            <a:t>41,2</a:t>
          </a:r>
          <a:endParaRPr lang="ru-RU" sz="1100" b="1">
            <a:latin typeface="Times New Roman" panose="02020603050405020304" pitchFamily="18" charset="0"/>
            <a:cs typeface="Times New Roman" panose="02020603050405020304" pitchFamily="18" charset="0"/>
          </a:endParaRPr>
        </a:p>
        <a:p xmlns:a="http://schemas.openxmlformats.org/drawingml/2006/main">
          <a:pPr algn="ctr"/>
          <a:r>
            <a:rPr lang="ru-RU" sz="1100" b="1">
              <a:latin typeface="Times New Roman" panose="02020603050405020304" pitchFamily="18" charset="0"/>
              <a:cs typeface="Times New Roman" panose="02020603050405020304" pitchFamily="18" charset="0"/>
            </a:rPr>
            <a:t>млн грн</a:t>
          </a:r>
        </a:p>
      </cdr:txBody>
    </cdr:sp>
  </cdr:relSizeAnchor>
  <cdr:relSizeAnchor xmlns:cdr="http://schemas.openxmlformats.org/drawingml/2006/chartDrawing">
    <cdr:from>
      <cdr:x>0.04699</cdr:x>
      <cdr:y>0.83228</cdr:y>
    </cdr:from>
    <cdr:to>
      <cdr:x>0.20173</cdr:x>
      <cdr:y>0.93542</cdr:y>
    </cdr:to>
    <cdr:sp macro="" textlink="">
      <cdr:nvSpPr>
        <cdr:cNvPr id="12" name="Овал 11"/>
        <cdr:cNvSpPr/>
      </cdr:nvSpPr>
      <cdr:spPr>
        <a:xfrm xmlns:a="http://schemas.openxmlformats.org/drawingml/2006/main">
          <a:off x="283347" y="2770915"/>
          <a:ext cx="932978" cy="343385"/>
        </a:xfrm>
        <a:prstGeom xmlns:a="http://schemas.openxmlformats.org/drawingml/2006/main" prst="ellipse">
          <a:avLst/>
        </a:prstGeom>
      </cdr:spPr>
      <cdr:style>
        <a:lnRef xmlns:a="http://schemas.openxmlformats.org/drawingml/2006/main" idx="2">
          <a:schemeClr val="accent3"/>
        </a:lnRef>
        <a:fillRef xmlns:a="http://schemas.openxmlformats.org/drawingml/2006/main" idx="1">
          <a:schemeClr val="lt1"/>
        </a:fillRef>
        <a:effectRef xmlns:a="http://schemas.openxmlformats.org/drawingml/2006/main" idx="0">
          <a:schemeClr val="accent3"/>
        </a:effectRef>
        <a:fontRef xmlns:a="http://schemas.openxmlformats.org/drawingml/2006/main" idx="minor">
          <a:schemeClr val="dk1"/>
        </a:fontRef>
      </cdr:style>
      <cdr:txBody>
        <a:bodyPr xmlns:a="http://schemas.openxmlformats.org/drawingml/2006/main" vertOverflow="clip" anchor="ctr"/>
        <a:lstStyle xmlns:a="http://schemas.openxmlformats.org/drawingml/2006/main"/>
        <a:p xmlns:a="http://schemas.openxmlformats.org/drawingml/2006/main">
          <a:pPr algn="ctr"/>
          <a:r>
            <a:rPr lang="ru-RU" b="1">
              <a:latin typeface="Times New Roman" panose="02020603050405020304" pitchFamily="18" charset="0"/>
              <a:cs typeface="Times New Roman" panose="02020603050405020304" pitchFamily="18" charset="0"/>
            </a:rPr>
            <a:t>37,6%</a:t>
          </a:r>
        </a:p>
      </cdr:txBody>
    </cdr:sp>
  </cdr:relSizeAnchor>
  <cdr:relSizeAnchor xmlns:cdr="http://schemas.openxmlformats.org/drawingml/2006/chartDrawing">
    <cdr:from>
      <cdr:x>0.81862</cdr:x>
      <cdr:y>0.29243</cdr:y>
    </cdr:from>
    <cdr:to>
      <cdr:x>0.95574</cdr:x>
      <cdr:y>0.39386</cdr:y>
    </cdr:to>
    <cdr:sp macro="" textlink="">
      <cdr:nvSpPr>
        <cdr:cNvPr id="14" name="Овал 13"/>
        <cdr:cNvSpPr/>
      </cdr:nvSpPr>
      <cdr:spPr>
        <a:xfrm xmlns:a="http://schemas.openxmlformats.org/drawingml/2006/main">
          <a:off x="4935731" y="973596"/>
          <a:ext cx="826741" cy="337691"/>
        </a:xfrm>
        <a:prstGeom xmlns:a="http://schemas.openxmlformats.org/drawingml/2006/main" prst="ellipse">
          <a:avLst/>
        </a:prstGeom>
        <a:ln xmlns:a="http://schemas.openxmlformats.org/drawingml/2006/main">
          <a:solidFill>
            <a:schemeClr val="accent1"/>
          </a:solidFill>
        </a:ln>
      </cdr:spPr>
      <cdr:style>
        <a:lnRef xmlns:a="http://schemas.openxmlformats.org/drawingml/2006/main" idx="2">
          <a:schemeClr val="accent5"/>
        </a:lnRef>
        <a:fillRef xmlns:a="http://schemas.openxmlformats.org/drawingml/2006/main" idx="1">
          <a:schemeClr val="lt1"/>
        </a:fillRef>
        <a:effectRef xmlns:a="http://schemas.openxmlformats.org/drawingml/2006/main" idx="0">
          <a:schemeClr val="accent5"/>
        </a:effectRef>
        <a:fontRef xmlns:a="http://schemas.openxmlformats.org/drawingml/2006/main" idx="minor">
          <a:schemeClr val="dk1"/>
        </a:fontRef>
      </cdr:style>
      <cdr:txBody>
        <a:bodyPr xmlns:a="http://schemas.openxmlformats.org/drawingml/2006/main" vertOverflow="clip" anchor="ctr"/>
        <a:lstStyle xmlns:a="http://schemas.openxmlformats.org/drawingml/2006/main"/>
        <a:p xmlns:a="http://schemas.openxmlformats.org/drawingml/2006/main">
          <a:pPr algn="ctr"/>
          <a:r>
            <a:rPr lang="ru-RU" b="1">
              <a:latin typeface="Times New Roman" panose="02020603050405020304" pitchFamily="18" charset="0"/>
              <a:cs typeface="Times New Roman" panose="02020603050405020304" pitchFamily="18" charset="0"/>
            </a:rPr>
            <a:t>6,1%</a:t>
          </a:r>
        </a:p>
      </cdr:txBody>
    </cdr:sp>
  </cdr:relSizeAnchor>
  <cdr:relSizeAnchor xmlns:cdr="http://schemas.openxmlformats.org/drawingml/2006/chartDrawing">
    <cdr:from>
      <cdr:x>0.81327</cdr:x>
      <cdr:y>0.78474</cdr:y>
    </cdr:from>
    <cdr:to>
      <cdr:x>0.97004</cdr:x>
      <cdr:y>0.89137</cdr:y>
    </cdr:to>
    <cdr:sp macro="" textlink="">
      <cdr:nvSpPr>
        <cdr:cNvPr id="15" name="Овал 14"/>
        <cdr:cNvSpPr/>
      </cdr:nvSpPr>
      <cdr:spPr>
        <a:xfrm xmlns:a="http://schemas.openxmlformats.org/drawingml/2006/main">
          <a:off x="4903469" y="2612649"/>
          <a:ext cx="945217" cy="355004"/>
        </a:xfrm>
        <a:prstGeom xmlns:a="http://schemas.openxmlformats.org/drawingml/2006/main" prst="ellipse">
          <a:avLst/>
        </a:prstGeom>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vertOverflow="clip" anchor="ctr"/>
        <a:lstStyle xmlns:a="http://schemas.openxmlformats.org/drawingml/2006/main"/>
        <a:p xmlns:a="http://schemas.openxmlformats.org/drawingml/2006/main">
          <a:pPr algn="ctr"/>
          <a:r>
            <a:rPr lang="ru-RU" b="1">
              <a:latin typeface="Times New Roman" panose="02020603050405020304" pitchFamily="18" charset="0"/>
              <a:cs typeface="Times New Roman" panose="02020603050405020304" pitchFamily="18" charset="0"/>
            </a:rPr>
            <a:t>21,8%</a:t>
          </a:r>
        </a:p>
      </cdr:txBody>
    </cdr:sp>
  </cdr:relSizeAnchor>
  <cdr:relSizeAnchor xmlns:cdr="http://schemas.openxmlformats.org/drawingml/2006/chartDrawing">
    <cdr:from>
      <cdr:x>0.06438</cdr:x>
      <cdr:y>0.3988</cdr:y>
    </cdr:from>
    <cdr:to>
      <cdr:x>0.21604</cdr:x>
      <cdr:y>0.5001</cdr:y>
    </cdr:to>
    <cdr:sp macro="" textlink="">
      <cdr:nvSpPr>
        <cdr:cNvPr id="2" name="Овал 1"/>
        <cdr:cNvSpPr/>
      </cdr:nvSpPr>
      <cdr:spPr>
        <a:xfrm xmlns:a="http://schemas.openxmlformats.org/drawingml/2006/main">
          <a:off x="388181" y="1327738"/>
          <a:ext cx="914408" cy="337259"/>
        </a:xfrm>
        <a:prstGeom xmlns:a="http://schemas.openxmlformats.org/drawingml/2006/main" prst="ellipse">
          <a:avLst/>
        </a:prstGeom>
      </cdr:spPr>
      <cdr:style>
        <a:lnRef xmlns:a="http://schemas.openxmlformats.org/drawingml/2006/main" idx="2">
          <a:schemeClr val="accent4"/>
        </a:lnRef>
        <a:fillRef xmlns:a="http://schemas.openxmlformats.org/drawingml/2006/main" idx="1">
          <a:schemeClr val="lt1"/>
        </a:fillRef>
        <a:effectRef xmlns:a="http://schemas.openxmlformats.org/drawingml/2006/main" idx="0">
          <a:schemeClr val="accent4"/>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r>
            <a:rPr lang="ru-RU" sz="1100" b="1">
              <a:latin typeface="Times New Roman" panose="02020603050405020304" pitchFamily="18" charset="0"/>
              <a:cs typeface="Times New Roman" panose="02020603050405020304" pitchFamily="18" charset="0"/>
            </a:rPr>
            <a:t>34,5%</a:t>
          </a:r>
        </a:p>
      </cdr:txBody>
    </cdr:sp>
  </cdr:relSizeAnchor>
</c:userShapes>
</file>

<file path=word/drawings/drawing6.xml><?xml version="1.0" encoding="utf-8"?>
<c:userShapes xmlns:c="http://schemas.openxmlformats.org/drawingml/2006/chart">
  <cdr:relSizeAnchor xmlns:cdr="http://schemas.openxmlformats.org/drawingml/2006/chartDrawing">
    <cdr:from>
      <cdr:x>0.46953</cdr:x>
      <cdr:y>0.02709</cdr:y>
    </cdr:from>
    <cdr:to>
      <cdr:x>0.54988</cdr:x>
      <cdr:y>0.08804</cdr:y>
    </cdr:to>
    <cdr:sp macro="" textlink="">
      <cdr:nvSpPr>
        <cdr:cNvPr id="9" name="Прямоугольник 8"/>
        <cdr:cNvSpPr/>
      </cdr:nvSpPr>
      <cdr:spPr>
        <a:xfrm xmlns:a="http://schemas.openxmlformats.org/drawingml/2006/main">
          <a:off x="2918884" y="101600"/>
          <a:ext cx="499533" cy="228600"/>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0.52524</cdr:x>
      <cdr:y>0.1765</cdr:y>
    </cdr:from>
    <cdr:to>
      <cdr:x>0.6468</cdr:x>
      <cdr:y>0.22755</cdr:y>
    </cdr:to>
    <cdr:sp macro="" textlink="">
      <cdr:nvSpPr>
        <cdr:cNvPr id="10" name="Прямоугольник 9"/>
        <cdr:cNvSpPr/>
      </cdr:nvSpPr>
      <cdr:spPr>
        <a:xfrm xmlns:a="http://schemas.openxmlformats.org/drawingml/2006/main">
          <a:off x="3166840" y="663711"/>
          <a:ext cx="732925" cy="191972"/>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uk-UA" sz="1000" b="1">
              <a:solidFill>
                <a:srgbClr val="FF0000"/>
              </a:solidFill>
              <a:latin typeface="Times New Roman" pitchFamily="18" charset="0"/>
              <a:cs typeface="Times New Roman" pitchFamily="18" charset="0"/>
            </a:rPr>
            <a:t>151,79%</a:t>
          </a:r>
          <a:endParaRPr lang="ru-RU" sz="1000" b="1">
            <a:solidFill>
              <a:srgbClr val="FF0000"/>
            </a:solidFill>
            <a:latin typeface="Times New Roman" pitchFamily="18" charset="0"/>
            <a:cs typeface="Times New Roman" pitchFamily="18" charset="0"/>
          </a:endParaRPr>
        </a:p>
      </cdr:txBody>
    </cdr:sp>
  </cdr:relSizeAnchor>
  <cdr:relSizeAnchor xmlns:cdr="http://schemas.openxmlformats.org/drawingml/2006/chartDrawing">
    <cdr:from>
      <cdr:x>0.72305</cdr:x>
      <cdr:y>0.03963</cdr:y>
    </cdr:from>
    <cdr:to>
      <cdr:x>0.84288</cdr:x>
      <cdr:y>0.08984</cdr:y>
    </cdr:to>
    <cdr:sp macro="" textlink="">
      <cdr:nvSpPr>
        <cdr:cNvPr id="11" name="Прямоугольник 10"/>
        <cdr:cNvSpPr/>
      </cdr:nvSpPr>
      <cdr:spPr>
        <a:xfrm xmlns:a="http://schemas.openxmlformats.org/drawingml/2006/main">
          <a:off x="4359497" y="149011"/>
          <a:ext cx="722494" cy="188813"/>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uk-UA" sz="1000" b="1">
              <a:solidFill>
                <a:srgbClr val="FF0000"/>
              </a:solidFill>
              <a:latin typeface="Times New Roman" pitchFamily="18" charset="0"/>
              <a:cs typeface="Times New Roman" pitchFamily="18" charset="0"/>
            </a:rPr>
            <a:t>108,14</a:t>
          </a:r>
          <a:r>
            <a:rPr lang="uk-UA" sz="1000">
              <a:solidFill>
                <a:srgbClr val="FF0000"/>
              </a:solidFill>
            </a:rPr>
            <a:t>%</a:t>
          </a:r>
          <a:endParaRPr lang="ru-RU" sz="1000">
            <a:solidFill>
              <a:srgbClr val="FF0000"/>
            </a:solidFill>
          </a:endParaRPr>
        </a:p>
      </cdr:txBody>
    </cdr:sp>
  </cdr:relSizeAnchor>
  <cdr:relSizeAnchor xmlns:cdr="http://schemas.openxmlformats.org/drawingml/2006/chartDrawing">
    <cdr:from>
      <cdr:x>0.27613</cdr:x>
      <cdr:y>0.16026</cdr:y>
    </cdr:from>
    <cdr:to>
      <cdr:x>0.3338</cdr:x>
      <cdr:y>0.18814</cdr:y>
    </cdr:to>
    <cdr:cxnSp macro="">
      <cdr:nvCxnSpPr>
        <cdr:cNvPr id="8" name="Прямая со стрелкой 7"/>
        <cdr:cNvCxnSpPr/>
      </cdr:nvCxnSpPr>
      <cdr:spPr>
        <a:xfrm xmlns:a="http://schemas.openxmlformats.org/drawingml/2006/main" flipV="1">
          <a:off x="1664898" y="602648"/>
          <a:ext cx="347714" cy="104838"/>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0.43059</cdr:x>
      <cdr:y>0.16682</cdr:y>
    </cdr:from>
    <cdr:to>
      <cdr:x>0.49005</cdr:x>
      <cdr:y>0.2661</cdr:y>
    </cdr:to>
    <cdr:cxnSp macro="">
      <cdr:nvCxnSpPr>
        <cdr:cNvPr id="15" name="Прямая со стрелкой 14"/>
        <cdr:cNvCxnSpPr/>
      </cdr:nvCxnSpPr>
      <cdr:spPr>
        <a:xfrm xmlns:a="http://schemas.openxmlformats.org/drawingml/2006/main">
          <a:off x="2596157" y="627327"/>
          <a:ext cx="358543" cy="373337"/>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0.57663</cdr:x>
      <cdr:y>0.18049</cdr:y>
    </cdr:from>
    <cdr:to>
      <cdr:x>0.64698</cdr:x>
      <cdr:y>0.28499</cdr:y>
    </cdr:to>
    <cdr:cxnSp macro="">
      <cdr:nvCxnSpPr>
        <cdr:cNvPr id="28" name="Прямая со стрелкой 27"/>
        <cdr:cNvCxnSpPr/>
      </cdr:nvCxnSpPr>
      <cdr:spPr>
        <a:xfrm xmlns:a="http://schemas.openxmlformats.org/drawingml/2006/main" flipV="1">
          <a:off x="3476709" y="678711"/>
          <a:ext cx="424163" cy="392969"/>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0.73709</cdr:x>
      <cdr:y>0.14213</cdr:y>
    </cdr:from>
    <cdr:to>
      <cdr:x>0.80293</cdr:x>
      <cdr:y>0.15596</cdr:y>
    </cdr:to>
    <cdr:cxnSp macro="">
      <cdr:nvCxnSpPr>
        <cdr:cNvPr id="32" name="Прямая со стрелкой 31"/>
        <cdr:cNvCxnSpPr/>
      </cdr:nvCxnSpPr>
      <cdr:spPr>
        <a:xfrm xmlns:a="http://schemas.openxmlformats.org/drawingml/2006/main" flipV="1">
          <a:off x="4444168" y="534490"/>
          <a:ext cx="396971" cy="52007"/>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7.xml><?xml version="1.0" encoding="utf-8"?>
<c:userShapes xmlns:c="http://schemas.openxmlformats.org/drawingml/2006/chart">
  <cdr:relSizeAnchor xmlns:cdr="http://schemas.openxmlformats.org/drawingml/2006/chartDrawing">
    <cdr:from>
      <cdr:x>0.25791</cdr:x>
      <cdr:y>0.14583</cdr:y>
    </cdr:from>
    <cdr:to>
      <cdr:x>0.66456</cdr:x>
      <cdr:y>0.23958</cdr:y>
    </cdr:to>
    <cdr:sp macro="" textlink="">
      <cdr:nvSpPr>
        <cdr:cNvPr id="4" name="Скругленный прямоугольник 3"/>
        <cdr:cNvSpPr/>
      </cdr:nvSpPr>
      <cdr:spPr>
        <a:xfrm xmlns:a="http://schemas.openxmlformats.org/drawingml/2006/main">
          <a:off x="1552575" y="400050"/>
          <a:ext cx="2447925" cy="257175"/>
        </a:xfrm>
        <a:prstGeom xmlns:a="http://schemas.openxmlformats.org/drawingml/2006/main" prst="roundRect">
          <a:avLst/>
        </a:prstGeom>
        <a:noFill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uk-UA" b="1">
              <a:solidFill>
                <a:sysClr val="windowText" lastClr="000000"/>
              </a:solidFill>
              <a:latin typeface="Times New Roman" pitchFamily="18" charset="0"/>
              <a:cs typeface="Times New Roman" pitchFamily="18" charset="0"/>
            </a:rPr>
            <a:t>Разом - 7 365,0 тис.грн</a:t>
          </a:r>
          <a:endParaRPr lang="ru-RU" b="1">
            <a:solidFill>
              <a:sysClr val="windowText" lastClr="000000"/>
            </a:solidFill>
            <a:latin typeface="Times New Roman" pitchFamily="18" charset="0"/>
            <a:cs typeface="Times New Roman" pitchFamily="18" charset="0"/>
          </a:endParaRPr>
        </a:p>
      </cdr:txBody>
    </cdr:sp>
  </cdr:relSizeAnchor>
</c:userShapes>
</file>

<file path=word/drawings/drawing8.xml><?xml version="1.0" encoding="utf-8"?>
<c:userShapes xmlns:c="http://schemas.openxmlformats.org/drawingml/2006/chart">
  <cdr:relSizeAnchor xmlns:cdr="http://schemas.openxmlformats.org/drawingml/2006/chartDrawing">
    <cdr:from>
      <cdr:x>0.14431</cdr:x>
      <cdr:y>0.13304</cdr:y>
    </cdr:from>
    <cdr:to>
      <cdr:x>0.91876</cdr:x>
      <cdr:y>0.20202</cdr:y>
    </cdr:to>
    <cdr:sp macro="" textlink="">
      <cdr:nvSpPr>
        <cdr:cNvPr id="2" name="TextBox 1"/>
        <cdr:cNvSpPr txBox="1"/>
      </cdr:nvSpPr>
      <cdr:spPr>
        <a:xfrm xmlns:a="http://schemas.openxmlformats.org/drawingml/2006/main">
          <a:off x="857251" y="466332"/>
          <a:ext cx="4600574" cy="24178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latin typeface="Times New Roman" panose="02020603050405020304" pitchFamily="18" charset="0"/>
              <a:cs typeface="Times New Roman" panose="02020603050405020304" pitchFamily="18" charset="0"/>
            </a:rPr>
            <a:t>Всього надходжень (без врахування трансфертів) </a:t>
          </a:r>
          <a:r>
            <a:rPr lang="ru-RU" sz="1200"/>
            <a:t>- </a:t>
          </a:r>
          <a:r>
            <a:rPr lang="ru-RU" sz="1200" b="1"/>
            <a:t>21</a:t>
          </a:r>
          <a:r>
            <a:rPr lang="ru-RU" sz="1200" b="1" baseline="0"/>
            <a:t> 149,0 </a:t>
          </a:r>
          <a:r>
            <a:rPr lang="ru-RU" sz="1200" b="1"/>
            <a:t>тис. грн</a:t>
          </a:r>
          <a:r>
            <a:rPr lang="ru-RU" sz="1100"/>
            <a:t> </a:t>
          </a:r>
        </a:p>
      </cdr:txBody>
    </cdr:sp>
  </cdr:relSizeAnchor>
  <cdr:relSizeAnchor xmlns:cdr="http://schemas.openxmlformats.org/drawingml/2006/chartDrawing">
    <cdr:from>
      <cdr:x>0.71352</cdr:x>
      <cdr:y>0.60797</cdr:y>
    </cdr:from>
    <cdr:to>
      <cdr:x>0.96793</cdr:x>
      <cdr:y>0.79244</cdr:y>
    </cdr:to>
    <cdr:sp macro="" textlink="">
      <cdr:nvSpPr>
        <cdr:cNvPr id="8" name="Прямоугольная выноска 7"/>
        <cdr:cNvSpPr/>
      </cdr:nvSpPr>
      <cdr:spPr>
        <a:xfrm xmlns:a="http://schemas.openxmlformats.org/drawingml/2006/main">
          <a:off x="4238625" y="1922592"/>
          <a:ext cx="1511300" cy="583350"/>
        </a:xfrm>
        <a:prstGeom xmlns:a="http://schemas.openxmlformats.org/drawingml/2006/main" prst="wedgeRectCallout">
          <a:avLst>
            <a:gd name="adj1" fmla="val 1629"/>
            <a:gd name="adj2" fmla="val 88001"/>
          </a:avLst>
        </a:prstGeom>
        <a:noFill xmlns:a="http://schemas.openxmlformats.org/drawingml/2006/main"/>
        <a:ln xmlns:a="http://schemas.openxmlformats.org/drawingml/2006/main" w="15875">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rtlCol="0" anchor="ctr"/>
        <a:lstStyle xmlns:a="http://schemas.openxmlformats.org/drawingml/2006/main"/>
        <a:p xmlns:a="http://schemas.openxmlformats.org/drawingml/2006/main">
          <a:r>
            <a:rPr lang="ru-RU" sz="1000">
              <a:solidFill>
                <a:sysClr val="windowText" lastClr="000000"/>
              </a:solidFill>
              <a:latin typeface="Times New Roman" pitchFamily="18" charset="0"/>
              <a:cs typeface="Times New Roman" pitchFamily="18" charset="0"/>
            </a:rPr>
            <a:t>в т.ч. :</a:t>
          </a:r>
        </a:p>
        <a:p xmlns:a="http://schemas.openxmlformats.org/drawingml/2006/main">
          <a:r>
            <a:rPr lang="ru-RU" sz="1000">
              <a:solidFill>
                <a:sysClr val="windowText" lastClr="000000"/>
              </a:solidFill>
              <a:latin typeface="Times New Roman" pitchFamily="18" charset="0"/>
              <a:cs typeface="Times New Roman" pitchFamily="18" charset="0"/>
            </a:rPr>
            <a:t>- надходження</a:t>
          </a:r>
          <a:r>
            <a:rPr lang="ru-RU" sz="1000" baseline="0">
              <a:solidFill>
                <a:sysClr val="windowText" lastClr="000000"/>
              </a:solidFill>
              <a:latin typeface="Times New Roman" pitchFamily="18" charset="0"/>
              <a:cs typeface="Times New Roman" pitchFamily="18" charset="0"/>
            </a:rPr>
            <a:t> від продажу землі -  2 799,0</a:t>
          </a:r>
        </a:p>
      </cdr:txBody>
    </cdr:sp>
  </cdr:relSizeAnchor>
  <cdr:relSizeAnchor xmlns:cdr="http://schemas.openxmlformats.org/drawingml/2006/chartDrawing">
    <cdr:from>
      <cdr:x>0.7793</cdr:x>
      <cdr:y>0.19205</cdr:y>
    </cdr:from>
    <cdr:to>
      <cdr:x>0.899</cdr:x>
      <cdr:y>0.36424</cdr:y>
    </cdr:to>
    <cdr:sp macro="" textlink="">
      <cdr:nvSpPr>
        <cdr:cNvPr id="9" name="TextBox 8"/>
        <cdr:cNvSpPr txBox="1"/>
      </cdr:nvSpPr>
      <cdr:spPr>
        <a:xfrm xmlns:a="http://schemas.openxmlformats.org/drawingml/2006/main">
          <a:off x="5953125" y="1104900"/>
          <a:ext cx="914400" cy="990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userShapes>
</file>

<file path=word/drawings/drawing9.xml><?xml version="1.0" encoding="utf-8"?>
<c:userShapes xmlns:c="http://schemas.openxmlformats.org/drawingml/2006/chart">
  <cdr:relSizeAnchor xmlns:cdr="http://schemas.openxmlformats.org/drawingml/2006/chartDrawing">
    <cdr:from>
      <cdr:x>0.03125</cdr:x>
      <cdr:y>0.17857</cdr:y>
    </cdr:from>
    <cdr:to>
      <cdr:x>0.17014</cdr:x>
      <cdr:y>0.27381</cdr:y>
    </cdr:to>
    <cdr:sp macro="" textlink="">
      <cdr:nvSpPr>
        <cdr:cNvPr id="2" name="TextBox 1"/>
        <cdr:cNvSpPr txBox="1"/>
      </cdr:nvSpPr>
      <cdr:spPr>
        <a:xfrm xmlns:a="http://schemas.openxmlformats.org/drawingml/2006/main">
          <a:off x="171450" y="571500"/>
          <a:ext cx="762000" cy="3048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a:t>млн грн</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Чітка тінь">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03219A-6537-402B-8FF3-C98A3529A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58092</Words>
  <Characters>33113</Characters>
  <Application>Microsoft Office Word</Application>
  <DocSecurity>0</DocSecurity>
  <Lines>275</Lines>
  <Paragraphs>182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91023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220FU6</cp:lastModifiedBy>
  <cp:revision>2</cp:revision>
  <cp:lastPrinted>2023-12-19T11:41:00Z</cp:lastPrinted>
  <dcterms:created xsi:type="dcterms:W3CDTF">2023-12-19T17:04:00Z</dcterms:created>
  <dcterms:modified xsi:type="dcterms:W3CDTF">2023-12-19T17:04:00Z</dcterms:modified>
</cp:coreProperties>
</file>