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FE6F81">
        <w:rPr>
          <w:rFonts w:ascii="Times New Roman" w:hAnsi="Times New Roman"/>
          <w:sz w:val="23"/>
          <w:szCs w:val="23"/>
        </w:rPr>
        <w:t>2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FE6F81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FE6F81">
        <w:rPr>
          <w:rFonts w:ascii="Times New Roman" w:hAnsi="Times New Roman"/>
          <w:sz w:val="23"/>
          <w:szCs w:val="23"/>
        </w:rPr>
        <w:t>522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FE6F81">
        <w:rPr>
          <w:rFonts w:ascii="Times New Roman" w:hAnsi="Times New Roman"/>
          <w:sz w:val="23"/>
          <w:szCs w:val="23"/>
        </w:rPr>
        <w:t>4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FE6F81" w:rsidP="00FE6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Із урахуванням змін </w:t>
            </w:r>
          </w:p>
        </w:tc>
      </w:tr>
      <w:tr w:rsidR="00AD47C6" w:rsidRPr="000D23E5" w:rsidTr="002D0C78">
        <w:trPr>
          <w:trHeight w:val="8651"/>
        </w:trPr>
        <w:tc>
          <w:tcPr>
            <w:tcW w:w="7939" w:type="dxa"/>
          </w:tcPr>
          <w:p w:rsidR="00FE6F81" w:rsidRPr="00624188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24188">
              <w:rPr>
                <w:rFonts w:ascii="Times New Roman" w:hAnsi="Times New Roman"/>
              </w:rPr>
              <w:t>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E6F81" w:rsidRPr="00B06282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1 008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086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 xml:space="preserve">6 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AA5AF4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149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 xml:space="preserve">000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FE6F81" w:rsidRPr="00B06282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AA5AF4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  <w:lang w:val="ru-RU"/>
              </w:rPr>
              <w:t>00</w:t>
            </w:r>
            <w:r>
              <w:rPr>
                <w:rFonts w:ascii="Times New Roman" w:hAnsi="Times New Roman"/>
                <w:lang w:val="ru-RU"/>
              </w:rPr>
              <w:t>8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  <w:lang w:val="ru-RU"/>
              </w:rPr>
              <w:t>086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  <w:lang w:val="ru-RU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</w:rPr>
              <w:t xml:space="preserve"> </w:t>
            </w:r>
            <w:r w:rsidRPr="00FE6F81">
              <w:rPr>
                <w:rFonts w:ascii="Times New Roman" w:hAnsi="Times New Roman"/>
                <w:b/>
                <w:lang w:val="ru-RU"/>
              </w:rPr>
              <w:t xml:space="preserve">986 </w:t>
            </w:r>
            <w:r w:rsidRPr="00FE6F81">
              <w:rPr>
                <w:rFonts w:ascii="Times New Roman" w:hAnsi="Times New Roman"/>
                <w:b/>
                <w:lang w:val="en-US"/>
              </w:rPr>
              <w:t> </w:t>
            </w:r>
            <w:r w:rsidRPr="00FE6F81">
              <w:rPr>
                <w:rFonts w:ascii="Times New Roman" w:hAnsi="Times New Roman"/>
                <w:b/>
                <w:lang w:val="ru-RU"/>
              </w:rPr>
              <w:t>937</w:t>
            </w:r>
            <w:r w:rsidRPr="00FE6F81">
              <w:rPr>
                <w:rFonts w:ascii="Times New Roman" w:hAnsi="Times New Roman"/>
                <w:b/>
                <w:lang w:val="en-US"/>
              </w:rPr>
              <w:t> </w:t>
            </w:r>
            <w:r w:rsidRPr="00FE6F81">
              <w:rPr>
                <w:rFonts w:ascii="Times New Roman" w:hAnsi="Times New Roman"/>
                <w:b/>
                <w:lang w:val="ru-RU"/>
              </w:rPr>
              <w:t>005</w:t>
            </w:r>
            <w:r w:rsidRPr="00FE6F81">
              <w:rPr>
                <w:rFonts w:ascii="Times New Roman" w:hAnsi="Times New Roman"/>
                <w:b/>
                <w:lang w:val="en-US"/>
              </w:rPr>
              <w:t> </w:t>
            </w:r>
            <w:r w:rsidRPr="00FE6F81">
              <w:rPr>
                <w:rFonts w:ascii="Times New Roman" w:hAnsi="Times New Roman"/>
                <w:b/>
              </w:rPr>
              <w:t>гривень</w:t>
            </w:r>
            <w:r w:rsidRPr="00B06282">
              <w:rPr>
                <w:rFonts w:ascii="Times New Roman" w:hAnsi="Times New Roman"/>
              </w:rPr>
              <w:t xml:space="preserve">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E6F81">
              <w:rPr>
                <w:rFonts w:ascii="Times New Roman" w:hAnsi="Times New Roman"/>
                <w:b/>
                <w:lang w:val="ru-RU"/>
              </w:rPr>
              <w:t>21</w:t>
            </w:r>
            <w:r w:rsidRPr="00FE6F81">
              <w:rPr>
                <w:rFonts w:ascii="Times New Roman" w:hAnsi="Times New Roman"/>
                <w:b/>
                <w:lang w:val="en-US"/>
              </w:rPr>
              <w:t> </w:t>
            </w:r>
            <w:r w:rsidRPr="00FE6F81">
              <w:rPr>
                <w:rFonts w:ascii="Times New Roman" w:hAnsi="Times New Roman"/>
                <w:b/>
                <w:lang w:val="ru-RU"/>
              </w:rPr>
              <w:t>149</w:t>
            </w:r>
            <w:r w:rsidRPr="00FE6F81">
              <w:rPr>
                <w:rFonts w:ascii="Times New Roman" w:hAnsi="Times New Roman"/>
                <w:b/>
                <w:lang w:val="en-US"/>
              </w:rPr>
              <w:t> </w:t>
            </w:r>
            <w:r w:rsidRPr="00FE6F81">
              <w:rPr>
                <w:rFonts w:ascii="Times New Roman" w:hAnsi="Times New Roman"/>
                <w:b/>
                <w:lang w:val="ru-RU"/>
              </w:rPr>
              <w:t>000</w:t>
            </w:r>
            <w:r w:rsidRPr="00FE6F81">
              <w:rPr>
                <w:rFonts w:ascii="Times New Roman" w:hAnsi="Times New Roman"/>
                <w:b/>
                <w:lang w:val="en-US"/>
              </w:rPr>
              <w:t> </w:t>
            </w:r>
            <w:r w:rsidRPr="00FE6F81">
              <w:rPr>
                <w:rFonts w:ascii="Times New Roman" w:hAnsi="Times New Roman"/>
                <w:b/>
              </w:rPr>
              <w:t>гривень;</w:t>
            </w: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відсутній</w:t>
            </w: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FE6F81" w:rsidRPr="00B06282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 xml:space="preserve"> бюджету Чорноморської міської територіальної громади у розмірі 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 xml:space="preserve"> 000 000  гривень, що становить </w:t>
            </w:r>
            <w:r w:rsidRPr="00AA5A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AA5AF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>відсотків видатків загального фонду бюджету громади, визначених цим пунктом;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>  бюджету Чорноморської міської територіальної громади у розмірі</w:t>
            </w:r>
            <w:r>
              <w:rPr>
                <w:rFonts w:ascii="Times New Roman" w:hAnsi="Times New Roman"/>
              </w:rPr>
              <w:t xml:space="preserve"> 8 000 000 </w:t>
            </w:r>
            <w:r w:rsidRPr="00C51CA9">
              <w:rPr>
                <w:rFonts w:ascii="Times New Roman" w:hAnsi="Times New Roman"/>
              </w:rPr>
              <w:t xml:space="preserve">гривень, що становить </w:t>
            </w:r>
            <w:r>
              <w:rPr>
                <w:rFonts w:ascii="Times New Roman" w:hAnsi="Times New Roman"/>
              </w:rPr>
              <w:t xml:space="preserve">0,81 </w:t>
            </w:r>
            <w:r w:rsidRPr="00C51CA9">
              <w:rPr>
                <w:rFonts w:ascii="Times New Roman" w:hAnsi="Times New Roman"/>
              </w:rPr>
              <w:t>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>.</w:t>
            </w:r>
          </w:p>
          <w:p w:rsidR="00FE6F81" w:rsidRPr="00B67DD3" w:rsidRDefault="00FE6F81" w:rsidP="00FE6F81">
            <w:pPr>
              <w:ind w:firstLine="567"/>
              <w:jc w:val="both"/>
              <w:rPr>
                <w:rFonts w:ascii="Times New Roman" w:hAnsi="Times New Roman"/>
                <w:sz w:val="20"/>
              </w:rPr>
            </w:pPr>
          </w:p>
          <w:p w:rsidR="00FE6F81" w:rsidRPr="00B06282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B06282">
              <w:rPr>
                <w:rFonts w:ascii="Times New Roman" w:hAnsi="Times New Roman"/>
                <w:szCs w:val="24"/>
              </w:rPr>
              <w:t>2. Затвердити </w:t>
            </w:r>
            <w:r w:rsidRPr="00B06282">
              <w:rPr>
                <w:rFonts w:ascii="Times New Roman" w:hAnsi="Times New Roman"/>
                <w:bCs/>
                <w:szCs w:val="24"/>
              </w:rPr>
              <w:t>бюджетні призначення</w:t>
            </w:r>
            <w:r w:rsidRPr="00B06282">
              <w:rPr>
                <w:rFonts w:ascii="Times New Roman" w:hAnsi="Times New Roman"/>
                <w:szCs w:val="24"/>
              </w:rPr>
              <w:t> головним розпорядникам коштів бюджету Чорноморської міської територіальної громади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 у розрізі відповідальних виконавців за бюджетними програмами згідно з додатк</w:t>
            </w:r>
            <w:r>
              <w:rPr>
                <w:rFonts w:ascii="Times New Roman" w:hAnsi="Times New Roman"/>
                <w:szCs w:val="24"/>
              </w:rPr>
              <w:t xml:space="preserve">ом </w:t>
            </w:r>
            <w:r w:rsidRPr="00FE6F81">
              <w:rPr>
                <w:rFonts w:ascii="Times New Roman" w:hAnsi="Times New Roman"/>
                <w:b/>
                <w:szCs w:val="24"/>
              </w:rPr>
              <w:t xml:space="preserve">2 </w:t>
            </w:r>
            <w:r w:rsidRPr="00B06282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Pr="001F6C9C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  <w:highlight w:val="yellow"/>
              </w:rPr>
            </w:pPr>
          </w:p>
          <w:p w:rsidR="00FE6F81" w:rsidRP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FE6F81">
              <w:rPr>
                <w:rFonts w:ascii="Times New Roman" w:hAnsi="Times New Roman"/>
                <w:szCs w:val="24"/>
              </w:rPr>
              <w:t>…</w:t>
            </w:r>
          </w:p>
          <w:p w:rsidR="00FE6F81" w:rsidRPr="00B06282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B06282">
              <w:rPr>
                <w:rFonts w:ascii="Times New Roman" w:hAnsi="Times New Roman"/>
                <w:szCs w:val="24"/>
              </w:rPr>
              <w:lastRenderedPageBreak/>
              <w:t>4. Затвердити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  <w:szCs w:val="24"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06282">
              <w:rPr>
                <w:rFonts w:ascii="Times New Roman" w:hAnsi="Times New Roman"/>
                <w:szCs w:val="24"/>
              </w:rPr>
              <w:t xml:space="preserve">Чорноморської міської територіальної громади згідно з додатком </w:t>
            </w:r>
            <w:r w:rsidRPr="00FE6F81">
              <w:rPr>
                <w:rFonts w:ascii="Times New Roman" w:hAnsi="Times New Roman"/>
                <w:b/>
                <w:szCs w:val="24"/>
              </w:rPr>
              <w:t>3</w:t>
            </w:r>
            <w:r w:rsidRPr="00B06282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Відповідно до </w:t>
            </w:r>
            <w:hyperlink r:id="rId5" w:tgtFrame="_top" w:history="1">
              <w:r w:rsidRPr="00B06282">
                <w:rPr>
                  <w:rFonts w:ascii="Times New Roman" w:hAnsi="Times New Roman"/>
                </w:rPr>
                <w:t>частини сьомої статті 108 Бюджетного кодексу України</w:t>
              </w:r>
            </w:hyperlink>
            <w:r w:rsidRPr="00B06282">
              <w:rPr>
                <w:rFonts w:ascii="Times New Roman" w:hAnsi="Times New Roman"/>
              </w:rPr>
              <w:t xml:space="preserve"> надати право Чорноморському міському голові в період між пленарними засіданнями Чорноморської міської ради Одеського району Одеської області, за поданням фінансового управління Чорноморської міської ради Одеського району Одеської області та за  погодженням  із  постійною  комісією з  фінансово - економічних  питань, бюджету, інвестицій та комунальної власності,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 шляхом видання відповідного розпорядження міського голови з наступним внесенням змін до цього рішення. </w:t>
            </w:r>
          </w:p>
          <w:p w:rsidR="00FE6F81" w:rsidRPr="004E7428" w:rsidRDefault="00FE6F81" w:rsidP="00FE6F81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7112A">
              <w:rPr>
                <w:rFonts w:ascii="Times New Roman" w:hAnsi="Times New Roman"/>
                <w:szCs w:val="28"/>
              </w:rPr>
              <w:t xml:space="preserve">Визначити видатки у вигляді міжбюджетного трансферту з бюджету </w:t>
            </w:r>
            <w:r>
              <w:rPr>
                <w:rFonts w:ascii="Times New Roman" w:hAnsi="Times New Roman"/>
                <w:szCs w:val="28"/>
              </w:rPr>
              <w:t xml:space="preserve">Чорноморської </w:t>
            </w:r>
            <w:r w:rsidRPr="00F7112A">
              <w:rPr>
                <w:rFonts w:ascii="Times New Roman" w:hAnsi="Times New Roman"/>
                <w:szCs w:val="28"/>
              </w:rPr>
              <w:t>міської територіальної громади до</w:t>
            </w:r>
            <w:r>
              <w:rPr>
                <w:rFonts w:ascii="Times New Roman" w:hAnsi="Times New Roman"/>
                <w:szCs w:val="28"/>
              </w:rPr>
              <w:t xml:space="preserve"> бюджетів</w:t>
            </w:r>
            <w:r w:rsidRPr="00F7112A">
              <w:rPr>
                <w:rFonts w:ascii="Times New Roman" w:hAnsi="Times New Roman"/>
                <w:szCs w:val="28"/>
              </w:rPr>
              <w:t xml:space="preserve"> </w:t>
            </w:r>
            <w:r w:rsidRPr="00F7112A">
              <w:rPr>
                <w:rFonts w:ascii="Times New Roman" w:hAnsi="Times New Roman"/>
              </w:rPr>
              <w:t xml:space="preserve">інших територіальних громад </w:t>
            </w:r>
            <w:r w:rsidRPr="00F7112A">
              <w:rPr>
                <w:rFonts w:ascii="Times New Roman" w:hAnsi="Times New Roman"/>
                <w:szCs w:val="28"/>
              </w:rPr>
              <w:t xml:space="preserve">за бюджетною програмою </w:t>
            </w:r>
            <w:r w:rsidRPr="00FF316F">
              <w:rPr>
                <w:rFonts w:ascii="Times New Roman" w:hAnsi="Times New Roman"/>
                <w:szCs w:val="24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>Інші субвенції з місцевого бюджету</w:t>
            </w:r>
            <w:r w:rsidRPr="00FF316F">
              <w:rPr>
                <w:rFonts w:ascii="Times New Roman" w:hAnsi="Times New Roman"/>
                <w:szCs w:val="24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 xml:space="preserve"> (КПКВКМБ </w:t>
            </w:r>
            <w:r>
              <w:rPr>
                <w:rFonts w:ascii="Times New Roman" w:hAnsi="Times New Roman"/>
                <w:szCs w:val="28"/>
              </w:rPr>
              <w:t>37</w:t>
            </w:r>
            <w:r w:rsidRPr="00F7112A">
              <w:rPr>
                <w:rFonts w:ascii="Times New Roman" w:hAnsi="Times New Roman"/>
                <w:szCs w:val="28"/>
              </w:rPr>
              <w:t>19</w:t>
            </w:r>
            <w:r>
              <w:rPr>
                <w:rFonts w:ascii="Times New Roman" w:hAnsi="Times New Roman"/>
                <w:szCs w:val="28"/>
              </w:rPr>
              <w:t>770</w:t>
            </w:r>
            <w:r w:rsidRPr="00F7112A">
              <w:rPr>
                <w:rFonts w:ascii="Times New Roman" w:hAnsi="Times New Roman"/>
                <w:szCs w:val="28"/>
              </w:rPr>
              <w:t xml:space="preserve">) у </w:t>
            </w:r>
            <w:r w:rsidRPr="004E7428">
              <w:rPr>
                <w:rFonts w:ascii="Times New Roman" w:hAnsi="Times New Roman"/>
                <w:szCs w:val="28"/>
              </w:rPr>
              <w:t>сумі 3 798 500</w:t>
            </w:r>
            <w:r w:rsidRPr="004E742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4E7428">
              <w:rPr>
                <w:rFonts w:ascii="Times New Roman" w:hAnsi="Times New Roman"/>
                <w:szCs w:val="28"/>
              </w:rPr>
              <w:t>гривень, із яких: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1)</w:t>
            </w:r>
            <w:r w:rsidRPr="004E7428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4E7428">
              <w:rPr>
                <w:rFonts w:ascii="Times New Roman" w:hAnsi="Times New Roman"/>
                <w:szCs w:val="28"/>
              </w:rPr>
              <w:t> </w:t>
            </w:r>
            <w:r>
              <w:rPr>
                <w:rFonts w:ascii="Times New Roman" w:hAnsi="Times New Roman"/>
                <w:szCs w:val="28"/>
              </w:rPr>
              <w:t>498</w:t>
            </w:r>
            <w:r w:rsidRPr="004E7428">
              <w:rPr>
                <w:rFonts w:ascii="Times New Roman" w:hAnsi="Times New Roman"/>
                <w:szCs w:val="28"/>
              </w:rPr>
              <w:t> 500 гривень для обласного  бюджету  Одеської області</w:t>
            </w:r>
            <w:r>
              <w:rPr>
                <w:rFonts w:ascii="Times New Roman" w:hAnsi="Times New Roman"/>
                <w:szCs w:val="28"/>
              </w:rPr>
              <w:t xml:space="preserve"> на:</w:t>
            </w:r>
          </w:p>
          <w:p w:rsidR="00FE6F81" w:rsidRPr="003403D2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3403D2">
              <w:rPr>
                <w:rFonts w:ascii="Times New Roman" w:hAnsi="Times New Roman"/>
                <w:szCs w:val="28"/>
              </w:rPr>
              <w:t xml:space="preserve">- фінансування заходів  </w:t>
            </w:r>
            <w:r w:rsidRPr="003403D2">
              <w:rPr>
                <w:rFonts w:ascii="Times New Roman" w:hAnsi="Times New Roman"/>
              </w:rPr>
              <w:t xml:space="preserve">Міської цільової програми підтримки здобуття професійної (професійно-технічної), фахової </w:t>
            </w:r>
            <w:proofErr w:type="spellStart"/>
            <w:r w:rsidRPr="003403D2">
              <w:rPr>
                <w:rFonts w:ascii="Times New Roman" w:hAnsi="Times New Roman"/>
              </w:rPr>
              <w:t>передвищої</w:t>
            </w:r>
            <w:proofErr w:type="spellEnd"/>
            <w:r w:rsidRPr="003403D2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громади, на 2024 рік</w:t>
            </w:r>
            <w:r>
              <w:rPr>
                <w:rFonts w:ascii="Times New Roman" w:hAnsi="Times New Roman"/>
              </w:rPr>
              <w:t xml:space="preserve"> </w:t>
            </w:r>
            <w:r w:rsidRPr="000C100C">
              <w:rPr>
                <w:rFonts w:ascii="Times New Roman" w:hAnsi="Times New Roman"/>
                <w:i/>
                <w:szCs w:val="28"/>
              </w:rPr>
              <w:t xml:space="preserve">- </w:t>
            </w:r>
            <w:r w:rsidRPr="003403D2">
              <w:rPr>
                <w:rFonts w:ascii="Times New Roman" w:hAnsi="Times New Roman"/>
                <w:szCs w:val="28"/>
              </w:rPr>
              <w:t>1 261 500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FE6F81" w:rsidRPr="003403D2" w:rsidRDefault="00FE6F81" w:rsidP="00FE6F81">
            <w:pPr>
              <w:ind w:firstLine="567"/>
              <w:jc w:val="both"/>
              <w:rPr>
                <w:rFonts w:ascii="Times New Roman" w:hAnsi="Times New Roman"/>
                <w:highlight w:val="yellow"/>
              </w:rPr>
            </w:pPr>
            <w:r w:rsidRPr="003403D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фінансування заходів Міської цільової програми соціального  захисту та надання соціальних послуг населенню Чорноморської міської територіальної громади на 2021-2025 роки</w:t>
            </w:r>
            <w:r>
              <w:rPr>
                <w:rFonts w:ascii="Times New Roman" w:hAnsi="Times New Roman"/>
              </w:rPr>
              <w:t xml:space="preserve"> - </w:t>
            </w:r>
            <w:r w:rsidRPr="00A51EB2"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2 237 000 гривень</w:t>
            </w:r>
            <w:r>
              <w:rPr>
                <w:rFonts w:ascii="Times New Roman" w:hAnsi="Times New Roman"/>
              </w:rPr>
              <w:t>;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0C100C">
              <w:rPr>
                <w:rFonts w:ascii="Times New Roman" w:hAnsi="Times New Roman"/>
              </w:rPr>
              <w:t>300 000</w:t>
            </w:r>
            <w:r w:rsidRPr="000C100C">
              <w:rPr>
                <w:rFonts w:ascii="Times New Roman" w:hAnsi="Times New Roman"/>
                <w:lang w:val="ru-RU"/>
              </w:rPr>
              <w:t> </w:t>
            </w:r>
            <w:r w:rsidRPr="000C100C">
              <w:rPr>
                <w:rFonts w:ascii="Times New Roman" w:hAnsi="Times New Roman"/>
              </w:rPr>
              <w:t xml:space="preserve">гривень для районного бюджету Одеської району Одеської області на фінансування заходів Міської цільової програми фінансової підтримки </w:t>
            </w:r>
            <w:r>
              <w:rPr>
                <w:rFonts w:ascii="Times New Roman" w:hAnsi="Times New Roman"/>
              </w:rPr>
              <w:t xml:space="preserve">діяльності </w:t>
            </w:r>
            <w:r w:rsidRPr="000C100C">
              <w:rPr>
                <w:rFonts w:ascii="Times New Roman" w:hAnsi="Times New Roman"/>
              </w:rPr>
              <w:t>Одеської районної</w:t>
            </w:r>
            <w:r w:rsidRPr="004E7428">
              <w:rPr>
                <w:rFonts w:ascii="Times New Roman" w:hAnsi="Times New Roman"/>
              </w:rPr>
              <w:t xml:space="preserve"> ради Одеської області на 2024 рік</w:t>
            </w:r>
            <w:r>
              <w:rPr>
                <w:rFonts w:ascii="Times New Roman" w:hAnsi="Times New Roman"/>
              </w:rPr>
              <w:t>.</w:t>
            </w:r>
          </w:p>
          <w:p w:rsidR="00FE6F81" w:rsidRPr="00A455B6" w:rsidRDefault="00FE6F81" w:rsidP="00FE6F81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455B6">
              <w:rPr>
                <w:rFonts w:ascii="Times New Roman" w:hAnsi="Times New Roman"/>
              </w:rPr>
              <w:t xml:space="preserve">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</w:t>
            </w:r>
            <w:r>
              <w:rPr>
                <w:rFonts w:ascii="Times New Roman" w:hAnsi="Times New Roman"/>
              </w:rPr>
              <w:t>і</w:t>
            </w:r>
            <w:r w:rsidRPr="00A455B6">
              <w:rPr>
                <w:rFonts w:ascii="Times New Roman" w:hAnsi="Times New Roman"/>
              </w:rPr>
              <w:t>ншої субвенції до бюджетів інших територіальних громад від імені Чорноморської міської ради Одеського району Одеської області, в тому числі на укладання додаткових угод до відповідних договорів.</w:t>
            </w:r>
          </w:p>
          <w:p w:rsidR="00FE6F81" w:rsidRPr="00A455B6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A455B6">
              <w:rPr>
                <w:rFonts w:ascii="Times New Roman" w:hAnsi="Times New Roman"/>
              </w:rPr>
              <w:lastRenderedPageBreak/>
              <w:t>Встановити, що на кінець бюджетного періоду 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призначення.</w:t>
            </w:r>
          </w:p>
          <w:p w:rsidR="00FE6F81" w:rsidRPr="00B06282" w:rsidRDefault="00FE6F81" w:rsidP="00FE6F81">
            <w:pPr>
              <w:tabs>
                <w:tab w:val="left" w:pos="884"/>
              </w:tabs>
              <w:autoSpaceDE w:val="0"/>
              <w:autoSpaceDN w:val="0"/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 xml:space="preserve"> </w:t>
            </w: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P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b/>
                <w:lang w:val="uk-UA"/>
              </w:rPr>
            </w:pPr>
            <w:r w:rsidRPr="00FE6F81">
              <w:rPr>
                <w:b/>
                <w:lang w:val="uk-UA"/>
              </w:rPr>
              <w:t>відсутній</w:t>
            </w: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</w:p>
          <w:p w:rsidR="00FE6F81" w:rsidRPr="00B06282" w:rsidRDefault="00FE6F81" w:rsidP="00FE6F81">
            <w:pPr>
              <w:pStyle w:val="ab"/>
              <w:spacing w:before="0" w:beforeAutospacing="0"/>
              <w:ind w:firstLine="567"/>
              <w:jc w:val="both"/>
              <w:rPr>
                <w:lang w:val="uk-UA"/>
              </w:rPr>
            </w:pPr>
            <w:r w:rsidRPr="00B06282">
              <w:rPr>
                <w:lang w:val="uk-UA"/>
              </w:rPr>
              <w:lastRenderedPageBreak/>
              <w:t>5. Затвердити на 202</w:t>
            </w:r>
            <w:r>
              <w:rPr>
                <w:lang w:val="uk-UA"/>
              </w:rPr>
              <w:t>4</w:t>
            </w:r>
            <w:r w:rsidRPr="00B06282">
              <w:rPr>
                <w:lang w:val="uk-UA"/>
              </w:rPr>
              <w:t xml:space="preserve"> рік розподіл коштів бюджету розвитку у складі бюджету Чорноморської міської територіальної громади  згідно з додатком </w:t>
            </w:r>
            <w:r w:rsidRPr="00FE6F81">
              <w:rPr>
                <w:b/>
                <w:lang w:val="uk-UA"/>
              </w:rPr>
              <w:t xml:space="preserve">4 </w:t>
            </w:r>
            <w:r w:rsidRPr="00B06282">
              <w:rPr>
                <w:lang w:val="uk-UA"/>
              </w:rPr>
              <w:t>до цього рішення.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902E70">
              <w:rPr>
                <w:rFonts w:ascii="Times New Roman" w:hAnsi="Times New Roman"/>
                <w:szCs w:val="24"/>
              </w:rPr>
              <w:t>6. Затвердити </w:t>
            </w:r>
            <w:r w:rsidRPr="00902E70">
              <w:rPr>
                <w:rFonts w:ascii="Times New Roman" w:hAnsi="Times New Roman"/>
                <w:bCs/>
                <w:szCs w:val="24"/>
              </w:rPr>
              <w:t>розподіл витрат бюджету Чорноморської міської територіальної громади на реалізацію міських  програм</w:t>
            </w:r>
            <w:r w:rsidRPr="00902E70">
              <w:rPr>
                <w:rFonts w:ascii="Times New Roman" w:hAnsi="Times New Roman"/>
                <w:szCs w:val="24"/>
              </w:rPr>
              <w:t xml:space="preserve"> у сумі 252 345 000 гривень згідно з додатком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902E70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D54FAF" w:rsidRPr="00902E70" w:rsidRDefault="00D54FAF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FE6F81" w:rsidRPr="00D66949" w:rsidRDefault="00D54FAF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FE6F81" w:rsidRPr="00D66949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D66949">
              <w:rPr>
                <w:rFonts w:ascii="Times New Roman" w:hAnsi="Times New Roman"/>
                <w:szCs w:val="24"/>
              </w:rPr>
              <w:t xml:space="preserve">10. Затвердити кошторис Фонду охорони навколишнього природного середовища  у складі бюджету Чорноморської міської територіальної громади на 2024 рік згідно з додатком </w:t>
            </w:r>
            <w:r w:rsidRPr="00462B61">
              <w:rPr>
                <w:rFonts w:ascii="Times New Roman" w:hAnsi="Times New Roman"/>
                <w:b/>
                <w:szCs w:val="24"/>
              </w:rPr>
              <w:t>6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Pr="00D66949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FE6F81" w:rsidRPr="00D66949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D66949">
              <w:rPr>
                <w:rFonts w:ascii="Times New Roman" w:hAnsi="Times New Roman"/>
                <w:szCs w:val="24"/>
              </w:rPr>
              <w:t xml:space="preserve">11. Затвердити кошторис територіального дорожнього фонду у складі бюджету  Чорноморської міської територіальної громади на 2024 рік згідно з додатком </w:t>
            </w:r>
            <w:r w:rsidRPr="00462B61">
              <w:rPr>
                <w:rFonts w:ascii="Times New Roman" w:hAnsi="Times New Roman"/>
                <w:b/>
                <w:szCs w:val="24"/>
              </w:rPr>
              <w:t>7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995093" w:rsidRPr="00D66949" w:rsidRDefault="00995093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193EAE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193EAE">
              <w:rPr>
                <w:rFonts w:ascii="Times New Roman" w:hAnsi="Times New Roman"/>
                <w:szCs w:val="24"/>
              </w:rPr>
              <w:t>. Головним розпорядникам коштів бюджету Чорноморської міської тер</w:t>
            </w:r>
            <w:r>
              <w:rPr>
                <w:rFonts w:ascii="Times New Roman" w:hAnsi="Times New Roman"/>
                <w:szCs w:val="24"/>
              </w:rPr>
              <w:t>иторіальної громади забезпечити</w:t>
            </w:r>
            <w:r w:rsidRPr="00193EAE">
              <w:rPr>
                <w:rFonts w:ascii="Times New Roman" w:hAnsi="Times New Roman"/>
                <w:szCs w:val="24"/>
              </w:rPr>
              <w:t>:</w:t>
            </w:r>
          </w:p>
          <w:p w:rsidR="00995093" w:rsidRDefault="00995093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FE6F81" w:rsidRPr="00193EAE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Pr="00193EAE">
              <w:rPr>
                <w:rFonts w:ascii="Times New Roman" w:hAnsi="Times New Roman"/>
                <w:szCs w:val="24"/>
              </w:rPr>
              <w:t xml:space="preserve">) здійснення  у  повному   обсязі   проведення   розрахунків  за  електричну   та  теплову  енергію,  водопостачання та  водовідведення,  природний  газ  та  послуги   зв’язку,  які  споживаються   бюджетними   установами,  не  допускаючи   будь-якої   простроченої   заборгованості  з  оплати   вищезазначених  послуг,  та  укладання   угод  по  кожному  виду  енергоносіїв і комунальних послуг   у  межах   встановлених  відповідним  установам  обґрунтованих  лімітів  споживання та визначеного фінансового ресурсу,  згідно з додатком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95093">
              <w:rPr>
                <w:rFonts w:ascii="Times New Roman" w:hAnsi="Times New Roman"/>
                <w:b/>
                <w:szCs w:val="24"/>
              </w:rPr>
              <w:t>8</w:t>
            </w:r>
            <w:r w:rsidRPr="00193EAE">
              <w:rPr>
                <w:rFonts w:ascii="Times New Roman" w:hAnsi="Times New Roman"/>
                <w:szCs w:val="24"/>
              </w:rPr>
              <w:t xml:space="preserve"> до цього рішення;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995093" w:rsidRPr="00193EAE" w:rsidRDefault="00995093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2D0C78" w:rsidRDefault="002D0C78" w:rsidP="00FE6F81">
            <w:pPr>
              <w:ind w:right="-77" w:firstLine="567"/>
              <w:jc w:val="both"/>
              <w:rPr>
                <w:rFonts w:ascii="Times New Roman" w:hAnsi="Times New Roman"/>
                <w:highlight w:val="yellow"/>
              </w:rPr>
            </w:pPr>
          </w:p>
          <w:p w:rsidR="00FE6F81" w:rsidRPr="00B337B7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</w:t>
            </w:r>
            <w:r w:rsidRPr="00B337B7">
              <w:rPr>
                <w:rFonts w:ascii="Times New Roman" w:hAnsi="Times New Roman"/>
                <w:szCs w:val="24"/>
              </w:rPr>
              <w:t xml:space="preserve">. Додатки </w:t>
            </w:r>
            <w:r w:rsidRPr="002D0C78">
              <w:rPr>
                <w:rFonts w:ascii="Times New Roman" w:hAnsi="Times New Roman"/>
                <w:b/>
                <w:szCs w:val="24"/>
              </w:rPr>
              <w:t>1-8</w:t>
            </w:r>
            <w:r w:rsidRPr="00B337B7">
              <w:rPr>
                <w:rFonts w:ascii="Times New Roman" w:hAnsi="Times New Roman"/>
                <w:szCs w:val="24"/>
              </w:rPr>
              <w:t xml:space="preserve"> до  цього  рішення  є  його  невід’ємною частиною. </w:t>
            </w:r>
          </w:p>
          <w:p w:rsidR="00FE6F81" w:rsidRPr="00054631" w:rsidRDefault="00FE6F81" w:rsidP="00FE6F81">
            <w:pPr>
              <w:pStyle w:val="a8"/>
              <w:ind w:firstLine="567"/>
              <w:rPr>
                <w:rFonts w:ascii="Times New Roman" w:hAnsi="Times New Roman"/>
                <w:sz w:val="12"/>
                <w:szCs w:val="12"/>
              </w:rPr>
            </w:pPr>
          </w:p>
          <w:p w:rsidR="00457753" w:rsidRPr="00457753" w:rsidRDefault="002D0C78" w:rsidP="00837FDC">
            <w:pPr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2D0C78">
              <w:rPr>
                <w:rFonts w:ascii="Times New Roman" w:hAnsi="Times New Roman"/>
              </w:rPr>
              <w:t>…</w:t>
            </w:r>
          </w:p>
        </w:tc>
        <w:tc>
          <w:tcPr>
            <w:tcW w:w="7938" w:type="dxa"/>
          </w:tcPr>
          <w:p w:rsidR="00FE6F81" w:rsidRPr="00624188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4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E6F81" w:rsidRPr="00B06282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1 008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086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AA5AF4">
              <w:rPr>
                <w:rFonts w:ascii="Times New Roman" w:hAnsi="Times New Roman"/>
              </w:rPr>
              <w:t>98</w:t>
            </w:r>
            <w:r>
              <w:rPr>
                <w:rFonts w:ascii="Times New Roman" w:hAnsi="Times New Roman"/>
              </w:rPr>
              <w:t xml:space="preserve">6 </w:t>
            </w:r>
            <w:r w:rsidRPr="00AA5AF4">
              <w:rPr>
                <w:rFonts w:ascii="Times New Roman" w:hAnsi="Times New Roman"/>
              </w:rPr>
              <w:t>937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005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AA5AF4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>149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AA5AF4">
              <w:rPr>
                <w:rFonts w:ascii="Times New Roman" w:hAnsi="Times New Roman"/>
              </w:rPr>
              <w:t xml:space="preserve">000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FE6F81" w:rsidRPr="00B06282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>
              <w:rPr>
                <w:rFonts w:ascii="Times New Roman" w:hAnsi="Times New Roman"/>
                <w:lang w:val="ru-RU"/>
              </w:rPr>
              <w:t>1 011 263 305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E6F81">
              <w:rPr>
                <w:rFonts w:ascii="Times New Roman" w:hAnsi="Times New Roman"/>
                <w:b/>
                <w:lang w:val="ru-RU"/>
              </w:rPr>
              <w:t xml:space="preserve">987 537 805 </w:t>
            </w:r>
            <w:r w:rsidRPr="00FE6F81">
              <w:rPr>
                <w:rFonts w:ascii="Times New Roman" w:hAnsi="Times New Roman"/>
                <w:b/>
              </w:rPr>
              <w:t>гривень</w:t>
            </w:r>
            <w:r w:rsidRPr="00B06282">
              <w:rPr>
                <w:rFonts w:ascii="Times New Roman" w:hAnsi="Times New Roman"/>
              </w:rPr>
              <w:t xml:space="preserve">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FE6F81">
              <w:rPr>
                <w:rFonts w:ascii="Times New Roman" w:hAnsi="Times New Roman"/>
                <w:b/>
                <w:lang w:val="ru-RU"/>
              </w:rPr>
              <w:t>23 725 500 </w:t>
            </w:r>
            <w:r w:rsidRPr="00FE6F81">
              <w:rPr>
                <w:rFonts w:ascii="Times New Roman" w:hAnsi="Times New Roman"/>
                <w:b/>
              </w:rPr>
              <w:t>гривень;</w:t>
            </w: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>
              <w:rPr>
                <w:rFonts w:ascii="Times New Roman" w:hAnsi="Times New Roman"/>
                <w:bCs/>
              </w:rPr>
              <w:t xml:space="preserve"> 3 177 300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2, джерелом покриття якого визначити </w:t>
            </w:r>
            <w:r w:rsidRPr="00652504">
              <w:rPr>
                <w:rFonts w:ascii="Times New Roman" w:hAnsi="Times New Roman"/>
                <w:color w:val="000000"/>
              </w:rPr>
              <w:t>вільни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652504">
              <w:rPr>
                <w:rFonts w:ascii="Times New Roman" w:hAnsi="Times New Roman"/>
                <w:color w:val="000000"/>
              </w:rPr>
              <w:t xml:space="preserve"> залиш</w:t>
            </w:r>
            <w:r>
              <w:rPr>
                <w:rFonts w:ascii="Times New Roman" w:hAnsi="Times New Roman"/>
                <w:color w:val="000000"/>
              </w:rPr>
              <w:t xml:space="preserve">ок </w:t>
            </w:r>
            <w:r w:rsidRPr="00652504">
              <w:rPr>
                <w:rFonts w:ascii="Times New Roman" w:hAnsi="Times New Roman"/>
                <w:color w:val="000000"/>
              </w:rPr>
              <w:t>коштів бюджету Чорноморської міської територіальної громади, як</w:t>
            </w:r>
            <w:r>
              <w:rPr>
                <w:rFonts w:ascii="Times New Roman" w:hAnsi="Times New Roman"/>
                <w:color w:val="000000"/>
              </w:rPr>
              <w:t xml:space="preserve">ий </w:t>
            </w:r>
            <w:r w:rsidRPr="00652504">
              <w:rPr>
                <w:rFonts w:ascii="Times New Roman" w:hAnsi="Times New Roman"/>
                <w:color w:val="000000"/>
              </w:rPr>
              <w:t>утвори</w:t>
            </w:r>
            <w:r>
              <w:rPr>
                <w:rFonts w:ascii="Times New Roman" w:hAnsi="Times New Roman"/>
                <w:color w:val="000000"/>
              </w:rPr>
              <w:t xml:space="preserve">вся </w:t>
            </w:r>
            <w:r w:rsidRPr="00652504">
              <w:rPr>
                <w:rFonts w:ascii="Times New Roman" w:hAnsi="Times New Roman"/>
                <w:color w:val="000000"/>
              </w:rPr>
              <w:t xml:space="preserve"> станом на 01.01.202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>, в тому числі:</w:t>
            </w:r>
          </w:p>
          <w:p w:rsid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>
              <w:rPr>
                <w:rFonts w:ascii="Times New Roman" w:hAnsi="Times New Roman"/>
              </w:rPr>
              <w:t>600 800</w:t>
            </w:r>
            <w:r w:rsidRPr="005273BB">
              <w:rPr>
                <w:rFonts w:ascii="Times New Roman" w:hAnsi="Times New Roman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;</w:t>
            </w:r>
          </w:p>
          <w:p w:rsidR="00FE6F81" w:rsidRPr="00B051DF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B051DF">
              <w:rPr>
                <w:rFonts w:ascii="Times New Roman" w:hAnsi="Times New Roman"/>
                <w:b/>
              </w:rPr>
              <w:t>за спеціальним фондом</w:t>
            </w:r>
            <w:r>
              <w:rPr>
                <w:rFonts w:ascii="Times New Roman" w:hAnsi="Times New Roman"/>
              </w:rPr>
              <w:t xml:space="preserve"> у сумі 2 576 500 гривень, 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 xml:space="preserve">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за рахунок </w:t>
            </w:r>
            <w:r w:rsidRPr="00B051DF">
              <w:rPr>
                <w:rFonts w:ascii="Times New Roman" w:hAnsi="Times New Roman"/>
              </w:rPr>
              <w:t>вільного залишку коштів загального фонду, який сформувався станом на 01.01.2024 року</w:t>
            </w:r>
            <w:r>
              <w:rPr>
                <w:rFonts w:ascii="Times New Roman" w:hAnsi="Times New Roman"/>
              </w:rPr>
              <w:t>;</w:t>
            </w:r>
          </w:p>
          <w:p w:rsidR="00FE6F81" w:rsidRPr="00FE6F81" w:rsidRDefault="00FE6F81" w:rsidP="00FE6F81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</w:t>
            </w:r>
            <w:r w:rsidRPr="00FE6F81">
              <w:rPr>
                <w:rFonts w:ascii="Times New Roman" w:hAnsi="Times New Roman"/>
                <w:b/>
              </w:rPr>
              <w:t>, визначених цим пунктом та в додатку 2 до цього рішення;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>
              <w:rPr>
                <w:rFonts w:ascii="Times New Roman" w:hAnsi="Times New Roman"/>
              </w:rPr>
              <w:t>8 000 000</w:t>
            </w:r>
            <w:r w:rsidRPr="00C51CA9">
              <w:rPr>
                <w:rFonts w:ascii="Times New Roman" w:hAnsi="Times New Roman"/>
              </w:rPr>
              <w:t xml:space="preserve"> гривень, що становить 0,</w:t>
            </w:r>
            <w:r>
              <w:rPr>
                <w:rFonts w:ascii="Times New Roman" w:hAnsi="Times New Roman"/>
              </w:rPr>
              <w:t xml:space="preserve">81 </w:t>
            </w:r>
            <w:r w:rsidRPr="00C51CA9">
              <w:rPr>
                <w:rFonts w:ascii="Times New Roman" w:hAnsi="Times New Roman"/>
              </w:rPr>
              <w:t>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>."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  <w:szCs w:val="24"/>
              </w:rPr>
              <w:t>2. Затвердити </w:t>
            </w:r>
            <w:r w:rsidRPr="00B06282">
              <w:rPr>
                <w:rFonts w:ascii="Times New Roman" w:hAnsi="Times New Roman"/>
                <w:bCs/>
                <w:szCs w:val="24"/>
              </w:rPr>
              <w:t>бюджетні призначення</w:t>
            </w:r>
            <w:r w:rsidRPr="00B06282">
              <w:rPr>
                <w:rFonts w:ascii="Times New Roman" w:hAnsi="Times New Roman"/>
                <w:szCs w:val="24"/>
              </w:rPr>
              <w:t> головним розпорядникам коштів бюджету Чорноморської міської територіальної громади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 у розрізі відповідальних виконавців за бюджетними програмами згідно з додатк</w:t>
            </w:r>
            <w:r>
              <w:rPr>
                <w:rFonts w:ascii="Times New Roman" w:hAnsi="Times New Roman"/>
                <w:szCs w:val="24"/>
              </w:rPr>
              <w:t xml:space="preserve">ом </w:t>
            </w:r>
            <w:r w:rsidRPr="00FE6F81">
              <w:rPr>
                <w:rFonts w:ascii="Times New Roman" w:hAnsi="Times New Roman"/>
                <w:b/>
              </w:rPr>
              <w:t>3</w:t>
            </w:r>
            <w:r w:rsidRPr="00B06282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FE6F81" w:rsidRPr="00B06282" w:rsidRDefault="00FE6F81" w:rsidP="00FE6F81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B06282">
              <w:rPr>
                <w:rFonts w:ascii="Times New Roman" w:hAnsi="Times New Roman"/>
                <w:szCs w:val="24"/>
              </w:rPr>
              <w:lastRenderedPageBreak/>
              <w:t>4. Затвердити на 202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  <w:szCs w:val="24"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06282">
              <w:rPr>
                <w:rFonts w:ascii="Times New Roman" w:hAnsi="Times New Roman"/>
                <w:szCs w:val="24"/>
              </w:rPr>
              <w:t xml:space="preserve">Чорноморської міської територіальної громади згідно з додатком </w:t>
            </w:r>
            <w:r w:rsidRPr="00FE6F81">
              <w:rPr>
                <w:rFonts w:ascii="Times New Roman" w:hAnsi="Times New Roman"/>
                <w:b/>
              </w:rPr>
              <w:t>4</w:t>
            </w:r>
            <w:r w:rsidRPr="00B06282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Відповідно до </w:t>
            </w:r>
            <w:hyperlink r:id="rId6" w:tgtFrame="_top" w:history="1">
              <w:r w:rsidRPr="00B06282">
                <w:rPr>
                  <w:rFonts w:ascii="Times New Roman" w:hAnsi="Times New Roman"/>
                </w:rPr>
                <w:t>частини сьомої статті 108 Бюджетного кодексу України</w:t>
              </w:r>
            </w:hyperlink>
            <w:r w:rsidRPr="00B06282">
              <w:rPr>
                <w:rFonts w:ascii="Times New Roman" w:hAnsi="Times New Roman"/>
              </w:rPr>
              <w:t xml:space="preserve"> надати право Чорноморському міському голові в період між пленарними засіданнями Чорноморської міської ради Одеського району Одеської області, за поданням фінансового управління Чорноморської міської ради Одеського району Одеської області та за  погодженням  із  постійною  комісією з  фінансово - економічних  питань, бюджету, інвестицій та комунальної власності,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 шляхом видання відповідного розпорядження міського голови з наступним внесенням змін до цього рішення. 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7112A">
              <w:rPr>
                <w:rFonts w:ascii="Times New Roman" w:hAnsi="Times New Roman"/>
                <w:szCs w:val="28"/>
              </w:rPr>
              <w:t xml:space="preserve">Визначити видатки у вигляді міжбюджетного трансферту з бюджету </w:t>
            </w:r>
            <w:r>
              <w:rPr>
                <w:rFonts w:ascii="Times New Roman" w:hAnsi="Times New Roman"/>
                <w:szCs w:val="28"/>
              </w:rPr>
              <w:t xml:space="preserve">Чорноморської </w:t>
            </w:r>
            <w:r w:rsidRPr="00F7112A">
              <w:rPr>
                <w:rFonts w:ascii="Times New Roman" w:hAnsi="Times New Roman"/>
                <w:szCs w:val="28"/>
              </w:rPr>
              <w:t>міської територіальної громади до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FE6F81" w:rsidRPr="004E7428" w:rsidRDefault="00FE6F81" w:rsidP="00FE6F81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1) бюджетів</w:t>
            </w:r>
            <w:r w:rsidRPr="00F7112A">
              <w:rPr>
                <w:rFonts w:ascii="Times New Roman" w:hAnsi="Times New Roman"/>
                <w:szCs w:val="28"/>
              </w:rPr>
              <w:t xml:space="preserve"> </w:t>
            </w:r>
            <w:r w:rsidRPr="00F7112A">
              <w:rPr>
                <w:rFonts w:ascii="Times New Roman" w:hAnsi="Times New Roman"/>
              </w:rPr>
              <w:t xml:space="preserve">інших територіальних громад </w:t>
            </w:r>
            <w:r w:rsidRPr="00F7112A">
              <w:rPr>
                <w:rFonts w:ascii="Times New Roman" w:hAnsi="Times New Roman"/>
                <w:szCs w:val="28"/>
              </w:rPr>
              <w:t xml:space="preserve">за бюджетною програмою </w:t>
            </w:r>
            <w:r w:rsidRPr="00FF316F">
              <w:rPr>
                <w:rFonts w:ascii="Times New Roman" w:hAnsi="Times New Roman"/>
                <w:szCs w:val="24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>Інші субвенції з місцевого бюджету</w:t>
            </w:r>
            <w:r w:rsidRPr="00FF316F">
              <w:rPr>
                <w:rFonts w:ascii="Times New Roman" w:hAnsi="Times New Roman"/>
                <w:szCs w:val="24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 xml:space="preserve"> (КПКВКМБ </w:t>
            </w:r>
            <w:r>
              <w:rPr>
                <w:rFonts w:ascii="Times New Roman" w:hAnsi="Times New Roman"/>
                <w:szCs w:val="28"/>
              </w:rPr>
              <w:t>37</w:t>
            </w:r>
            <w:r w:rsidRPr="00F7112A">
              <w:rPr>
                <w:rFonts w:ascii="Times New Roman" w:hAnsi="Times New Roman"/>
                <w:szCs w:val="28"/>
              </w:rPr>
              <w:t>19</w:t>
            </w:r>
            <w:r>
              <w:rPr>
                <w:rFonts w:ascii="Times New Roman" w:hAnsi="Times New Roman"/>
                <w:szCs w:val="28"/>
              </w:rPr>
              <w:t>770</w:t>
            </w:r>
            <w:r w:rsidRPr="00F7112A">
              <w:rPr>
                <w:rFonts w:ascii="Times New Roman" w:hAnsi="Times New Roman"/>
                <w:szCs w:val="28"/>
              </w:rPr>
              <w:t xml:space="preserve">) у </w:t>
            </w:r>
            <w:r w:rsidRPr="004E7428">
              <w:rPr>
                <w:rFonts w:ascii="Times New Roman" w:hAnsi="Times New Roman"/>
                <w:szCs w:val="28"/>
              </w:rPr>
              <w:t>сумі 3 798 500</w:t>
            </w:r>
            <w:r w:rsidRPr="004E742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4E7428">
              <w:rPr>
                <w:rFonts w:ascii="Times New Roman" w:hAnsi="Times New Roman"/>
                <w:szCs w:val="28"/>
              </w:rPr>
              <w:t>гривень, із яких: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914AA">
              <w:rPr>
                <w:rFonts w:ascii="Times New Roman" w:hAnsi="Times New Roman"/>
                <w:szCs w:val="28"/>
              </w:rPr>
              <w:t>1.1)</w:t>
            </w:r>
            <w:r w:rsidRPr="004E7428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4E7428">
              <w:rPr>
                <w:rFonts w:ascii="Times New Roman" w:hAnsi="Times New Roman"/>
                <w:szCs w:val="28"/>
              </w:rPr>
              <w:t> </w:t>
            </w:r>
            <w:r>
              <w:rPr>
                <w:rFonts w:ascii="Times New Roman" w:hAnsi="Times New Roman"/>
                <w:szCs w:val="28"/>
              </w:rPr>
              <w:t>498</w:t>
            </w:r>
            <w:r w:rsidRPr="004E7428">
              <w:rPr>
                <w:rFonts w:ascii="Times New Roman" w:hAnsi="Times New Roman"/>
                <w:szCs w:val="28"/>
              </w:rPr>
              <w:t> 500 гривень для обласного  бюджету  Одеської області</w:t>
            </w:r>
            <w:r>
              <w:rPr>
                <w:rFonts w:ascii="Times New Roman" w:hAnsi="Times New Roman"/>
                <w:szCs w:val="28"/>
              </w:rPr>
              <w:t xml:space="preserve"> на:</w:t>
            </w:r>
          </w:p>
          <w:p w:rsidR="00FE6F81" w:rsidRPr="003403D2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3403D2">
              <w:rPr>
                <w:rFonts w:ascii="Times New Roman" w:hAnsi="Times New Roman"/>
                <w:szCs w:val="28"/>
              </w:rPr>
              <w:t xml:space="preserve">- фінансування заходів  </w:t>
            </w:r>
            <w:r w:rsidRPr="003403D2">
              <w:rPr>
                <w:rFonts w:ascii="Times New Roman" w:hAnsi="Times New Roman"/>
              </w:rPr>
              <w:t xml:space="preserve">Міської цільової програми підтримки здобуття професійної (професійно-технічної), фахової </w:t>
            </w:r>
            <w:proofErr w:type="spellStart"/>
            <w:r w:rsidRPr="003403D2">
              <w:rPr>
                <w:rFonts w:ascii="Times New Roman" w:hAnsi="Times New Roman"/>
              </w:rPr>
              <w:t>передвищої</w:t>
            </w:r>
            <w:proofErr w:type="spellEnd"/>
            <w:r w:rsidRPr="003403D2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громади, на 2024 рік</w:t>
            </w:r>
            <w:r>
              <w:rPr>
                <w:rFonts w:ascii="Times New Roman" w:hAnsi="Times New Roman"/>
              </w:rPr>
              <w:t xml:space="preserve"> </w:t>
            </w:r>
            <w:r w:rsidRPr="000C100C">
              <w:rPr>
                <w:rFonts w:ascii="Times New Roman" w:hAnsi="Times New Roman"/>
                <w:i/>
                <w:szCs w:val="28"/>
              </w:rPr>
              <w:t xml:space="preserve">- </w:t>
            </w:r>
            <w:r w:rsidRPr="003403D2">
              <w:rPr>
                <w:rFonts w:ascii="Times New Roman" w:hAnsi="Times New Roman"/>
                <w:szCs w:val="28"/>
              </w:rPr>
              <w:t>1 261 500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FE6F81" w:rsidRPr="003403D2" w:rsidRDefault="00FE6F81" w:rsidP="00FE6F81">
            <w:pPr>
              <w:ind w:firstLine="567"/>
              <w:jc w:val="both"/>
              <w:rPr>
                <w:rFonts w:ascii="Times New Roman" w:hAnsi="Times New Roman"/>
                <w:highlight w:val="yellow"/>
              </w:rPr>
            </w:pPr>
            <w:r w:rsidRPr="003403D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фінансування заходів Міської цільової програми соціального  захисту та надання соціальних послуг населенню Чорноморської міської територіальної громади на 2021-2025 роки</w:t>
            </w:r>
            <w:r>
              <w:rPr>
                <w:rFonts w:ascii="Times New Roman" w:hAnsi="Times New Roman"/>
              </w:rPr>
              <w:t xml:space="preserve"> - </w:t>
            </w:r>
            <w:r w:rsidRPr="00A51EB2"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2 237 000 гривень</w:t>
            </w:r>
            <w:r>
              <w:rPr>
                <w:rFonts w:ascii="Times New Roman" w:hAnsi="Times New Roman"/>
              </w:rPr>
              <w:t>;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D914AA">
              <w:rPr>
                <w:rFonts w:ascii="Times New Roman" w:hAnsi="Times New Roman"/>
              </w:rPr>
              <w:t>1.2)</w:t>
            </w:r>
            <w:r>
              <w:rPr>
                <w:rFonts w:ascii="Times New Roman" w:hAnsi="Times New Roman"/>
              </w:rPr>
              <w:t xml:space="preserve"> </w:t>
            </w:r>
            <w:r w:rsidRPr="000C100C">
              <w:rPr>
                <w:rFonts w:ascii="Times New Roman" w:hAnsi="Times New Roman"/>
              </w:rPr>
              <w:t>300 000</w:t>
            </w:r>
            <w:r w:rsidRPr="000C100C">
              <w:rPr>
                <w:rFonts w:ascii="Times New Roman" w:hAnsi="Times New Roman"/>
                <w:lang w:val="ru-RU"/>
              </w:rPr>
              <w:t> </w:t>
            </w:r>
            <w:r w:rsidRPr="000C100C">
              <w:rPr>
                <w:rFonts w:ascii="Times New Roman" w:hAnsi="Times New Roman"/>
              </w:rPr>
              <w:t xml:space="preserve">гривень для районного бюджету Одеської району Одеської області на фінансування заходів Міської цільової програми фінансової підтримки </w:t>
            </w:r>
            <w:r>
              <w:rPr>
                <w:rFonts w:ascii="Times New Roman" w:hAnsi="Times New Roman"/>
              </w:rPr>
              <w:t xml:space="preserve">діяльності </w:t>
            </w:r>
            <w:r w:rsidRPr="000C100C">
              <w:rPr>
                <w:rFonts w:ascii="Times New Roman" w:hAnsi="Times New Roman"/>
              </w:rPr>
              <w:t>Одеської районної</w:t>
            </w:r>
            <w:r w:rsidRPr="004E7428">
              <w:rPr>
                <w:rFonts w:ascii="Times New Roman" w:hAnsi="Times New Roman"/>
              </w:rPr>
              <w:t xml:space="preserve"> ради Одеської області на 2024 рік</w:t>
            </w:r>
            <w:r>
              <w:rPr>
                <w:rFonts w:ascii="Times New Roman" w:hAnsi="Times New Roman"/>
              </w:rPr>
              <w:t>.</w:t>
            </w:r>
          </w:p>
          <w:p w:rsidR="00FE6F81" w:rsidRPr="00A455B6" w:rsidRDefault="00FE6F81" w:rsidP="00FE6F81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455B6">
              <w:rPr>
                <w:rFonts w:ascii="Times New Roman" w:hAnsi="Times New Roman"/>
              </w:rPr>
              <w:t xml:space="preserve">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</w:t>
            </w:r>
            <w:r>
              <w:rPr>
                <w:rFonts w:ascii="Times New Roman" w:hAnsi="Times New Roman"/>
              </w:rPr>
              <w:t>і</w:t>
            </w:r>
            <w:r w:rsidRPr="00A455B6">
              <w:rPr>
                <w:rFonts w:ascii="Times New Roman" w:hAnsi="Times New Roman"/>
              </w:rPr>
              <w:t xml:space="preserve">ншої субвенції до бюджетів інших територіальних громад </w:t>
            </w:r>
            <w:r w:rsidRPr="00A455B6">
              <w:rPr>
                <w:rFonts w:ascii="Times New Roman" w:hAnsi="Times New Roman"/>
              </w:rPr>
              <w:lastRenderedPageBreak/>
              <w:t>від імені Чорноморської міської ради Одеського району Одеської області, в тому числі на укладання додаткових угод до відповідних договорів.</w:t>
            </w:r>
          </w:p>
          <w:p w:rsidR="00FE6F81" w:rsidRPr="00A455B6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A455B6">
              <w:rPr>
                <w:rFonts w:ascii="Times New Roman" w:hAnsi="Times New Roman"/>
              </w:rPr>
              <w:t>Встановити, що на кінець бюджетного періоду 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призначення.</w:t>
            </w:r>
          </w:p>
          <w:p w:rsidR="00FE6F81" w:rsidRPr="00FE6F81" w:rsidRDefault="00FE6F81" w:rsidP="00FE6F81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FE6F81">
              <w:rPr>
                <w:rFonts w:ascii="Times New Roman" w:hAnsi="Times New Roman"/>
                <w:b/>
                <w:szCs w:val="28"/>
              </w:rPr>
              <w:t xml:space="preserve">2) державного бюджету за бюджетною програмою </w:t>
            </w:r>
            <w:r w:rsidRPr="00FE6F81">
              <w:rPr>
                <w:rFonts w:ascii="Times New Roman" w:hAnsi="Times New Roman"/>
                <w:b/>
                <w:szCs w:val="24"/>
              </w:rPr>
              <w:t>"</w:t>
            </w:r>
            <w:r w:rsidRPr="00FE6F81">
              <w:rPr>
                <w:rFonts w:ascii="Times New Roman" w:hAnsi="Times New Roman"/>
                <w:b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  <w:r w:rsidRPr="00FE6F81">
              <w:rPr>
                <w:rFonts w:ascii="Times New Roman" w:hAnsi="Times New Roman"/>
                <w:b/>
                <w:szCs w:val="24"/>
              </w:rPr>
              <w:t>"</w:t>
            </w:r>
            <w:r w:rsidRPr="00FE6F81">
              <w:rPr>
                <w:rFonts w:ascii="Times New Roman" w:hAnsi="Times New Roman"/>
                <w:b/>
                <w:szCs w:val="28"/>
              </w:rPr>
              <w:t xml:space="preserve"> (КПКВКМБ 3719800) у сумі 1 490 000</w:t>
            </w:r>
            <w:r w:rsidRPr="00FE6F81">
              <w:rPr>
                <w:rFonts w:ascii="Times New Roman" w:hAnsi="Times New Roman"/>
                <w:b/>
                <w:szCs w:val="28"/>
                <w:lang w:val="ru-RU"/>
              </w:rPr>
              <w:t> </w:t>
            </w:r>
            <w:r w:rsidRPr="00FE6F81">
              <w:rPr>
                <w:rFonts w:ascii="Times New Roman" w:hAnsi="Times New Roman"/>
                <w:b/>
                <w:szCs w:val="28"/>
              </w:rPr>
              <w:t>гривень на фінансування заходів 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рік.</w:t>
            </w:r>
          </w:p>
          <w:p w:rsidR="00FE6F81" w:rsidRPr="00FE6F81" w:rsidRDefault="00FE6F81" w:rsidP="00FE6F81">
            <w:pPr>
              <w:ind w:firstLine="567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FE6F8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заходів </w:t>
            </w:r>
            <w:r w:rsidRPr="00FE6F81">
              <w:rPr>
                <w:rFonts w:ascii="Times New Roman" w:hAnsi="Times New Roman"/>
                <w:b/>
                <w:szCs w:val="28"/>
              </w:rPr>
              <w:t xml:space="preserve">Міської цільової програми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 2024 рік </w:t>
            </w:r>
            <w:r w:rsidRPr="00FE6F8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  <w:p w:rsidR="00FE6F81" w:rsidRPr="00FE6F81" w:rsidRDefault="00FE6F81" w:rsidP="00FE6F81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FE6F81">
              <w:rPr>
                <w:rFonts w:ascii="Times New Roman" w:hAnsi="Times New Roman"/>
                <w:b/>
              </w:rPr>
              <w:t>Встановити, що на кінець бюджетного періоду залишки коштів субвенції  з  бюджету Чорноморської міської територіальної громади державному бюджету на виконання програм соціально-економічного розвитку регіонів зберігаються на рахунках відповідних виконавців Програм, відкритих в органах Державної казначейської служби України, для здійснення видатків у наступному бюджетному періоді з урахуванням їх цільового призначення, в тому числі за Міськими цільовими програмами, термін яких завершується в 2024 році.</w:t>
            </w:r>
          </w:p>
          <w:p w:rsidR="00FE6F81" w:rsidRP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 w:rsidRPr="00FE6F81">
              <w:rPr>
                <w:rFonts w:ascii="Times New Roman" w:hAnsi="Times New Roman"/>
              </w:rPr>
              <w:t xml:space="preserve">5. Затвердити на 2024 рік розподіл коштів бюджету розвитку у складі бюджету Чорноморської міської територіальної громади  згідно з додатком </w:t>
            </w:r>
            <w:r w:rsidRPr="00FE6F81">
              <w:rPr>
                <w:rFonts w:ascii="Times New Roman" w:hAnsi="Times New Roman"/>
                <w:b/>
              </w:rPr>
              <w:t>5</w:t>
            </w:r>
            <w:r w:rsidRPr="00FE6F81">
              <w:rPr>
                <w:rFonts w:ascii="Times New Roman" w:hAnsi="Times New Roman"/>
              </w:rPr>
              <w:t xml:space="preserve"> до цього рішення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6. </w:t>
            </w:r>
            <w:r w:rsidRPr="00902E70">
              <w:rPr>
                <w:rFonts w:ascii="Times New Roman" w:hAnsi="Times New Roman"/>
                <w:szCs w:val="24"/>
              </w:rPr>
              <w:t>Затвердити </w:t>
            </w:r>
            <w:r w:rsidRPr="00902E70">
              <w:rPr>
                <w:rFonts w:ascii="Times New Roman" w:hAnsi="Times New Roman"/>
                <w:bCs/>
                <w:szCs w:val="24"/>
              </w:rPr>
              <w:t>розподіл витрат бюджету Чорноморської міської територіальної громади на реалізацію міських  програм</w:t>
            </w:r>
            <w:r w:rsidRPr="00902E70">
              <w:rPr>
                <w:rFonts w:ascii="Times New Roman" w:hAnsi="Times New Roman"/>
                <w:szCs w:val="24"/>
              </w:rPr>
              <w:t xml:space="preserve"> у сумі </w:t>
            </w:r>
            <w:r w:rsidRPr="00D834DE">
              <w:rPr>
                <w:rFonts w:ascii="Times New Roman" w:hAnsi="Times New Roman"/>
                <w:b/>
                <w:szCs w:val="24"/>
              </w:rPr>
              <w:t>25</w:t>
            </w:r>
            <w:r w:rsidRPr="00D834DE">
              <w:rPr>
                <w:rFonts w:ascii="Times New Roman" w:hAnsi="Times New Roman"/>
                <w:b/>
              </w:rPr>
              <w:t>5</w:t>
            </w:r>
            <w:r w:rsidRPr="00D834DE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D834DE">
              <w:rPr>
                <w:rFonts w:ascii="Times New Roman" w:hAnsi="Times New Roman"/>
                <w:b/>
              </w:rPr>
              <w:t>552</w:t>
            </w:r>
            <w:r w:rsidRPr="00D834DE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D834DE">
              <w:rPr>
                <w:rFonts w:ascii="Times New Roman" w:hAnsi="Times New Roman"/>
                <w:b/>
              </w:rPr>
              <w:t>3</w:t>
            </w:r>
            <w:r w:rsidRPr="00D834DE">
              <w:rPr>
                <w:rFonts w:ascii="Times New Roman" w:hAnsi="Times New Roman"/>
                <w:b/>
                <w:szCs w:val="24"/>
              </w:rPr>
              <w:t>00</w:t>
            </w:r>
            <w:r w:rsidRPr="00902E70">
              <w:rPr>
                <w:rFonts w:ascii="Times New Roman" w:hAnsi="Times New Roman"/>
                <w:szCs w:val="24"/>
              </w:rPr>
              <w:t xml:space="preserve"> гривень згідно з додатком </w:t>
            </w:r>
            <w:r w:rsidRPr="00D834DE">
              <w:rPr>
                <w:rFonts w:ascii="Times New Roman" w:hAnsi="Times New Roman"/>
                <w:b/>
              </w:rPr>
              <w:t>6</w:t>
            </w:r>
            <w:r w:rsidRPr="00902E70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D54FAF" w:rsidRDefault="00D54FAF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D54FAF" w:rsidRDefault="00D54FAF" w:rsidP="00FE6F81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D54FAF" w:rsidRPr="00D66949" w:rsidRDefault="00D54FAF" w:rsidP="00D54FA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D66949">
              <w:rPr>
                <w:rFonts w:ascii="Times New Roman" w:hAnsi="Times New Roman"/>
                <w:szCs w:val="24"/>
              </w:rPr>
              <w:t xml:space="preserve">10. Затвердити кошторис Фонду охорони навколишнього природного середовища  у складі бюджету Чорноморської міської територіальної громади на 2024 рік згідно з додатком </w:t>
            </w:r>
            <w:r w:rsidRPr="00462B61">
              <w:rPr>
                <w:rFonts w:ascii="Times New Roman" w:hAnsi="Times New Roman"/>
                <w:b/>
                <w:szCs w:val="24"/>
              </w:rPr>
              <w:t>7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D54FAF" w:rsidRPr="00D66949" w:rsidRDefault="00D54FAF" w:rsidP="00D54FAF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  <w:p w:rsidR="00D54FAF" w:rsidRPr="00D66949" w:rsidRDefault="00D54FAF" w:rsidP="00D54FA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Cs w:val="24"/>
              </w:rPr>
            </w:pPr>
            <w:r w:rsidRPr="00D66949">
              <w:rPr>
                <w:rFonts w:ascii="Times New Roman" w:hAnsi="Times New Roman"/>
                <w:szCs w:val="24"/>
              </w:rPr>
              <w:t xml:space="preserve">11. Затвердити кошторис територіального дорожнього фонду у складі бюджету  Чорноморської міської територіальної громади на 2024 рік згідно з додатком </w:t>
            </w:r>
            <w:r w:rsidRPr="00462B61">
              <w:rPr>
                <w:rFonts w:ascii="Times New Roman" w:hAnsi="Times New Roman"/>
                <w:b/>
                <w:szCs w:val="24"/>
              </w:rPr>
              <w:t>8</w:t>
            </w:r>
            <w:r w:rsidRPr="00D66949">
              <w:rPr>
                <w:rFonts w:ascii="Times New Roman" w:hAnsi="Times New Roman"/>
                <w:szCs w:val="24"/>
              </w:rPr>
              <w:t xml:space="preserve"> до цього рішення.</w:t>
            </w:r>
          </w:p>
          <w:p w:rsidR="00FE6F81" w:rsidRDefault="00FE6F81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2D0C78" w:rsidRDefault="002D0C78" w:rsidP="00FE6F81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2D0C78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193EAE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193EAE">
              <w:rPr>
                <w:rFonts w:ascii="Times New Roman" w:hAnsi="Times New Roman"/>
                <w:szCs w:val="24"/>
              </w:rPr>
              <w:t>. Головним розпорядникам коштів бюджету Чорноморської міської тер</w:t>
            </w:r>
            <w:r>
              <w:rPr>
                <w:rFonts w:ascii="Times New Roman" w:hAnsi="Times New Roman"/>
                <w:szCs w:val="24"/>
              </w:rPr>
              <w:t>иторіальної громади забезпечити</w:t>
            </w:r>
            <w:r w:rsidRPr="00193EAE">
              <w:rPr>
                <w:rFonts w:ascii="Times New Roman" w:hAnsi="Times New Roman"/>
                <w:szCs w:val="24"/>
              </w:rPr>
              <w:t>:</w:t>
            </w:r>
          </w:p>
          <w:p w:rsidR="002D0C78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2D0C78" w:rsidRPr="00193EAE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Pr="00193EAE">
              <w:rPr>
                <w:rFonts w:ascii="Times New Roman" w:hAnsi="Times New Roman"/>
                <w:szCs w:val="24"/>
              </w:rPr>
              <w:t xml:space="preserve">) здійснення  у  повному   обсязі   проведення   розрахунків  за  електричну   та  теплову  енергію,  водопостачання та  водовідведення,  природний  газ  та  послуги   зв’язку,  які  споживаються   бюджетними   установами,  не  допускаючи   будь-якої   простроченої   заборгованості  з  оплати   вищезазначених  послуг,  та  укладання   угод  по  кожному  виду  енергоносіїв і комунальних послуг   у  межах   встановлених  відповідним  установам  обґрунтованих  лімітів  споживання та визначеного фінансового ресурсу,  згідно з додатком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9</w:t>
            </w:r>
            <w:r w:rsidRPr="00193EAE">
              <w:rPr>
                <w:rFonts w:ascii="Times New Roman" w:hAnsi="Times New Roman"/>
                <w:szCs w:val="24"/>
              </w:rPr>
              <w:t xml:space="preserve"> до цього рішення;</w:t>
            </w:r>
          </w:p>
          <w:p w:rsidR="002D0C78" w:rsidRDefault="002D0C78" w:rsidP="00FE6F81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2D0C78" w:rsidRPr="00193EAE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  <w:p w:rsidR="002D0C78" w:rsidRDefault="002D0C78" w:rsidP="002D0C78">
            <w:pPr>
              <w:ind w:right="-77" w:firstLine="567"/>
              <w:jc w:val="both"/>
              <w:rPr>
                <w:rFonts w:ascii="Times New Roman" w:hAnsi="Times New Roman"/>
                <w:highlight w:val="yellow"/>
              </w:rPr>
            </w:pPr>
          </w:p>
          <w:p w:rsidR="002D0C78" w:rsidRPr="00B337B7" w:rsidRDefault="002D0C78" w:rsidP="002D0C78">
            <w:pPr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</w:t>
            </w:r>
            <w:r w:rsidRPr="00B337B7">
              <w:rPr>
                <w:rFonts w:ascii="Times New Roman" w:hAnsi="Times New Roman"/>
                <w:szCs w:val="24"/>
              </w:rPr>
              <w:t xml:space="preserve">. Додатки </w:t>
            </w:r>
            <w:r w:rsidRPr="002D0C78">
              <w:rPr>
                <w:rFonts w:ascii="Times New Roman" w:hAnsi="Times New Roman"/>
                <w:b/>
                <w:szCs w:val="24"/>
              </w:rPr>
              <w:t>1-9</w:t>
            </w:r>
            <w:r w:rsidRPr="00B337B7">
              <w:rPr>
                <w:rFonts w:ascii="Times New Roman" w:hAnsi="Times New Roman"/>
                <w:szCs w:val="24"/>
              </w:rPr>
              <w:t xml:space="preserve"> до  цього  рішення  є  його  невід’ємною частиною. </w:t>
            </w:r>
          </w:p>
          <w:p w:rsidR="002D0C78" w:rsidRPr="00054631" w:rsidRDefault="002D0C78" w:rsidP="002D0C78">
            <w:pPr>
              <w:pStyle w:val="a8"/>
              <w:ind w:firstLine="567"/>
              <w:rPr>
                <w:rFonts w:ascii="Times New Roman" w:hAnsi="Times New Roman"/>
                <w:sz w:val="12"/>
                <w:szCs w:val="12"/>
              </w:rPr>
            </w:pPr>
          </w:p>
          <w:p w:rsidR="00600722" w:rsidRPr="00DD7BDC" w:rsidRDefault="002D0C78" w:rsidP="00837FDC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2D0C78">
              <w:rPr>
                <w:rFonts w:ascii="Times New Roman" w:hAnsi="Times New Roman"/>
              </w:rPr>
              <w:t>…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E11B24">
      <w:pgSz w:w="16838" w:h="11906" w:orient="landscape" w:code="9"/>
      <w:pgMar w:top="680" w:right="53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D23E5"/>
    <w:rsid w:val="000E53E7"/>
    <w:rsid w:val="000F2EC8"/>
    <w:rsid w:val="00112D9A"/>
    <w:rsid w:val="001365E6"/>
    <w:rsid w:val="0020605B"/>
    <w:rsid w:val="002418DB"/>
    <w:rsid w:val="00243247"/>
    <w:rsid w:val="00253149"/>
    <w:rsid w:val="002C7B44"/>
    <w:rsid w:val="002D0C78"/>
    <w:rsid w:val="002D335D"/>
    <w:rsid w:val="003334CF"/>
    <w:rsid w:val="003438B8"/>
    <w:rsid w:val="00345716"/>
    <w:rsid w:val="00351CED"/>
    <w:rsid w:val="003C6FB6"/>
    <w:rsid w:val="003D5042"/>
    <w:rsid w:val="00415599"/>
    <w:rsid w:val="00457753"/>
    <w:rsid w:val="00462B61"/>
    <w:rsid w:val="0048343C"/>
    <w:rsid w:val="004B1326"/>
    <w:rsid w:val="004B4012"/>
    <w:rsid w:val="004C4C0B"/>
    <w:rsid w:val="004E7846"/>
    <w:rsid w:val="004F37F6"/>
    <w:rsid w:val="00555C87"/>
    <w:rsid w:val="00560386"/>
    <w:rsid w:val="00567297"/>
    <w:rsid w:val="00574B94"/>
    <w:rsid w:val="00597617"/>
    <w:rsid w:val="005A3761"/>
    <w:rsid w:val="00600722"/>
    <w:rsid w:val="00615529"/>
    <w:rsid w:val="00624510"/>
    <w:rsid w:val="00635416"/>
    <w:rsid w:val="00637341"/>
    <w:rsid w:val="00675037"/>
    <w:rsid w:val="0069444F"/>
    <w:rsid w:val="00750B27"/>
    <w:rsid w:val="00777015"/>
    <w:rsid w:val="00837FDC"/>
    <w:rsid w:val="008731AC"/>
    <w:rsid w:val="00875032"/>
    <w:rsid w:val="008F79F3"/>
    <w:rsid w:val="00925E48"/>
    <w:rsid w:val="0092798C"/>
    <w:rsid w:val="00954019"/>
    <w:rsid w:val="009759A2"/>
    <w:rsid w:val="00995093"/>
    <w:rsid w:val="00996625"/>
    <w:rsid w:val="009A16F5"/>
    <w:rsid w:val="00A0461D"/>
    <w:rsid w:val="00A24A1F"/>
    <w:rsid w:val="00A3614C"/>
    <w:rsid w:val="00A5246B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549B1"/>
    <w:rsid w:val="00C863AD"/>
    <w:rsid w:val="00CA0131"/>
    <w:rsid w:val="00CE5985"/>
    <w:rsid w:val="00CF2CA1"/>
    <w:rsid w:val="00D03B0F"/>
    <w:rsid w:val="00D54FAF"/>
    <w:rsid w:val="00D574EC"/>
    <w:rsid w:val="00D80163"/>
    <w:rsid w:val="00D834DE"/>
    <w:rsid w:val="00DC1273"/>
    <w:rsid w:val="00DC1852"/>
    <w:rsid w:val="00DD7BDC"/>
    <w:rsid w:val="00DF5739"/>
    <w:rsid w:val="00DF6332"/>
    <w:rsid w:val="00E073C9"/>
    <w:rsid w:val="00E077D4"/>
    <w:rsid w:val="00E11B24"/>
    <w:rsid w:val="00E15006"/>
    <w:rsid w:val="00E258EF"/>
    <w:rsid w:val="00E25FB5"/>
    <w:rsid w:val="00E400AF"/>
    <w:rsid w:val="00E4079E"/>
    <w:rsid w:val="00E4724D"/>
    <w:rsid w:val="00EA2F53"/>
    <w:rsid w:val="00EB5452"/>
    <w:rsid w:val="00EB5A31"/>
    <w:rsid w:val="00ED08E9"/>
    <w:rsid w:val="00EF5DB5"/>
    <w:rsid w:val="00F24803"/>
    <w:rsid w:val="00F36BAE"/>
    <w:rsid w:val="00F4093B"/>
    <w:rsid w:val="00F717A0"/>
    <w:rsid w:val="00F72FE7"/>
    <w:rsid w:val="00FC23A0"/>
    <w:rsid w:val="00FD0800"/>
    <w:rsid w:val="00FD5816"/>
    <w:rsid w:val="00FD7116"/>
    <w:rsid w:val="00FD7624"/>
    <w:rsid w:val="00F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uiPriority w:val="22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2456.html" TargetMode="External"/><Relationship Id="rId5" Type="http://schemas.openxmlformats.org/officeDocument/2006/relationships/hyperlink" Target="http://search.ligazakon.ua/l_doc2.nsf/link1/T1024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1995</Words>
  <Characters>11376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Natasha-findep</cp:lastModifiedBy>
  <cp:revision>133</cp:revision>
  <cp:lastPrinted>2024-01-11T08:04:00Z</cp:lastPrinted>
  <dcterms:created xsi:type="dcterms:W3CDTF">2021-07-16T12:22:00Z</dcterms:created>
  <dcterms:modified xsi:type="dcterms:W3CDTF">2024-01-11T08:04:00Z</dcterms:modified>
</cp:coreProperties>
</file>