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863F" w14:textId="1A72B947" w:rsidR="002860DE" w:rsidRPr="001B618A" w:rsidRDefault="009B2267" w:rsidP="001B618A">
      <w:pPr>
        <w:pStyle w:val="a7"/>
        <w:ind w:left="9923" w:hanging="992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b/>
          <w:bCs/>
          <w:sz w:val="28"/>
          <w:szCs w:val="28"/>
          <w:lang w:val="uk-UA"/>
        </w:rPr>
        <w:tab/>
      </w:r>
      <w:proofErr w:type="spellStart"/>
      <w:r w:rsidR="002860DE" w:rsidRPr="001B618A">
        <w:rPr>
          <w:rFonts w:ascii="Times New Roman" w:hAnsi="Times New Roman" w:cs="Times New Roman"/>
          <w:sz w:val="18"/>
          <w:szCs w:val="18"/>
        </w:rPr>
        <w:t>Додаток</w:t>
      </w:r>
      <w:proofErr w:type="spellEnd"/>
      <w:r w:rsidR="002860DE" w:rsidRPr="001B618A">
        <w:rPr>
          <w:rFonts w:ascii="Times New Roman" w:hAnsi="Times New Roman" w:cs="Times New Roman"/>
          <w:sz w:val="18"/>
          <w:szCs w:val="18"/>
        </w:rPr>
        <w:t xml:space="preserve"> 4</w:t>
      </w:r>
    </w:p>
    <w:p w14:paraId="18DCF49B" w14:textId="692F2D33" w:rsidR="002860DE" w:rsidRPr="001B618A" w:rsidRDefault="002860DE" w:rsidP="001B618A">
      <w:pPr>
        <w:pStyle w:val="a7"/>
        <w:ind w:left="9923" w:hanging="9923"/>
        <w:jc w:val="right"/>
        <w:rPr>
          <w:rFonts w:ascii="Times New Roman" w:hAnsi="Times New Roman" w:cs="Times New Roman"/>
          <w:sz w:val="18"/>
          <w:szCs w:val="18"/>
        </w:rPr>
      </w:pPr>
      <w:r w:rsidRPr="001B618A">
        <w:rPr>
          <w:rFonts w:ascii="Times New Roman" w:hAnsi="Times New Roman" w:cs="Times New Roman"/>
          <w:sz w:val="18"/>
          <w:szCs w:val="18"/>
        </w:rPr>
        <w:tab/>
        <w:t>до Порядку</w:t>
      </w:r>
      <w:r w:rsidR="001B618A" w:rsidRPr="001B618A">
        <w:rPr>
          <w:rFonts w:ascii="Times New Roman" w:hAnsi="Times New Roman" w:cs="Times New Roman"/>
          <w:color w:val="000000" w:themeColor="text1"/>
          <w:sz w:val="18"/>
          <w:szCs w:val="18"/>
          <w:lang w:val="uk-UA"/>
        </w:rPr>
        <w:t xml:space="preserve"> розроблення, затвердження та виконання міських цільових програм у Чорноморській міській територіальній громаді</w:t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  <w:r w:rsidRPr="001B618A">
        <w:rPr>
          <w:rFonts w:ascii="Times New Roman" w:hAnsi="Times New Roman" w:cs="Times New Roman"/>
          <w:sz w:val="18"/>
          <w:szCs w:val="18"/>
        </w:rPr>
        <w:tab/>
      </w:r>
    </w:p>
    <w:p w14:paraId="6FA0B05A" w14:textId="4B7E0C90" w:rsidR="002860DE" w:rsidRPr="00732065" w:rsidRDefault="002860DE" w:rsidP="0073206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732065">
        <w:rPr>
          <w:rFonts w:ascii="Times New Roman" w:hAnsi="Times New Roman" w:cs="Times New Roman"/>
          <w:b/>
          <w:bCs/>
          <w:color w:val="000000"/>
          <w:lang w:val="uk-UA"/>
        </w:rPr>
        <w:t xml:space="preserve">Інформація про виконання програми за </w:t>
      </w:r>
      <w:r w:rsidR="00956B22">
        <w:rPr>
          <w:rFonts w:ascii="Times New Roman" w:hAnsi="Times New Roman" w:cs="Times New Roman"/>
          <w:b/>
          <w:bCs/>
          <w:color w:val="000000"/>
          <w:lang w:val="uk-UA"/>
        </w:rPr>
        <w:t>2022</w:t>
      </w:r>
      <w:r w:rsidRPr="00732065">
        <w:rPr>
          <w:rFonts w:ascii="Times New Roman" w:hAnsi="Times New Roman" w:cs="Times New Roman"/>
          <w:b/>
          <w:bCs/>
          <w:color w:val="000000"/>
          <w:lang w:val="uk-UA"/>
        </w:rPr>
        <w:t xml:space="preserve"> рік</w:t>
      </w:r>
    </w:p>
    <w:p w14:paraId="029A68EE" w14:textId="77777777" w:rsidR="002860DE" w:rsidRPr="001B618A" w:rsidRDefault="002860DE" w:rsidP="0073206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658"/>
        <w:gridCol w:w="1543"/>
        <w:gridCol w:w="741"/>
        <w:gridCol w:w="9731"/>
      </w:tblGrid>
      <w:tr w:rsidR="002860DE" w:rsidRPr="001B618A" w14:paraId="556CE8F4" w14:textId="77777777" w:rsidTr="008D55A6">
        <w:tc>
          <w:tcPr>
            <w:tcW w:w="658" w:type="dxa"/>
            <w:shd w:val="clear" w:color="auto" w:fill="auto"/>
          </w:tcPr>
          <w:p w14:paraId="78B82C3A" w14:textId="77777777" w:rsidR="002860DE" w:rsidRPr="001B618A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14:paraId="4C85AEFF" w14:textId="08B76650" w:rsidR="002860DE" w:rsidRPr="001B618A" w:rsidRDefault="00CE1263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</w:t>
            </w:r>
            <w:r w:rsidR="00A913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00000</w:t>
            </w:r>
          </w:p>
        </w:tc>
        <w:tc>
          <w:tcPr>
            <w:tcW w:w="741" w:type="dxa"/>
            <w:shd w:val="clear" w:color="auto" w:fill="auto"/>
          </w:tcPr>
          <w:p w14:paraId="3F975C35" w14:textId="77777777" w:rsidR="002860DE" w:rsidRPr="001B618A" w:rsidRDefault="002860DE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14:paraId="2CB9227D" w14:textId="09DFAA4F" w:rsidR="002860DE" w:rsidRPr="001B618A" w:rsidRDefault="001B618A" w:rsidP="0073206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2860DE" w:rsidRPr="00732065" w14:paraId="0EDA7F1E" w14:textId="77777777" w:rsidTr="008D55A6">
        <w:tc>
          <w:tcPr>
            <w:tcW w:w="658" w:type="dxa"/>
            <w:shd w:val="clear" w:color="auto" w:fill="auto"/>
          </w:tcPr>
          <w:p w14:paraId="4E31C6C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14:paraId="66A3E74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741" w:type="dxa"/>
            <w:shd w:val="clear" w:color="auto" w:fill="auto"/>
          </w:tcPr>
          <w:p w14:paraId="38ED96D2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14:paraId="0DBFB6F5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головного розпорядника бюджетних коштів</w:t>
            </w:r>
          </w:p>
        </w:tc>
      </w:tr>
      <w:tr w:rsidR="001B618A" w:rsidRPr="00732065" w14:paraId="3E91F793" w14:textId="77777777" w:rsidTr="008D55A6">
        <w:tc>
          <w:tcPr>
            <w:tcW w:w="658" w:type="dxa"/>
            <w:shd w:val="clear" w:color="auto" w:fill="auto"/>
          </w:tcPr>
          <w:p w14:paraId="6F4B5885" w14:textId="77777777" w:rsidR="001B618A" w:rsidRPr="001B618A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14:paraId="388FD01E" w14:textId="67825060" w:rsidR="001B618A" w:rsidRPr="001B618A" w:rsidRDefault="00CE1263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</w:t>
            </w:r>
            <w:r w:rsidR="00A9136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100000</w:t>
            </w:r>
          </w:p>
        </w:tc>
        <w:tc>
          <w:tcPr>
            <w:tcW w:w="741" w:type="dxa"/>
            <w:shd w:val="clear" w:color="auto" w:fill="auto"/>
          </w:tcPr>
          <w:p w14:paraId="002FD4A9" w14:textId="77777777" w:rsidR="001B618A" w:rsidRPr="001B618A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14:paraId="45FE0EFE" w14:textId="309BB884" w:rsidR="001B618A" w:rsidRPr="001B618A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1B618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Виконавчий комітет Чорноморської міської ради Одеського району Одеської області</w:t>
            </w:r>
          </w:p>
        </w:tc>
      </w:tr>
      <w:tr w:rsidR="001B618A" w:rsidRPr="00732065" w14:paraId="3020E394" w14:textId="77777777" w:rsidTr="008D55A6">
        <w:tc>
          <w:tcPr>
            <w:tcW w:w="658" w:type="dxa"/>
            <w:shd w:val="clear" w:color="auto" w:fill="auto"/>
          </w:tcPr>
          <w:p w14:paraId="00D38757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14:paraId="4DFBCC47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КВКВ</w:t>
            </w:r>
          </w:p>
        </w:tc>
        <w:tc>
          <w:tcPr>
            <w:tcW w:w="741" w:type="dxa"/>
            <w:shd w:val="clear" w:color="auto" w:fill="auto"/>
          </w:tcPr>
          <w:p w14:paraId="4FD8980F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14:paraId="434E5BB4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відповідального виконавця програми</w:t>
            </w:r>
          </w:p>
        </w:tc>
      </w:tr>
      <w:tr w:rsidR="001B618A" w:rsidRPr="005E287B" w14:paraId="5681D7FB" w14:textId="77777777" w:rsidTr="008D55A6">
        <w:tc>
          <w:tcPr>
            <w:tcW w:w="658" w:type="dxa"/>
            <w:shd w:val="clear" w:color="auto" w:fill="auto"/>
          </w:tcPr>
          <w:p w14:paraId="78C780C6" w14:textId="77777777" w:rsidR="001B618A" w:rsidRPr="008D55A6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auto"/>
          </w:tcPr>
          <w:p w14:paraId="18A42E3C" w14:textId="253AFA0D" w:rsidR="001B618A" w:rsidRPr="00CE1263" w:rsidRDefault="00CE1263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CE126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021</w:t>
            </w:r>
            <w:r w:rsidR="00B02F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  <w:r w:rsidR="00950E0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</w:t>
            </w:r>
          </w:p>
        </w:tc>
        <w:tc>
          <w:tcPr>
            <w:tcW w:w="741" w:type="dxa"/>
            <w:shd w:val="clear" w:color="auto" w:fill="auto"/>
          </w:tcPr>
          <w:p w14:paraId="6D8E627A" w14:textId="77777777" w:rsidR="001B618A" w:rsidRPr="00732065" w:rsidRDefault="001B618A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9731" w:type="dxa"/>
            <w:tcBorders>
              <w:bottom w:val="single" w:sz="4" w:space="0" w:color="000000"/>
            </w:tcBorders>
            <w:shd w:val="clear" w:color="auto" w:fill="auto"/>
          </w:tcPr>
          <w:p w14:paraId="0A64C262" w14:textId="62978B4E" w:rsidR="001B618A" w:rsidRPr="008D55A6" w:rsidRDefault="00B02F08" w:rsidP="001B61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B02F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Міськ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B02F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програм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а</w:t>
            </w:r>
            <w:r w:rsidRPr="00B02F0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"Здоров'я населення Чорноморської міської територіальної громади на 2021-2025 роки"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, затверджена </w:t>
            </w:r>
            <w:r w:rsidR="0090379F" w:rsidRPr="008D55A6">
              <w:rPr>
                <w:rFonts w:ascii="e-ukraine" w:hAnsi="e-ukraine"/>
                <w:color w:val="000000"/>
                <w:sz w:val="24"/>
                <w:szCs w:val="24"/>
              </w:rPr>
              <w:t> 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рішенням  Чорноморської міської  ради Одеського району Одеської області від </w:t>
            </w:r>
            <w:r w:rsidR="00BA5453" w:rsidRPr="00BA54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24.12.2020 року № 17-VIII 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</w:t>
            </w:r>
            <w:r w:rsidR="00BA545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із</w:t>
            </w:r>
            <w:r w:rsidR="0090379F" w:rsidRPr="008D55A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змінами та доповненнями)</w:t>
            </w:r>
          </w:p>
        </w:tc>
      </w:tr>
      <w:tr w:rsidR="001B618A" w:rsidRPr="00732065" w14:paraId="6E5E8AE1" w14:textId="77777777" w:rsidTr="008D55A6">
        <w:tc>
          <w:tcPr>
            <w:tcW w:w="658" w:type="dxa"/>
            <w:shd w:val="clear" w:color="auto" w:fill="auto"/>
          </w:tcPr>
          <w:p w14:paraId="4E47A2BB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  <w:shd w:val="clear" w:color="auto" w:fill="auto"/>
          </w:tcPr>
          <w:p w14:paraId="2D3AC503" w14:textId="5356298D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</w:t>
            </w:r>
            <w:r w:rsidR="00740097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П</w:t>
            </w:r>
            <w:r w:rsidRPr="007320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 w:eastAsia="uk-UA"/>
              </w:rPr>
              <w:t>КВ</w:t>
            </w:r>
          </w:p>
        </w:tc>
        <w:tc>
          <w:tcPr>
            <w:tcW w:w="741" w:type="dxa"/>
            <w:shd w:val="clear" w:color="auto" w:fill="auto"/>
          </w:tcPr>
          <w:p w14:paraId="42A4DF34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</w:pPr>
          </w:p>
        </w:tc>
        <w:tc>
          <w:tcPr>
            <w:tcW w:w="9731" w:type="dxa"/>
            <w:tcBorders>
              <w:top w:val="single" w:sz="4" w:space="0" w:color="000000"/>
            </w:tcBorders>
            <w:shd w:val="clear" w:color="auto" w:fill="auto"/>
          </w:tcPr>
          <w:p w14:paraId="4A13A2EF" w14:textId="77777777" w:rsidR="001B618A" w:rsidRPr="00732065" w:rsidRDefault="001B618A" w:rsidP="001B61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>найменування програми, дата і номер рішення</w:t>
            </w:r>
            <w:r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 xml:space="preserve"> Чорноморської міської </w:t>
            </w:r>
            <w:r w:rsidRPr="00732065">
              <w:rPr>
                <w:rFonts w:ascii="Times New Roman" w:hAnsi="Times New Roman" w:cs="Times New Roman"/>
                <w:color w:val="000000"/>
                <w:vertAlign w:val="superscript"/>
                <w:lang w:val="uk-UA" w:eastAsia="uk-UA"/>
              </w:rPr>
              <w:t xml:space="preserve"> ради про її затвердження</w:t>
            </w:r>
          </w:p>
        </w:tc>
      </w:tr>
    </w:tbl>
    <w:p w14:paraId="3C02D4B2" w14:textId="77777777" w:rsidR="002860DE" w:rsidRPr="00732065" w:rsidRDefault="002860DE" w:rsidP="00732065"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</w:p>
    <w:p w14:paraId="572ED82B" w14:textId="1B9E0011" w:rsidR="001F2078" w:rsidRPr="00A35137" w:rsidRDefault="002860DE" w:rsidP="00A9136A">
      <w:pPr>
        <w:shd w:val="clear" w:color="auto" w:fill="FFFFFF"/>
        <w:spacing w:after="0" w:line="240" w:lineRule="auto"/>
        <w:ind w:left="4536" w:hanging="4536"/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uk-UA"/>
        </w:rPr>
      </w:pPr>
      <w:r w:rsidRPr="008D55A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4. Напрями діяльності та заходи програми</w:t>
      </w:r>
      <w:r w:rsidR="0090379F" w:rsidRPr="008D55A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:</w:t>
      </w:r>
      <w:r w:rsidR="0090379F" w:rsidRPr="008D55A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732065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 xml:space="preserve"> </w:t>
      </w:r>
      <w:r w:rsidR="00A35137" w:rsidRPr="00A35137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 xml:space="preserve">Міська програма "Здоров'я населення Чорноморської міської територіальної громади на </w:t>
      </w:r>
      <w:r w:rsidR="00A35137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 xml:space="preserve">                </w:t>
      </w:r>
      <w:r w:rsidR="00A35137" w:rsidRPr="00A35137"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uk-UA"/>
        </w:rPr>
        <w:t>2021-2025 роки"</w:t>
      </w:r>
    </w:p>
    <w:p w14:paraId="3BE76A8B" w14:textId="77777777" w:rsidR="001F2078" w:rsidRPr="0058125C" w:rsidRDefault="001F2078" w:rsidP="001F20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uk-UA" w:eastAsia="uk-UA"/>
        </w:rPr>
      </w:pPr>
    </w:p>
    <w:p w14:paraId="18A5D441" w14:textId="77777777" w:rsidR="008D55A6" w:rsidRPr="00732065" w:rsidRDefault="008D55A6" w:rsidP="007320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uk-UA"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48"/>
        <w:gridCol w:w="1293"/>
        <w:gridCol w:w="997"/>
        <w:gridCol w:w="1050"/>
        <w:gridCol w:w="1050"/>
        <w:gridCol w:w="1260"/>
        <w:gridCol w:w="1110"/>
        <w:gridCol w:w="855"/>
        <w:gridCol w:w="975"/>
        <w:gridCol w:w="990"/>
        <w:gridCol w:w="1125"/>
        <w:gridCol w:w="855"/>
        <w:gridCol w:w="1507"/>
      </w:tblGrid>
      <w:tr w:rsidR="002860DE" w:rsidRPr="00732065" w14:paraId="58AFEBB4" w14:textId="77777777" w:rsidTr="00732065">
        <w:trPr>
          <w:cantSplit/>
          <w:trHeight w:val="27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499FD3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№ п/п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85410A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Захід</w:t>
            </w: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CD8E0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Головний</w:t>
            </w:r>
          </w:p>
          <w:p w14:paraId="2DB8E4B7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виконавець</w:t>
            </w:r>
          </w:p>
          <w:p w14:paraId="292B0411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та строк</w:t>
            </w:r>
          </w:p>
          <w:p w14:paraId="7247D3DE" w14:textId="77777777" w:rsidR="002860DE" w:rsidRPr="00732065" w:rsidRDefault="002860DE" w:rsidP="007320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виконання</w:t>
            </w:r>
          </w:p>
        </w:tc>
        <w:tc>
          <w:tcPr>
            <w:tcW w:w="5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97E7BB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Планові обсяги фінансування, тис. грн.</w:t>
            </w:r>
          </w:p>
        </w:tc>
        <w:tc>
          <w:tcPr>
            <w:tcW w:w="4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1C2FC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Фактичні обсяги фінансування, тис. грн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1ED0E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Стан виконання заходів (результативні показники </w:t>
            </w:r>
            <w:r w:rsid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виконання </w:t>
            </w:r>
            <w:r w:rsid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  <w:lang w:eastAsia="uk-UA"/>
              </w:rPr>
              <w:t>програми)</w:t>
            </w:r>
          </w:p>
        </w:tc>
      </w:tr>
      <w:tr w:rsidR="002860DE" w:rsidRPr="00732065" w14:paraId="75971A26" w14:textId="77777777" w:rsidTr="00732065">
        <w:trPr>
          <w:cantSplit/>
          <w:trHeight w:val="25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F24C61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6905F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6E81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38563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4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B11389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475BA4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Всього</w:t>
            </w:r>
          </w:p>
        </w:tc>
        <w:tc>
          <w:tcPr>
            <w:tcW w:w="3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3797E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У тому числі: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8CB96" w14:textId="77777777" w:rsidR="002860DE" w:rsidRPr="00732065" w:rsidRDefault="002860DE" w:rsidP="00732065">
            <w:pPr>
              <w:pStyle w:val="2"/>
              <w:numPr>
                <w:ilvl w:val="0"/>
                <w:numId w:val="0"/>
              </w:numPr>
              <w:snapToGrid w:val="0"/>
              <w:ind w:left="576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2860DE" w:rsidRPr="00732065" w14:paraId="4C5E99AF" w14:textId="77777777" w:rsidTr="00732065">
        <w:trPr>
          <w:cantSplit/>
          <w:trHeight w:val="9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D309C8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B1FBC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D6695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54290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D75F63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7320F8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C4B949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Б</w:t>
            </w:r>
            <w:r w:rsidR="002860DE" w:rsidRPr="00732065">
              <w:rPr>
                <w:b w:val="0"/>
                <w:bCs w:val="0"/>
                <w:color w:val="000000"/>
                <w:sz w:val="16"/>
                <w:szCs w:val="16"/>
              </w:rPr>
              <w:t>юджет</w:t>
            </w: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Чорноморської міської територіальної громади </w:t>
            </w:r>
          </w:p>
          <w:p w14:paraId="020514A4" w14:textId="77777777" w:rsidR="00732065" w:rsidRPr="00732065" w:rsidRDefault="00732065" w:rsidP="00732065">
            <w:pPr>
              <w:rPr>
                <w:lang w:val="uk-UA" w:eastAsia="zh-CN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5995E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Інші</w:t>
            </w:r>
          </w:p>
          <w:p w14:paraId="4409710F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джерел</w:t>
            </w:r>
            <w:r w:rsidR="00732065" w:rsidRPr="00732065">
              <w:rPr>
                <w:b w:val="0"/>
                <w:bCs w:val="0"/>
                <w:color w:val="000000"/>
                <w:sz w:val="16"/>
                <w:szCs w:val="16"/>
              </w:rPr>
              <w:t>а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4328FD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831E6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Державний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EF230A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Обласний бюджет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201258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  <w:rPr>
                <w:b w:val="0"/>
                <w:bCs w:val="0"/>
                <w:color w:val="000000"/>
                <w:sz w:val="16"/>
                <w:szCs w:val="16"/>
              </w:rPr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Бюджет Чорноморської міської територіальної громади </w:t>
            </w:r>
          </w:p>
          <w:p w14:paraId="316CA066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522825" w14:textId="77777777" w:rsidR="00732065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>Інші</w:t>
            </w:r>
          </w:p>
          <w:p w14:paraId="7DDAEB07" w14:textId="77777777" w:rsidR="002860DE" w:rsidRPr="00732065" w:rsidRDefault="00732065" w:rsidP="00732065">
            <w:pPr>
              <w:pStyle w:val="2"/>
              <w:numPr>
                <w:ilvl w:val="1"/>
                <w:numId w:val="2"/>
              </w:numPr>
              <w:ind w:left="0" w:firstLine="0"/>
            </w:pPr>
            <w:r w:rsidRPr="00732065">
              <w:rPr>
                <w:b w:val="0"/>
                <w:bCs w:val="0"/>
                <w:color w:val="000000"/>
                <w:sz w:val="16"/>
                <w:szCs w:val="16"/>
              </w:rPr>
              <w:t xml:space="preserve"> джерела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78B5" w14:textId="77777777" w:rsidR="002860DE" w:rsidRPr="00732065" w:rsidRDefault="002860DE" w:rsidP="00732065">
            <w:pPr>
              <w:pStyle w:val="2"/>
              <w:numPr>
                <w:ilvl w:val="0"/>
                <w:numId w:val="0"/>
              </w:numPr>
              <w:snapToGrid w:val="0"/>
              <w:ind w:left="576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</w:tr>
      <w:tr w:rsidR="007B3326" w:rsidRPr="00732065" w14:paraId="7A96D4B4" w14:textId="77777777" w:rsidTr="00F87A0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F0CFF8" w14:textId="77777777" w:rsidR="007B3326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1</w:t>
            </w:r>
          </w:p>
          <w:p w14:paraId="643AB7EC" w14:textId="2638CBD7" w:rsidR="007B3326" w:rsidRPr="00732065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AEC169" w14:textId="082B49FD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надання терапевтичної та хірургічної стоматологічної  допомоги дорослому та дитячому населенню Чорноморської міської територіальної громади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472B02" w14:textId="7777777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Виконавчий комітет Чорноморської міської ради Одеського району Одеської області, 2022</w:t>
            </w:r>
          </w:p>
          <w:p w14:paraId="3A3EA978" w14:textId="58E1FE74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82FA5" w14:textId="405B6910" w:rsidR="007B3326" w:rsidRPr="00A9136A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9136A">
              <w:rPr>
                <w:sz w:val="20"/>
                <w:szCs w:val="20"/>
              </w:rPr>
              <w:t>5</w:t>
            </w:r>
            <w:r w:rsidR="00A9136A" w:rsidRPr="00A9136A">
              <w:rPr>
                <w:sz w:val="20"/>
                <w:szCs w:val="20"/>
              </w:rPr>
              <w:t> </w:t>
            </w:r>
            <w:r w:rsidRPr="00A9136A">
              <w:rPr>
                <w:sz w:val="20"/>
                <w:szCs w:val="20"/>
              </w:rPr>
              <w:t>167</w:t>
            </w:r>
            <w:r w:rsidR="00A9136A" w:rsidRPr="00A9136A">
              <w:rPr>
                <w:sz w:val="20"/>
                <w:szCs w:val="20"/>
                <w:lang w:val="uk-UA"/>
              </w:rPr>
              <w:t>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48989F" w14:textId="77777777" w:rsidR="007B3326" w:rsidRPr="00A9136A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3D0C6" w14:textId="77777777" w:rsidR="007B3326" w:rsidRPr="00A9136A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3CFA93" w14:textId="06F242DA" w:rsidR="007B3326" w:rsidRPr="00A9136A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9136A">
              <w:rPr>
                <w:sz w:val="20"/>
                <w:szCs w:val="20"/>
              </w:rPr>
              <w:t>5</w:t>
            </w:r>
            <w:r w:rsidR="00A9136A" w:rsidRPr="00A9136A">
              <w:rPr>
                <w:sz w:val="20"/>
                <w:szCs w:val="20"/>
              </w:rPr>
              <w:t> </w:t>
            </w:r>
            <w:r w:rsidRPr="00A9136A">
              <w:rPr>
                <w:sz w:val="20"/>
                <w:szCs w:val="20"/>
              </w:rPr>
              <w:t>167</w:t>
            </w:r>
            <w:r w:rsidR="00A9136A" w:rsidRPr="00A9136A">
              <w:rPr>
                <w:sz w:val="20"/>
                <w:szCs w:val="20"/>
                <w:lang w:val="uk-UA"/>
              </w:rPr>
              <w:t>,4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658730" w14:textId="577BABBA" w:rsidR="007B3326" w:rsidRPr="00A9136A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12BDE" w14:textId="77777777" w:rsidR="008879AD" w:rsidRPr="00A9136A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2A99035" w14:textId="77777777" w:rsidR="008879AD" w:rsidRPr="00A9136A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C664E15" w14:textId="77777777" w:rsidR="008879AD" w:rsidRPr="00A9136A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6B462B4" w14:textId="77777777" w:rsidR="008879AD" w:rsidRPr="00A9136A" w:rsidRDefault="008879AD" w:rsidP="00A913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FD2A334" w14:textId="77777777" w:rsidR="00A9136A" w:rsidRPr="00A9136A" w:rsidRDefault="00A9136A" w:rsidP="00A913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AFFEF3E" w14:textId="01DB2978" w:rsidR="007B3326" w:rsidRPr="00A9136A" w:rsidRDefault="007B3326" w:rsidP="00A9136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136A">
              <w:rPr>
                <w:sz w:val="20"/>
                <w:szCs w:val="20"/>
              </w:rPr>
              <w:t>5061</w:t>
            </w:r>
            <w:r w:rsidR="00A9136A" w:rsidRPr="00A9136A">
              <w:rPr>
                <w:sz w:val="20"/>
                <w:szCs w:val="20"/>
              </w:rPr>
              <w:t>,1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786EC" w14:textId="77777777" w:rsidR="007B3326" w:rsidRPr="00A9136A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0FEB189E" w14:textId="77777777" w:rsidR="00A9136A" w:rsidRPr="00A9136A" w:rsidRDefault="00A9136A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58BEDAD8" w14:textId="77777777" w:rsidR="00A9136A" w:rsidRPr="00A9136A" w:rsidRDefault="00A9136A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  <w:p w14:paraId="1789D6D9" w14:textId="491C2B88" w:rsidR="00A9136A" w:rsidRPr="00A9136A" w:rsidRDefault="00A9136A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03F496" w14:textId="77777777" w:rsidR="007B3326" w:rsidRPr="00A9136A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CAE959" w14:textId="5059A5FE" w:rsidR="007B3326" w:rsidRPr="00A9136A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9136A">
              <w:rPr>
                <w:sz w:val="20"/>
                <w:szCs w:val="20"/>
              </w:rPr>
              <w:t>5</w:t>
            </w:r>
            <w:r w:rsidR="00A9136A" w:rsidRPr="00A9136A">
              <w:rPr>
                <w:sz w:val="20"/>
                <w:szCs w:val="20"/>
              </w:rPr>
              <w:t> </w:t>
            </w:r>
            <w:r w:rsidRPr="00A9136A">
              <w:rPr>
                <w:sz w:val="20"/>
                <w:szCs w:val="20"/>
              </w:rPr>
              <w:t>061</w:t>
            </w:r>
            <w:r w:rsidR="00A9136A" w:rsidRPr="00A9136A">
              <w:rPr>
                <w:sz w:val="20"/>
                <w:szCs w:val="20"/>
                <w:lang w:val="uk-UA"/>
              </w:rPr>
              <w:t>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6C06B" w14:textId="77777777" w:rsidR="007B3326" w:rsidRPr="00A9136A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08E7A" w14:textId="3CAC0641" w:rsidR="007B3326" w:rsidRPr="00A9136A" w:rsidRDefault="005C1584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9136A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Виконання напряму складає 97,94%.</w:t>
            </w:r>
          </w:p>
        </w:tc>
      </w:tr>
      <w:tr w:rsidR="007B3326" w:rsidRPr="005E287B" w14:paraId="7B35F082" w14:textId="77777777" w:rsidTr="00F87A0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ECE38" w14:textId="17438423" w:rsidR="007B3326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</w:t>
            </w:r>
          </w:p>
          <w:p w14:paraId="4C4A1262" w14:textId="77777777" w:rsidR="007B3326" w:rsidRPr="00732065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B023D9" w14:textId="2E7B1F22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соціальне забезпечення (виплата пільгових пенсій  </w:t>
            </w:r>
            <w:proofErr w:type="spellStart"/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рентгенолаборантам</w:t>
            </w:r>
            <w:proofErr w:type="spellEnd"/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)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27A41" w14:textId="7777777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Виконавчий комітет Чорноморської міської ради Одеського району Одеської області, 2022</w:t>
            </w:r>
          </w:p>
          <w:p w14:paraId="105C2B67" w14:textId="54E8FDAF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F9D3A7" w14:textId="22E430D9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36401">
              <w:rPr>
                <w:sz w:val="20"/>
                <w:szCs w:val="20"/>
              </w:rPr>
              <w:t>48</w:t>
            </w:r>
            <w:r w:rsidR="00A9136A" w:rsidRPr="00C36401">
              <w:rPr>
                <w:sz w:val="20"/>
                <w:szCs w:val="20"/>
                <w:lang w:val="uk-UA"/>
              </w:rPr>
              <w:t>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398137" w14:textId="7777777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1EE2C3" w14:textId="7777777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E2D21" w14:textId="0A395293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36401">
              <w:rPr>
                <w:sz w:val="20"/>
                <w:szCs w:val="20"/>
              </w:rPr>
              <w:t>48</w:t>
            </w:r>
            <w:r w:rsidR="00A9136A" w:rsidRPr="00C36401">
              <w:rPr>
                <w:sz w:val="20"/>
                <w:szCs w:val="20"/>
                <w:lang w:val="uk-UA"/>
              </w:rPr>
              <w:t>,9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46201C" w14:textId="4D9B3CE3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BA077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E16E8F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8EA403E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D426E9A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64A92D5" w14:textId="6F17C5FC" w:rsidR="007B3326" w:rsidRPr="00C36401" w:rsidRDefault="00A9136A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6401">
              <w:rPr>
                <w:sz w:val="20"/>
                <w:szCs w:val="20"/>
              </w:rPr>
              <w:t>36,8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EFEC38" w14:textId="77777777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5D6F7" w14:textId="77777777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4AB87" w14:textId="410BF135" w:rsidR="007B3326" w:rsidRPr="00C36401" w:rsidRDefault="00A9136A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36401">
              <w:rPr>
                <w:sz w:val="20"/>
                <w:szCs w:val="20"/>
                <w:lang w:val="uk-UA"/>
              </w:rPr>
              <w:t>36,8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45462A" w14:textId="77777777" w:rsidR="007B3326" w:rsidRPr="00732065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1974B" w14:textId="234EBA69" w:rsidR="007B3326" w:rsidRPr="004B0169" w:rsidRDefault="005C1584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B01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Невиконання пов'язано зі зменшенням кількості осіб (з 1 вересня залишився один пенсіонер), яким виплачується пільгова пенсія.</w:t>
            </w:r>
          </w:p>
        </w:tc>
      </w:tr>
      <w:tr w:rsidR="007B3326" w:rsidRPr="00732065" w14:paraId="6DD2171A" w14:textId="77777777" w:rsidTr="00F87A0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8AA61" w14:textId="3201A2BA" w:rsidR="007B3326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3</w:t>
            </w:r>
          </w:p>
          <w:p w14:paraId="678D2E84" w14:textId="77777777" w:rsidR="007B3326" w:rsidRPr="00732065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C5B2F5" w14:textId="55BB2A70" w:rsidR="007B3326" w:rsidRPr="008879AD" w:rsidRDefault="007B3326" w:rsidP="007B3326">
            <w:pPr>
              <w:shd w:val="clear" w:color="auto" w:fill="FFFFFF"/>
              <w:spacing w:after="0" w:line="240" w:lineRule="auto"/>
              <w:ind w:left="4536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</w:t>
            </w:r>
          </w:p>
          <w:p w14:paraId="2E3E71A5" w14:textId="356F31B4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висвітлення діяльності підприємства у засобах масової інформації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0AD82" w14:textId="7777777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Виконавчий комітет Чорноморської міської ради Одеського району Одеської області, 2022</w:t>
            </w:r>
          </w:p>
          <w:p w14:paraId="2C9A8BCD" w14:textId="05CD0143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20E8A" w14:textId="0C914944" w:rsidR="007B3326" w:rsidRPr="00C36401" w:rsidRDefault="00343A1F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36401">
              <w:rPr>
                <w:sz w:val="20"/>
                <w:szCs w:val="20"/>
                <w:lang w:val="uk-UA"/>
              </w:rPr>
              <w:t>199</w:t>
            </w:r>
            <w:r w:rsidR="0078163F" w:rsidRPr="00C36401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24A085" w14:textId="77777777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2EE6BB" w14:textId="77777777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567AA9" w14:textId="0688B346" w:rsidR="0078163F" w:rsidRPr="00C36401" w:rsidRDefault="00343A1F" w:rsidP="0078163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36401">
              <w:rPr>
                <w:sz w:val="20"/>
                <w:szCs w:val="20"/>
                <w:lang w:val="uk-UA"/>
              </w:rPr>
              <w:t>199</w:t>
            </w:r>
            <w:r w:rsidR="0078163F" w:rsidRPr="00C36401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AC805C" w14:textId="544A9DF9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7409E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061B1CA0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1B9B404F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26BB02B0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21FD0B0C" w14:textId="4F25ECCC" w:rsidR="007B3326" w:rsidRPr="00C36401" w:rsidRDefault="00343A1F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36401">
              <w:rPr>
                <w:sz w:val="20"/>
                <w:szCs w:val="20"/>
                <w:lang w:val="uk-UA"/>
              </w:rPr>
              <w:t>179</w:t>
            </w:r>
            <w:r w:rsidR="00C36401" w:rsidRPr="00C36401">
              <w:rPr>
                <w:sz w:val="20"/>
                <w:szCs w:val="20"/>
                <w:lang w:val="uk-UA"/>
              </w:rPr>
              <w:t>,1</w:t>
            </w:r>
          </w:p>
          <w:p w14:paraId="7CFA1FA1" w14:textId="77777777" w:rsidR="00C36401" w:rsidRPr="00C36401" w:rsidRDefault="00C36401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14:paraId="72C51087" w14:textId="3BF0DA8C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17F359" w14:textId="77777777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DF4AD0" w14:textId="77777777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45F138" w14:textId="67A4B955" w:rsidR="007B3326" w:rsidRPr="00C36401" w:rsidRDefault="00C36401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  <w:lang w:val="uk-UA"/>
              </w:rPr>
            </w:pPr>
            <w:r w:rsidRPr="00C36401">
              <w:rPr>
                <w:sz w:val="20"/>
                <w:szCs w:val="20"/>
                <w:lang w:val="uk-UA"/>
              </w:rPr>
              <w:t>179,1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43BB4B" w14:textId="77777777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85F4C" w14:textId="77777777" w:rsidR="004B0169" w:rsidRPr="004B0169" w:rsidRDefault="004B0169" w:rsidP="004B0169">
            <w:pPr>
              <w:jc w:val="center"/>
              <w:rPr>
                <w:sz w:val="20"/>
                <w:szCs w:val="20"/>
              </w:rPr>
            </w:pPr>
            <w:r w:rsidRPr="004B01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Відхилення пов'язано зі зменшенням потреби у </w:t>
            </w:r>
            <w:proofErr w:type="spellStart"/>
            <w:r w:rsidRPr="004B01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медія</w:t>
            </w:r>
            <w:proofErr w:type="spellEnd"/>
            <w:r w:rsidRPr="004B01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послугах</w:t>
            </w:r>
            <w:r w:rsidRPr="004B0169">
              <w:rPr>
                <w:sz w:val="20"/>
                <w:szCs w:val="20"/>
              </w:rPr>
              <w:t>.</w:t>
            </w:r>
          </w:p>
          <w:p w14:paraId="2A75372A" w14:textId="77777777" w:rsidR="007B3326" w:rsidRPr="004B0169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3A1F" w:rsidRPr="005E287B" w14:paraId="71F88AFF" w14:textId="77777777" w:rsidTr="00F87A04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D4046" w14:textId="566BC0EA" w:rsidR="00343A1F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lastRenderedPageBreak/>
              <w:t>4</w:t>
            </w:r>
          </w:p>
          <w:p w14:paraId="702792C5" w14:textId="77777777" w:rsidR="00343A1F" w:rsidRPr="00732065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BB95ED" w14:textId="77777777" w:rsidR="00343A1F" w:rsidRPr="008879AD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забезпечення оплати поточних видатків комунального некомерційного підприємства, які не будуть долучені до програми медичних гарантій (покриття вартості комунальних послуг та енергоносіїв);</w:t>
            </w:r>
          </w:p>
          <w:p w14:paraId="39368B80" w14:textId="7C735C3E" w:rsidR="00343A1F" w:rsidRPr="008879AD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висвітлення діяльності підприємства у засобах масової інформації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78C6E" w14:textId="77777777" w:rsidR="00343A1F" w:rsidRPr="008879AD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Виконавчий комітет Чорноморської міської ради Одеського району Одеської області, 2022</w:t>
            </w:r>
          </w:p>
          <w:p w14:paraId="7C9271C2" w14:textId="47334F52" w:rsidR="00343A1F" w:rsidRPr="008879AD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230B87" w14:textId="6C5B832F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36401">
              <w:rPr>
                <w:sz w:val="20"/>
                <w:szCs w:val="20"/>
              </w:rPr>
              <w:t>983</w:t>
            </w:r>
            <w:r w:rsidR="00C36401" w:rsidRPr="00C36401">
              <w:rPr>
                <w:sz w:val="20"/>
                <w:szCs w:val="20"/>
                <w:lang w:val="uk-UA"/>
              </w:rPr>
              <w:t>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7DEAD2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65DA5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635762" w14:textId="5BDE16C5" w:rsidR="00343A1F" w:rsidRPr="00C36401" w:rsidRDefault="00C36401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36401">
              <w:rPr>
                <w:sz w:val="20"/>
                <w:szCs w:val="20"/>
                <w:lang w:val="uk-UA"/>
              </w:rPr>
              <w:t>983,7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1C3FA3" w14:textId="3E77E18D" w:rsidR="00343A1F" w:rsidRPr="008879AD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43BA64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3524267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5CA4C79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E49CBE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95DF640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E5DF925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903491E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902A439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0E8C467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1F9C68A" w14:textId="77777777" w:rsidR="00343A1F" w:rsidRPr="00C36401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AC245ED" w14:textId="69864064" w:rsidR="00343A1F" w:rsidRPr="00C36401" w:rsidRDefault="00343A1F" w:rsidP="00C3640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6401">
              <w:rPr>
                <w:sz w:val="20"/>
                <w:szCs w:val="20"/>
              </w:rPr>
              <w:t>685</w:t>
            </w:r>
            <w:r w:rsidR="00C36401" w:rsidRPr="00C36401">
              <w:rPr>
                <w:sz w:val="20"/>
                <w:szCs w:val="20"/>
              </w:rPr>
              <w:t>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017CBA" w14:textId="77777777" w:rsidR="00343A1F" w:rsidRPr="008879AD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1AA723" w14:textId="77777777" w:rsidR="00343A1F" w:rsidRPr="008879AD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8AD310" w14:textId="646C6F29" w:rsidR="00343A1F" w:rsidRPr="008879AD" w:rsidRDefault="00C36401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36401">
              <w:rPr>
                <w:sz w:val="20"/>
                <w:szCs w:val="20"/>
              </w:rPr>
              <w:t>685,2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FF5A4" w14:textId="77777777" w:rsidR="00343A1F" w:rsidRPr="00732065" w:rsidRDefault="00343A1F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F4C8C" w14:textId="5B1ED1C6" w:rsidR="00343A1F" w:rsidRPr="004B0169" w:rsidRDefault="004B0169" w:rsidP="00343A1F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4B0169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Невиконання планових показників  пояснюється економією бюджетних коштів на сплату комунальних послуг  та їх ефективним використанням, а саме:  в зв'язку з плановими  відключенням електропостачання, а також економія пов'язана з розірванням договору оренди  (закриттям) 4 кабінетів.</w:t>
            </w:r>
          </w:p>
        </w:tc>
      </w:tr>
      <w:tr w:rsidR="007B3326" w:rsidRPr="00732065" w14:paraId="1E89499A" w14:textId="77777777" w:rsidTr="00A02F78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F94774" w14:textId="433A4F82" w:rsidR="007B3326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5</w:t>
            </w:r>
          </w:p>
          <w:p w14:paraId="04371FDC" w14:textId="77777777" w:rsidR="007B3326" w:rsidRPr="00732065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CDF1EB" w14:textId="430F39A5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придбання джерела безперервного живлення для забезпечення безперебійної роботи комунального некомерційного підприємства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8DECB2" w14:textId="7777777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Виконавчий комітет Чорноморської міської ради Одеського району Одеської області, 2022</w:t>
            </w:r>
          </w:p>
          <w:p w14:paraId="64C6AAA5" w14:textId="22BE3E89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8879A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BCE48C" w14:textId="665716A9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36401">
              <w:rPr>
                <w:sz w:val="20"/>
                <w:szCs w:val="20"/>
              </w:rPr>
              <w:t>229</w:t>
            </w:r>
            <w:r w:rsidR="00C3640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,1</w:t>
            </w:r>
          </w:p>
          <w:p w14:paraId="348D79D2" w14:textId="1490A2A9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74D20" w14:textId="7777777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68451" w14:textId="7777777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71591" w14:textId="77777777" w:rsidR="008879AD" w:rsidRPr="008879AD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280DA7C3" w14:textId="77777777" w:rsidR="008879AD" w:rsidRPr="008879AD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5521F048" w14:textId="77777777" w:rsidR="008879AD" w:rsidRPr="008879AD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6E0C8A0F" w14:textId="77777777" w:rsidR="008879AD" w:rsidRPr="008879AD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530ED20D" w14:textId="77777777" w:rsidR="008879AD" w:rsidRPr="008879AD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  <w:p w14:paraId="0E2EDA0A" w14:textId="616EEBB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C36401">
              <w:rPr>
                <w:sz w:val="20"/>
                <w:szCs w:val="20"/>
              </w:rPr>
              <w:t>229</w:t>
            </w:r>
            <w:r w:rsidR="00C3640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6F7778" w14:textId="7777777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63F3D3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F00B60E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34B59AC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E0D8D5F" w14:textId="77777777" w:rsidR="008879AD" w:rsidRPr="00C36401" w:rsidRDefault="008879AD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0FE623DB" w14:textId="6BA04D6D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6401">
              <w:rPr>
                <w:sz w:val="20"/>
                <w:szCs w:val="20"/>
              </w:rPr>
              <w:t>219</w:t>
            </w:r>
            <w:r w:rsidR="00C36401" w:rsidRPr="00C36401">
              <w:rPr>
                <w:sz w:val="20"/>
                <w:szCs w:val="20"/>
              </w:rPr>
              <w:t>,8</w:t>
            </w:r>
          </w:p>
          <w:p w14:paraId="6D46F528" w14:textId="5640D2DC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7F312" w14:textId="7777777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74D6FA" w14:textId="77777777" w:rsidR="007B3326" w:rsidRPr="008879AD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7FBB5" w14:textId="47E2E424" w:rsidR="007B3326" w:rsidRPr="00C36401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36401">
              <w:rPr>
                <w:sz w:val="20"/>
                <w:szCs w:val="20"/>
              </w:rPr>
              <w:t>219</w:t>
            </w:r>
            <w:r w:rsidR="00C36401" w:rsidRPr="00C36401">
              <w:rPr>
                <w:sz w:val="20"/>
                <w:szCs w:val="20"/>
              </w:rPr>
              <w:t>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2FFBCA" w14:textId="0F8685FD" w:rsidR="007B3326" w:rsidRPr="00732065" w:rsidRDefault="007B3326" w:rsidP="007B3326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B2E3B" w14:textId="78B7B1FB" w:rsidR="007B3326" w:rsidRPr="0078163F" w:rsidRDefault="0078163F" w:rsidP="0078163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78163F">
              <w:rPr>
                <w:rFonts w:ascii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Придбання генератора для безперебійної роботи  підприємства у період аварійного відключення електроенергії.</w:t>
            </w:r>
          </w:p>
        </w:tc>
      </w:tr>
    </w:tbl>
    <w:p w14:paraId="076AFD4C" w14:textId="77777777" w:rsidR="002860DE" w:rsidRPr="00732065" w:rsidRDefault="002860DE" w:rsidP="0073206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84B7904" w14:textId="77777777" w:rsidR="00A35137" w:rsidRDefault="00A35137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6B349582" w14:textId="77777777" w:rsidR="00A35137" w:rsidRDefault="00A35137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71593B00" w14:textId="77777777" w:rsidR="00A35137" w:rsidRDefault="00A35137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3D13819D" w14:textId="77777777" w:rsidR="00A35137" w:rsidRDefault="00A35137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74ABC924" w14:textId="77777777" w:rsidR="00A35137" w:rsidRDefault="00A35137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11F2F35B" w14:textId="77777777" w:rsidR="00A35137" w:rsidRDefault="00A35137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2047CF4E" w14:textId="77777777" w:rsidR="00A35137" w:rsidRDefault="00A35137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5F72B549" w14:textId="77777777" w:rsidR="00A35137" w:rsidRDefault="00A35137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26B116FE" w14:textId="77777777" w:rsidR="00A35137" w:rsidRDefault="00A35137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2E84027C" w14:textId="0433AB44" w:rsidR="002860DE" w:rsidRPr="00732065" w:rsidRDefault="002860DE" w:rsidP="0073206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lang w:val="uk-UA"/>
        </w:rPr>
      </w:pPr>
      <w:r w:rsidRPr="00732065">
        <w:rPr>
          <w:rFonts w:ascii="Times New Roman" w:hAnsi="Times New Roman" w:cs="Times New Roman"/>
          <w:color w:val="000000"/>
          <w:sz w:val="20"/>
          <w:szCs w:val="20"/>
          <w:lang w:val="uk-UA" w:eastAsia="ru-RU"/>
        </w:rPr>
        <w:t>5. Аналіз виконання за видатками в цілому за програмою:</w:t>
      </w:r>
    </w:p>
    <w:p w14:paraId="19601987" w14:textId="77777777" w:rsidR="002860DE" w:rsidRPr="00732065" w:rsidRDefault="00732065" w:rsidP="00732065">
      <w:pPr>
        <w:pStyle w:val="21"/>
        <w:shd w:val="clear" w:color="auto" w:fill="FFFFFF"/>
        <w:spacing w:after="0" w:line="240" w:lineRule="auto"/>
        <w:rPr>
          <w:sz w:val="16"/>
          <w:szCs w:val="16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32065">
        <w:rPr>
          <w:color w:val="000000"/>
          <w:sz w:val="16"/>
          <w:szCs w:val="16"/>
          <w:lang w:eastAsia="ru-RU"/>
        </w:rPr>
        <w:t>тис. грн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471"/>
        <w:gridCol w:w="1813"/>
        <w:gridCol w:w="1362"/>
        <w:gridCol w:w="1875"/>
        <w:gridCol w:w="1700"/>
        <w:gridCol w:w="1475"/>
        <w:gridCol w:w="1475"/>
        <w:gridCol w:w="1413"/>
        <w:gridCol w:w="857"/>
      </w:tblGrid>
      <w:tr w:rsidR="002860DE" w:rsidRPr="00732065" w14:paraId="0F5C8E62" w14:textId="77777777" w:rsidTr="005C64DF">
        <w:trPr>
          <w:cantSplit/>
          <w:trHeight w:val="293"/>
        </w:trPr>
        <w:tc>
          <w:tcPr>
            <w:tcW w:w="4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C018A7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Бюджетні асигнування з урахуванням змін</w:t>
            </w:r>
          </w:p>
        </w:tc>
        <w:tc>
          <w:tcPr>
            <w:tcW w:w="4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27E7284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Проведені видатки</w:t>
            </w:r>
          </w:p>
        </w:tc>
        <w:tc>
          <w:tcPr>
            <w:tcW w:w="5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FC2678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Відхилення</w:t>
            </w:r>
          </w:p>
        </w:tc>
      </w:tr>
      <w:tr w:rsidR="002860DE" w:rsidRPr="00732065" w14:paraId="3BC23D3E" w14:textId="77777777" w:rsidTr="005C64DF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CCEEF56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9C096C0" w14:textId="77777777" w:rsidR="002860DE" w:rsidRPr="00732065" w:rsidRDefault="002860DE" w:rsidP="00732065">
            <w:pPr>
              <w:pStyle w:val="2"/>
              <w:numPr>
                <w:ilvl w:val="1"/>
                <w:numId w:val="2"/>
              </w:numPr>
              <w:snapToGrid w:val="0"/>
            </w:pPr>
            <w:r w:rsidRPr="00732065">
              <w:rPr>
                <w:b w:val="0"/>
                <w:color w:val="000000"/>
                <w:sz w:val="16"/>
                <w:szCs w:val="16"/>
              </w:rPr>
              <w:t>Загальний фонд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C641BCA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78AFEA2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A57560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Загальний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38D42AF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D44071E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5D1F80B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Загальний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3259849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Style w:val="gram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Спец</w:t>
            </w:r>
            <w:r w:rsidRPr="00732065">
              <w:rPr>
                <w:rStyle w:val="spelle"/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іальний </w:t>
            </w:r>
            <w:r w:rsidRPr="00732065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фонд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FFDA3" w14:textId="77777777" w:rsidR="002860DE" w:rsidRPr="00732065" w:rsidRDefault="002860DE" w:rsidP="0073206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065">
              <w:rPr>
                <w:rFonts w:ascii="Times New Roman" w:hAnsi="Times New Roman" w:cs="Times New Roman"/>
                <w:lang w:val="uk-UA"/>
              </w:rPr>
              <w:t>%</w:t>
            </w:r>
          </w:p>
        </w:tc>
      </w:tr>
      <w:tr w:rsidR="002860DE" w:rsidRPr="00732065" w14:paraId="2EC57321" w14:textId="77777777" w:rsidTr="005C64DF">
        <w:trPr>
          <w:cantSplit/>
          <w:trHeight w:val="293"/>
        </w:trPr>
        <w:tc>
          <w:tcPr>
            <w:tcW w:w="10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5B44413" w14:textId="49B6E6F8" w:rsidR="002860DE" w:rsidRPr="00900E2A" w:rsidRDefault="008879AD" w:rsidP="00900E2A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900E2A">
              <w:rPr>
                <w:sz w:val="20"/>
                <w:szCs w:val="20"/>
              </w:rPr>
              <w:t>6628</w:t>
            </w:r>
            <w:r w:rsidR="00900E2A" w:rsidRPr="00900E2A">
              <w:rPr>
                <w:sz w:val="20"/>
                <w:szCs w:val="20"/>
              </w:rPr>
              <w:t>,1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8F02ADA" w14:textId="77777777" w:rsidR="002860DE" w:rsidRPr="00900E2A" w:rsidRDefault="002860DE" w:rsidP="00900E2A">
            <w:pPr>
              <w:pStyle w:val="2"/>
              <w:numPr>
                <w:ilvl w:val="0"/>
                <w:numId w:val="0"/>
              </w:numPr>
              <w:shd w:val="clear" w:color="auto" w:fill="FFFFFF"/>
              <w:snapToGrid w:val="0"/>
              <w:rPr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  <w:lang w:val="ru-RU" w:eastAsia="en-US"/>
              </w:rPr>
            </w:pPr>
          </w:p>
          <w:p w14:paraId="0FA44A7F" w14:textId="51178F52" w:rsidR="008879AD" w:rsidRPr="00900E2A" w:rsidRDefault="008879AD" w:rsidP="00900E2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00E2A">
              <w:rPr>
                <w:sz w:val="20"/>
                <w:szCs w:val="20"/>
              </w:rPr>
              <w:t>6399</w:t>
            </w:r>
            <w:r w:rsidR="00900E2A" w:rsidRPr="00900E2A">
              <w:rPr>
                <w:sz w:val="20"/>
                <w:szCs w:val="20"/>
              </w:rPr>
              <w:t>,0</w:t>
            </w:r>
          </w:p>
        </w:tc>
        <w:tc>
          <w:tcPr>
            <w:tcW w:w="1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CCAA974" w14:textId="46D9A017" w:rsidR="002860DE" w:rsidRPr="00B0060D" w:rsidRDefault="008879AD" w:rsidP="00B006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60D">
              <w:rPr>
                <w:sz w:val="20"/>
                <w:szCs w:val="20"/>
              </w:rPr>
              <w:t>229</w:t>
            </w:r>
            <w:r w:rsidR="00B0060D" w:rsidRPr="00B0060D">
              <w:rPr>
                <w:sz w:val="20"/>
                <w:szCs w:val="20"/>
              </w:rPr>
              <w:t>,1</w:t>
            </w:r>
          </w:p>
        </w:tc>
        <w:tc>
          <w:tcPr>
            <w:tcW w:w="13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5D38D45" w14:textId="7862F473" w:rsidR="002860DE" w:rsidRPr="00B0060D" w:rsidRDefault="008879AD" w:rsidP="00B006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60D">
              <w:rPr>
                <w:sz w:val="20"/>
                <w:szCs w:val="20"/>
              </w:rPr>
              <w:t>618</w:t>
            </w:r>
            <w:r w:rsidR="00B0060D" w:rsidRPr="00B0060D">
              <w:rPr>
                <w:sz w:val="20"/>
                <w:szCs w:val="20"/>
              </w:rPr>
              <w:t>2,0</w:t>
            </w:r>
          </w:p>
        </w:tc>
        <w:tc>
          <w:tcPr>
            <w:tcW w:w="1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FDF90DE" w14:textId="0C73B562" w:rsidR="002860DE" w:rsidRPr="00B0060D" w:rsidRDefault="008879AD" w:rsidP="00B006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60D">
              <w:rPr>
                <w:sz w:val="20"/>
                <w:szCs w:val="20"/>
              </w:rPr>
              <w:t>5962</w:t>
            </w:r>
            <w:r w:rsidR="00B0060D" w:rsidRPr="00B0060D">
              <w:rPr>
                <w:sz w:val="20"/>
                <w:szCs w:val="20"/>
              </w:rPr>
              <w:t>,2</w:t>
            </w: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C577C7" w14:textId="2FDC5BFA" w:rsidR="002860DE" w:rsidRPr="00B0060D" w:rsidRDefault="008879AD" w:rsidP="00B006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60D">
              <w:rPr>
                <w:sz w:val="20"/>
                <w:szCs w:val="20"/>
              </w:rPr>
              <w:t>219</w:t>
            </w:r>
            <w:r w:rsidR="00B0060D" w:rsidRPr="00B0060D">
              <w:rPr>
                <w:sz w:val="20"/>
                <w:szCs w:val="20"/>
              </w:rPr>
              <w:t>,8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890F30D" w14:textId="0A9D39CB" w:rsidR="002860DE" w:rsidRPr="00B0060D" w:rsidRDefault="008879AD" w:rsidP="00B006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60D">
              <w:rPr>
                <w:sz w:val="20"/>
                <w:szCs w:val="20"/>
              </w:rPr>
              <w:t>-446</w:t>
            </w:r>
            <w:r w:rsidR="00B0060D" w:rsidRPr="00B0060D">
              <w:rPr>
                <w:sz w:val="20"/>
                <w:szCs w:val="20"/>
              </w:rPr>
              <w:t>,1</w:t>
            </w:r>
          </w:p>
        </w:tc>
        <w:tc>
          <w:tcPr>
            <w:tcW w:w="14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BC8E076" w14:textId="02955FA0" w:rsidR="002860DE" w:rsidRPr="00B0060D" w:rsidRDefault="008879AD" w:rsidP="00B006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60D">
              <w:rPr>
                <w:sz w:val="20"/>
                <w:szCs w:val="20"/>
              </w:rPr>
              <w:t>-436</w:t>
            </w:r>
            <w:r w:rsidR="00B0060D" w:rsidRPr="00B0060D">
              <w:rPr>
                <w:sz w:val="20"/>
                <w:szCs w:val="20"/>
              </w:rPr>
              <w:t>,8</w:t>
            </w:r>
          </w:p>
        </w:tc>
        <w:tc>
          <w:tcPr>
            <w:tcW w:w="14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457E530" w14:textId="49BE2649" w:rsidR="002860DE" w:rsidRPr="00B0060D" w:rsidRDefault="008879AD" w:rsidP="00B006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60D">
              <w:rPr>
                <w:sz w:val="20"/>
                <w:szCs w:val="20"/>
              </w:rPr>
              <w:t>-9</w:t>
            </w:r>
            <w:r w:rsidR="00B0060D" w:rsidRPr="00B0060D">
              <w:rPr>
                <w:sz w:val="20"/>
                <w:szCs w:val="20"/>
              </w:rPr>
              <w:t>,3</w:t>
            </w:r>
          </w:p>
        </w:tc>
        <w:tc>
          <w:tcPr>
            <w:tcW w:w="8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39D83" w14:textId="77777777" w:rsidR="00B0060D" w:rsidRPr="00B0060D" w:rsidRDefault="00B0060D" w:rsidP="00B006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6D1DFE7" w14:textId="7DF3A4BB" w:rsidR="002860DE" w:rsidRPr="00B0060D" w:rsidRDefault="008879AD" w:rsidP="00B006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060D">
              <w:rPr>
                <w:sz w:val="20"/>
                <w:szCs w:val="20"/>
              </w:rPr>
              <w:t>93,27</w:t>
            </w:r>
          </w:p>
          <w:p w14:paraId="5B001F81" w14:textId="3CAD1380" w:rsidR="008879AD" w:rsidRPr="00B0060D" w:rsidRDefault="008879AD" w:rsidP="00B0060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7DE759A" w14:textId="77777777" w:rsidR="00733897" w:rsidRDefault="00733897" w:rsidP="00D13F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14:paraId="26844AE9" w14:textId="44311B7A" w:rsidR="00B0060D" w:rsidRDefault="00B0060D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F7FD73" w14:textId="06C2EE5C" w:rsidR="00900E2A" w:rsidRDefault="00900E2A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3F0121" w14:textId="2F1B5AA8" w:rsidR="00900E2A" w:rsidRDefault="00900E2A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71A8B0" w14:textId="77777777" w:rsidR="00900E2A" w:rsidRDefault="00900E2A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8848F6" w14:textId="77777777" w:rsidR="00B0060D" w:rsidRDefault="00B0060D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C698E4" w14:textId="77777777" w:rsidR="00E23C7F" w:rsidRDefault="00E23C7F" w:rsidP="00E23C7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бухобліку                                                                      Оксана БОНЄВА</w:t>
      </w:r>
    </w:p>
    <w:p w14:paraId="02C45D4E" w14:textId="7A1AD850" w:rsidR="00900E2A" w:rsidRDefault="005E287B" w:rsidP="005E28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14:paraId="1B396619" w14:textId="65106F37" w:rsidR="00900E2A" w:rsidRDefault="00900E2A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5D71F8" w14:textId="2ECFEEB5" w:rsidR="00900E2A" w:rsidRDefault="00900E2A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FD0DF7" w14:textId="255A4AED" w:rsidR="00900E2A" w:rsidRDefault="00900E2A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691F4F" w14:textId="22B36148" w:rsidR="00900E2A" w:rsidRDefault="00900E2A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7D0616" w14:textId="2633AFF6" w:rsidR="00900E2A" w:rsidRDefault="00900E2A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B2A64C" w14:textId="7EDF6680" w:rsidR="00900E2A" w:rsidRDefault="00900E2A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954E6" w14:textId="5E0E8B5F" w:rsidR="00900E2A" w:rsidRDefault="00900E2A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529320" w14:textId="0073303F" w:rsidR="00900E2A" w:rsidRPr="00900E2A" w:rsidRDefault="00900E2A" w:rsidP="00D13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900E2A" w:rsidRPr="00900E2A" w:rsidSect="00956B22">
          <w:pgSz w:w="16838" w:h="11906" w:orient="landscape"/>
          <w:pgMar w:top="567" w:right="851" w:bottom="1701" w:left="851" w:header="567" w:footer="567" w:gutter="0"/>
          <w:cols w:space="708"/>
          <w:docGrid w:linePitch="360"/>
        </w:sectPr>
      </w:pPr>
    </w:p>
    <w:p w14:paraId="0E3C64C9" w14:textId="67881269" w:rsidR="00733897" w:rsidRPr="00D13F20" w:rsidRDefault="00733897" w:rsidP="00956B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sectPr w:rsidR="00733897" w:rsidRPr="00D13F20" w:rsidSect="0073389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455D" w14:textId="77777777" w:rsidR="003D2BAF" w:rsidRDefault="003D2BAF">
      <w:pPr>
        <w:spacing w:after="0" w:line="240" w:lineRule="auto"/>
      </w:pPr>
      <w:r>
        <w:separator/>
      </w:r>
    </w:p>
  </w:endnote>
  <w:endnote w:type="continuationSeparator" w:id="0">
    <w:p w14:paraId="048D128D" w14:textId="77777777" w:rsidR="003D2BAF" w:rsidRDefault="003D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1554" w14:textId="77777777" w:rsidR="003D2BAF" w:rsidRDefault="003D2BAF">
      <w:pPr>
        <w:spacing w:after="0" w:line="240" w:lineRule="auto"/>
      </w:pPr>
      <w:r>
        <w:separator/>
      </w:r>
    </w:p>
  </w:footnote>
  <w:footnote w:type="continuationSeparator" w:id="0">
    <w:p w14:paraId="7F3737EA" w14:textId="77777777" w:rsidR="003D2BAF" w:rsidRDefault="003D2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36"/>
    <w:rsid w:val="0002257D"/>
    <w:rsid w:val="000553C2"/>
    <w:rsid w:val="00061AD2"/>
    <w:rsid w:val="00061EAF"/>
    <w:rsid w:val="00066186"/>
    <w:rsid w:val="00067A73"/>
    <w:rsid w:val="00112F8B"/>
    <w:rsid w:val="00121CE3"/>
    <w:rsid w:val="00123341"/>
    <w:rsid w:val="00165369"/>
    <w:rsid w:val="00196A7E"/>
    <w:rsid w:val="001B618A"/>
    <w:rsid w:val="001E01DC"/>
    <w:rsid w:val="001F2078"/>
    <w:rsid w:val="0028570D"/>
    <w:rsid w:val="002860DE"/>
    <w:rsid w:val="002A74F7"/>
    <w:rsid w:val="002B3921"/>
    <w:rsid w:val="002D778F"/>
    <w:rsid w:val="002E3418"/>
    <w:rsid w:val="00315F94"/>
    <w:rsid w:val="00343A1F"/>
    <w:rsid w:val="00356C47"/>
    <w:rsid w:val="003A2B8F"/>
    <w:rsid w:val="003D2BAF"/>
    <w:rsid w:val="00401866"/>
    <w:rsid w:val="00441EB5"/>
    <w:rsid w:val="004833E7"/>
    <w:rsid w:val="004A71BB"/>
    <w:rsid w:val="004B0169"/>
    <w:rsid w:val="004B472D"/>
    <w:rsid w:val="004C64FD"/>
    <w:rsid w:val="004F65C5"/>
    <w:rsid w:val="0051189E"/>
    <w:rsid w:val="00525EBF"/>
    <w:rsid w:val="00532965"/>
    <w:rsid w:val="00555E42"/>
    <w:rsid w:val="0058125C"/>
    <w:rsid w:val="005C1584"/>
    <w:rsid w:val="005E287B"/>
    <w:rsid w:val="005E6DE4"/>
    <w:rsid w:val="00625FA4"/>
    <w:rsid w:val="006C0A66"/>
    <w:rsid w:val="00732065"/>
    <w:rsid w:val="00733727"/>
    <w:rsid w:val="00733897"/>
    <w:rsid w:val="00740097"/>
    <w:rsid w:val="00756D57"/>
    <w:rsid w:val="0078163F"/>
    <w:rsid w:val="00786E27"/>
    <w:rsid w:val="007B300D"/>
    <w:rsid w:val="007B3326"/>
    <w:rsid w:val="00824489"/>
    <w:rsid w:val="00841B75"/>
    <w:rsid w:val="00871D81"/>
    <w:rsid w:val="008879AD"/>
    <w:rsid w:val="0089404F"/>
    <w:rsid w:val="008D55A6"/>
    <w:rsid w:val="008D72DA"/>
    <w:rsid w:val="008E61F6"/>
    <w:rsid w:val="00900E2A"/>
    <w:rsid w:val="0090379F"/>
    <w:rsid w:val="00944FEA"/>
    <w:rsid w:val="009478EE"/>
    <w:rsid w:val="00950E0A"/>
    <w:rsid w:val="009525E7"/>
    <w:rsid w:val="00956B22"/>
    <w:rsid w:val="00970E01"/>
    <w:rsid w:val="0097131B"/>
    <w:rsid w:val="00996FBF"/>
    <w:rsid w:val="009B2267"/>
    <w:rsid w:val="009B3603"/>
    <w:rsid w:val="00A11C93"/>
    <w:rsid w:val="00A35137"/>
    <w:rsid w:val="00A66FBA"/>
    <w:rsid w:val="00A81B83"/>
    <w:rsid w:val="00A9136A"/>
    <w:rsid w:val="00B0060D"/>
    <w:rsid w:val="00B02F08"/>
    <w:rsid w:val="00B05920"/>
    <w:rsid w:val="00B1698D"/>
    <w:rsid w:val="00B408D3"/>
    <w:rsid w:val="00BA25B4"/>
    <w:rsid w:val="00BA5453"/>
    <w:rsid w:val="00BC3241"/>
    <w:rsid w:val="00BF3964"/>
    <w:rsid w:val="00C01224"/>
    <w:rsid w:val="00C36401"/>
    <w:rsid w:val="00C541C9"/>
    <w:rsid w:val="00C65226"/>
    <w:rsid w:val="00C65A87"/>
    <w:rsid w:val="00C80625"/>
    <w:rsid w:val="00C97EE6"/>
    <w:rsid w:val="00CA04BF"/>
    <w:rsid w:val="00CC5DAC"/>
    <w:rsid w:val="00CC6FC1"/>
    <w:rsid w:val="00CC7EF3"/>
    <w:rsid w:val="00CE1263"/>
    <w:rsid w:val="00CE645E"/>
    <w:rsid w:val="00D13F20"/>
    <w:rsid w:val="00D8014C"/>
    <w:rsid w:val="00D93599"/>
    <w:rsid w:val="00DA213D"/>
    <w:rsid w:val="00DB08AB"/>
    <w:rsid w:val="00DB2913"/>
    <w:rsid w:val="00DB5308"/>
    <w:rsid w:val="00E23C7F"/>
    <w:rsid w:val="00E433D3"/>
    <w:rsid w:val="00E51636"/>
    <w:rsid w:val="00E72737"/>
    <w:rsid w:val="00E73F47"/>
    <w:rsid w:val="00E74298"/>
    <w:rsid w:val="00E74B67"/>
    <w:rsid w:val="00E84845"/>
    <w:rsid w:val="00E92EE4"/>
    <w:rsid w:val="00EA47B7"/>
    <w:rsid w:val="00EC349D"/>
    <w:rsid w:val="00F27D1E"/>
    <w:rsid w:val="00F725D1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28E8"/>
  <w15:docId w15:val="{88C81421-C6F1-41A0-ACED-FEB33C63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B2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A8B8A-F2C7-4D6C-AD13-1C61892B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214-Buh</cp:lastModifiedBy>
  <cp:revision>20</cp:revision>
  <cp:lastPrinted>2023-04-28T06:59:00Z</cp:lastPrinted>
  <dcterms:created xsi:type="dcterms:W3CDTF">2023-04-24T07:42:00Z</dcterms:created>
  <dcterms:modified xsi:type="dcterms:W3CDTF">2023-04-28T06:59:00Z</dcterms:modified>
</cp:coreProperties>
</file>