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60F5" w14:textId="77777777" w:rsidR="00847810" w:rsidRPr="008E02D7" w:rsidRDefault="00847810" w:rsidP="008478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                                                                                        </w:t>
      </w:r>
      <w:r w:rsidRPr="001E5B14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 </w:t>
      </w:r>
      <w:r w:rsidRPr="0082585F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Pr="008E02D7">
        <w:rPr>
          <w:rFonts w:ascii="Times New Roman" w:eastAsia="Times New Roman" w:hAnsi="Times New Roman"/>
          <w:sz w:val="24"/>
          <w:szCs w:val="24"/>
          <w:lang w:eastAsia="uk-UA"/>
        </w:rPr>
        <w:t xml:space="preserve">Додаток </w:t>
      </w:r>
      <w:r w:rsidRPr="008E02D7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2585F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                                                                                           </w:t>
      </w:r>
      <w:r w:rsidRPr="008E02D7">
        <w:rPr>
          <w:rFonts w:ascii="Times New Roman" w:eastAsia="Times New Roman" w:hAnsi="Times New Roman"/>
          <w:sz w:val="24"/>
          <w:szCs w:val="24"/>
          <w:lang w:eastAsia="uk-UA"/>
        </w:rPr>
        <w:t>до рішення Чорноморської міської ради</w:t>
      </w:r>
    </w:p>
    <w:p w14:paraId="37E86F1F" w14:textId="554715D4" w:rsidR="00847810" w:rsidRPr="00AD6D7A" w:rsidRDefault="00847810" w:rsidP="008478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4D636A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в</w:t>
      </w:r>
      <w:r w:rsidRPr="008E02D7">
        <w:rPr>
          <w:rFonts w:ascii="Times New Roman" w:eastAsia="Times New Roman" w:hAnsi="Times New Roman"/>
          <w:sz w:val="24"/>
          <w:szCs w:val="24"/>
          <w:lang w:eastAsia="uk-UA"/>
        </w:rPr>
        <w:t>ід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F56424">
        <w:rPr>
          <w:rFonts w:ascii="Times New Roman" w:eastAsia="Times New Roman" w:hAnsi="Times New Roman"/>
          <w:sz w:val="24"/>
          <w:szCs w:val="24"/>
          <w:lang w:eastAsia="uk-UA"/>
        </w:rPr>
        <w:t>26.07.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2024 № </w:t>
      </w:r>
      <w:r w:rsidR="00F56424">
        <w:rPr>
          <w:rFonts w:ascii="Times New Roman" w:eastAsia="Times New Roman" w:hAnsi="Times New Roman"/>
          <w:sz w:val="24"/>
          <w:szCs w:val="24"/>
          <w:lang w:eastAsia="uk-UA"/>
        </w:rPr>
        <w:t>639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uk-UA"/>
        </w:rPr>
        <w:t>VIII</w:t>
      </w:r>
      <w:r w:rsidRPr="00AD6D7A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14:paraId="6AFBC31D" w14:textId="77777777" w:rsidR="00847810" w:rsidRDefault="00847810" w:rsidP="008478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7791AFB" w14:textId="77777777" w:rsidR="00847810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ЗМІНИ</w:t>
      </w:r>
    </w:p>
    <w:p w14:paraId="5C0CFB4E" w14:textId="77777777" w:rsidR="00847810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до Міської програми </w:t>
      </w:r>
      <w:r w:rsidRPr="008E02D7">
        <w:rPr>
          <w:rFonts w:ascii="Times New Roman" w:eastAsia="Times New Roman" w:hAnsi="Times New Roman"/>
          <w:b/>
          <w:sz w:val="24"/>
          <w:szCs w:val="24"/>
          <w:lang w:eastAsia="uk-UA"/>
        </w:rPr>
        <w:br/>
      </w:r>
      <w:r w:rsidRPr="00D20D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співфінансування заходів, направлених на доведення багатоквартирних житлових будинків 13-го мікрорайону м. Чорноморська до стану, придатного для проживання, </w:t>
      </w:r>
    </w:p>
    <w:p w14:paraId="7911BD4B" w14:textId="77777777" w:rsidR="00847810" w:rsidRPr="00573D7B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0D15">
        <w:rPr>
          <w:rFonts w:ascii="Times New Roman" w:eastAsia="Times New Roman" w:hAnsi="Times New Roman"/>
          <w:b/>
          <w:sz w:val="24"/>
          <w:szCs w:val="24"/>
          <w:lang w:eastAsia="ru-RU"/>
        </w:rPr>
        <w:t>на 2021-202</w:t>
      </w:r>
      <w:r w:rsidRPr="00573D7B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D20D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573D7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>затвердженої рішенням Чорноморської міської ради Одеського району Одеської області від 12.04.2021 № 55-</w:t>
      </w:r>
      <w:r w:rsidRPr="00573D7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val="en-US"/>
        </w:rPr>
        <w:t>VIII</w:t>
      </w:r>
      <w:r w:rsidRPr="00573D7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 xml:space="preserve"> (зі змінами)</w:t>
      </w: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 xml:space="preserve"> (далі-Програма)</w:t>
      </w:r>
    </w:p>
    <w:p w14:paraId="3897DDE8" w14:textId="77777777" w:rsidR="00847810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528EA45" w14:textId="77777777" w:rsidR="00847810" w:rsidRP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847810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1. Розділ другий Програми викласти в новій редакції: </w:t>
      </w:r>
    </w:p>
    <w:p w14:paraId="7DB01C80" w14:textId="77777777" w:rsidR="00847810" w:rsidRPr="00847810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847810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«2. Аналіз проблеми</w:t>
      </w:r>
    </w:p>
    <w:p w14:paraId="6842469F" w14:textId="2CCC3048" w:rsidR="00847810" w:rsidRPr="00847810" w:rsidRDefault="00847810" w:rsidP="00847810">
      <w:pPr>
        <w:pStyle w:val="a5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847810">
        <w:rPr>
          <w:shd w:val="clear" w:color="auto" w:fill="FFFFFF"/>
          <w:lang w:val="uk-UA"/>
        </w:rPr>
        <w:t>Багатоквартирні житлові будинки, що розташовані на території 13-го мікрорайону              м. Чорноморська</w:t>
      </w:r>
      <w:r w:rsidR="006C2A45">
        <w:rPr>
          <w:shd w:val="clear" w:color="auto" w:fill="FFFFFF"/>
          <w:lang w:val="uk-UA"/>
        </w:rPr>
        <w:t xml:space="preserve"> і</w:t>
      </w:r>
      <w:r w:rsidRPr="00847810">
        <w:rPr>
          <w:shd w:val="clear" w:color="auto" w:fill="FFFFFF"/>
          <w:lang w:val="uk-UA"/>
        </w:rPr>
        <w:t xml:space="preserve"> споруджувалися із залученням коштів фізичних осіб, є введеними в експлуатацію, але знаходяться у стані, не придатному для безпечного проживання, не відповідають державним будівельним нормам, правилам та стандартам, санітарним та технічним вимогам щодо житлових будинків, приміщень. </w:t>
      </w:r>
    </w:p>
    <w:p w14:paraId="519C1FCC" w14:textId="74E31F78" w:rsidR="00847810" w:rsidRPr="00847810" w:rsidRDefault="00847810" w:rsidP="00847810">
      <w:pPr>
        <w:pStyle w:val="a5"/>
        <w:spacing w:before="0" w:beforeAutospacing="0" w:after="0" w:afterAutospacing="0"/>
        <w:ind w:firstLine="567"/>
        <w:jc w:val="both"/>
        <w:rPr>
          <w:lang w:val="uk-UA" w:eastAsia="uk-UA"/>
        </w:rPr>
      </w:pPr>
      <w:r>
        <w:rPr>
          <w:shd w:val="clear" w:color="auto" w:fill="FFFFFF"/>
          <w:lang w:val="uk-UA"/>
        </w:rPr>
        <w:t xml:space="preserve">У </w:t>
      </w:r>
      <w:r w:rsidRPr="00847810">
        <w:rPr>
          <w:shd w:val="clear" w:color="auto" w:fill="FFFFFF"/>
          <w:lang w:val="uk-UA"/>
        </w:rPr>
        <w:t xml:space="preserve"> вказаних багатоквартирних житлових будинках відсутні або частково відсутні мережі електро-, тепло-, водопостачання та водовідведення, інженерне обладнання, не проведе</w:t>
      </w:r>
      <w:r>
        <w:rPr>
          <w:shd w:val="clear" w:color="auto" w:fill="FFFFFF"/>
          <w:lang w:val="uk-UA"/>
        </w:rPr>
        <w:t>ні</w:t>
      </w:r>
      <w:r w:rsidRPr="00847810">
        <w:rPr>
          <w:shd w:val="clear" w:color="auto" w:fill="FFFFFF"/>
          <w:lang w:val="uk-UA"/>
        </w:rPr>
        <w:t xml:space="preserve"> роботи з благоустрою, не дотримано вимог пожежної безпеки</w:t>
      </w:r>
      <w:r w:rsidR="00EC1FE0">
        <w:rPr>
          <w:shd w:val="clear" w:color="auto" w:fill="FFFFFF"/>
          <w:lang w:val="uk-UA"/>
        </w:rPr>
        <w:t>.</w:t>
      </w:r>
      <w:r w:rsidRPr="00847810">
        <w:rPr>
          <w:shd w:val="clear" w:color="auto" w:fill="FFFFFF"/>
          <w:lang w:val="uk-UA"/>
        </w:rPr>
        <w:t xml:space="preserve"> </w:t>
      </w:r>
      <w:r w:rsidR="00EC1FE0">
        <w:rPr>
          <w:shd w:val="clear" w:color="auto" w:fill="FFFFFF"/>
          <w:lang w:val="uk-UA"/>
        </w:rPr>
        <w:t>Б</w:t>
      </w:r>
      <w:r w:rsidRPr="00847810">
        <w:rPr>
          <w:shd w:val="clear" w:color="auto" w:fill="FFFFFF"/>
          <w:lang w:val="uk-UA"/>
        </w:rPr>
        <w:t>удівел</w:t>
      </w:r>
      <w:r>
        <w:rPr>
          <w:shd w:val="clear" w:color="auto" w:fill="FFFFFF"/>
          <w:lang w:val="uk-UA"/>
        </w:rPr>
        <w:t>ьні роботи частково не закінчені</w:t>
      </w:r>
      <w:r w:rsidRPr="00847810">
        <w:rPr>
          <w:shd w:val="clear" w:color="auto" w:fill="FFFFFF"/>
          <w:lang w:val="uk-UA"/>
        </w:rPr>
        <w:t>, що створює реальну та невідворотну загрозу життю та здоров’ю людей, унеможливлює належну та безпечну експлуатацію такого житла, його обслуговування та утримання</w:t>
      </w:r>
      <w:r w:rsidR="00EC1FE0">
        <w:rPr>
          <w:shd w:val="clear" w:color="auto" w:fill="FFFFFF"/>
          <w:lang w:val="uk-UA"/>
        </w:rPr>
        <w:t>.</w:t>
      </w:r>
      <w:r w:rsidRPr="00847810">
        <w:rPr>
          <w:shd w:val="clear" w:color="auto" w:fill="FFFFFF"/>
          <w:lang w:val="uk-UA"/>
        </w:rPr>
        <w:t xml:space="preserve">  </w:t>
      </w:r>
      <w:r w:rsidR="00EC1FE0">
        <w:rPr>
          <w:shd w:val="clear" w:color="auto" w:fill="FFFFFF"/>
          <w:lang w:val="uk-UA"/>
        </w:rPr>
        <w:t>О</w:t>
      </w:r>
      <w:r w:rsidRPr="00847810">
        <w:rPr>
          <w:shd w:val="clear" w:color="auto" w:fill="FFFFFF"/>
          <w:lang w:val="uk-UA"/>
        </w:rPr>
        <w:t>бся</w:t>
      </w:r>
      <w:r w:rsidRPr="00847810">
        <w:rPr>
          <w:lang w:val="uk-UA" w:eastAsia="uk-UA"/>
        </w:rPr>
        <w:t>г робіт, які необхідно провести задля доведення будинку до стану, придатного та безпечного для проживання, потребує значних матеріальних ресурсів.</w:t>
      </w:r>
    </w:p>
    <w:p w14:paraId="6D7CAD5F" w14:textId="2C989C49" w:rsidR="00847810" w:rsidRPr="00847810" w:rsidRDefault="00EC1FE0" w:rsidP="00EC1F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Потреба у залученні значного обсягу фінансових ресурсів, </w:t>
      </w: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>необхідних для проведення вищезазначених заходів,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є проблемою, яку </w:t>
      </w: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 xml:space="preserve">мешканці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цих</w:t>
      </w: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 xml:space="preserve"> будинків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не можуть вирішати самостійно, а тому </w:t>
      </w:r>
      <w:r w:rsidR="00847810" w:rsidRPr="00847810">
        <w:rPr>
          <w:rFonts w:ascii="Times New Roman" w:eastAsia="Times New Roman" w:hAnsi="Times New Roman"/>
          <w:sz w:val="24"/>
          <w:szCs w:val="24"/>
          <w:lang w:eastAsia="uk-UA"/>
        </w:rPr>
        <w:t xml:space="preserve">вимушені проживати в небезпечних та несприятливих умовах. Утворені об’єднання співвласників багатоквартирних будинків позбавлені можливості </w:t>
      </w:r>
      <w:r w:rsidR="00627B36" w:rsidRPr="00847810">
        <w:rPr>
          <w:rFonts w:ascii="Times New Roman" w:eastAsia="Times New Roman" w:hAnsi="Times New Roman"/>
          <w:sz w:val="24"/>
          <w:szCs w:val="24"/>
          <w:lang w:eastAsia="uk-UA"/>
        </w:rPr>
        <w:t xml:space="preserve">в повній мірі </w:t>
      </w:r>
      <w:r w:rsidR="00847810" w:rsidRPr="00847810">
        <w:rPr>
          <w:rFonts w:ascii="Times New Roman" w:eastAsia="Times New Roman" w:hAnsi="Times New Roman"/>
          <w:sz w:val="24"/>
          <w:szCs w:val="24"/>
          <w:lang w:eastAsia="uk-UA"/>
        </w:rPr>
        <w:t>забезпечити умови належного утримання, обслуговування та безпечну експлуатацію таких багатоквартирних будинків.</w:t>
      </w:r>
    </w:p>
    <w:p w14:paraId="2A4B7FB2" w14:textId="490A63FC" w:rsidR="000D0603" w:rsidRDefault="000D0603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Головними проблемами будинків є: </w:t>
      </w:r>
    </w:p>
    <w:p w14:paraId="2EAAA758" w14:textId="125EE1D7" w:rsidR="000D0603" w:rsidRPr="000D0603" w:rsidRDefault="000D0603" w:rsidP="0046368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D0603">
        <w:rPr>
          <w:rFonts w:ascii="Times New Roman" w:eastAsia="Times New Roman" w:hAnsi="Times New Roman"/>
          <w:sz w:val="24"/>
          <w:szCs w:val="24"/>
          <w:lang w:eastAsia="uk-UA"/>
        </w:rPr>
        <w:t>відсутність електропостачання, що зумовлює у свою чергу  відсутність води та опалення;</w:t>
      </w:r>
    </w:p>
    <w:p w14:paraId="5D0AB697" w14:textId="076B65E9" w:rsidR="000D0603" w:rsidRDefault="000D0603" w:rsidP="0046368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D0603">
        <w:rPr>
          <w:rFonts w:ascii="Times New Roman" w:eastAsia="Times New Roman" w:hAnsi="Times New Roman"/>
          <w:sz w:val="24"/>
          <w:szCs w:val="24"/>
          <w:lang w:eastAsia="uk-UA"/>
        </w:rPr>
        <w:t xml:space="preserve">відсутність ліфтового обладнання, що унеможливлює експлуатацію квартир більшістю власниками, а також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в</w:t>
      </w:r>
      <w:r w:rsidRPr="000D0603">
        <w:rPr>
          <w:rFonts w:ascii="Times New Roman" w:eastAsia="Times New Roman" w:hAnsi="Times New Roman"/>
          <w:sz w:val="24"/>
          <w:szCs w:val="24"/>
          <w:lang w:eastAsia="uk-UA"/>
        </w:rPr>
        <w:t xml:space="preserve">ідкриті шахти ліфтів становлять загрозу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їх </w:t>
      </w:r>
      <w:r w:rsidRPr="000D0603">
        <w:rPr>
          <w:rFonts w:ascii="Times New Roman" w:eastAsia="Times New Roman" w:hAnsi="Times New Roman"/>
          <w:sz w:val="24"/>
          <w:szCs w:val="24"/>
          <w:lang w:eastAsia="uk-UA"/>
        </w:rPr>
        <w:t>життю</w:t>
      </w:r>
      <w:r w:rsidR="00463688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68A265D1" w14:textId="72FCE951" w:rsidR="00463688" w:rsidRPr="00463688" w:rsidRDefault="00463688" w:rsidP="004636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63688">
        <w:rPr>
          <w:rFonts w:ascii="Times New Roman" w:eastAsia="Times New Roman" w:hAnsi="Times New Roman"/>
          <w:sz w:val="24"/>
          <w:szCs w:val="24"/>
          <w:lang w:eastAsia="uk-UA"/>
        </w:rPr>
        <w:t xml:space="preserve">Зазначені вище чинники призводять до несплати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власниками квартир </w:t>
      </w:r>
      <w:r w:rsidRPr="00463688">
        <w:rPr>
          <w:rFonts w:ascii="Times New Roman" w:eastAsia="Times New Roman" w:hAnsi="Times New Roman"/>
          <w:sz w:val="24"/>
          <w:szCs w:val="24"/>
          <w:lang w:eastAsia="uk-UA"/>
        </w:rPr>
        <w:t>витрат на опалення та утримання таких багатоквартирних будинків</w:t>
      </w:r>
      <w:r w:rsidR="00A5292A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</w:p>
    <w:p w14:paraId="7C9AE720" w14:textId="1887305C" w:rsidR="004A70FA" w:rsidRPr="002D33C5" w:rsidRDefault="004A70FA" w:rsidP="004A7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33C5">
        <w:rPr>
          <w:rFonts w:ascii="TimesNewRomanPSMT" w:hAnsi="TimesNewRomanPSMT" w:cs="TimesNewRomanPSMT"/>
          <w:sz w:val="24"/>
          <w:szCs w:val="24"/>
          <w:lang w:eastAsia="ru-RU"/>
        </w:rPr>
        <w:t xml:space="preserve">Крім того,  склалась проблемна ситуація із заселенням 54 квартир у житловому будинку № </w:t>
      </w:r>
      <w:r w:rsidR="00E2139D">
        <w:rPr>
          <w:rFonts w:ascii="TimesNewRomanPSMT" w:hAnsi="TimesNewRomanPSMT" w:cs="TimesNewRomanPSMT"/>
          <w:sz w:val="24"/>
          <w:szCs w:val="24"/>
          <w:lang w:eastAsia="ru-RU"/>
        </w:rPr>
        <w:t>__</w:t>
      </w:r>
      <w:r w:rsidRPr="002D33C5">
        <w:rPr>
          <w:rFonts w:ascii="TimesNewRomanPSMT" w:hAnsi="TimesNewRomanPSMT" w:cs="TimesNewRomanPSMT"/>
          <w:sz w:val="24"/>
          <w:szCs w:val="24"/>
          <w:lang w:eastAsia="ru-RU"/>
        </w:rPr>
        <w:t xml:space="preserve">, вул. </w:t>
      </w:r>
      <w:r w:rsidR="00E2139D">
        <w:rPr>
          <w:rFonts w:ascii="TimesNewRomanPSMT" w:hAnsi="TimesNewRomanPSMT" w:cs="TimesNewRomanPSMT"/>
          <w:sz w:val="24"/>
          <w:szCs w:val="24"/>
          <w:lang w:eastAsia="ru-RU"/>
        </w:rPr>
        <w:t>__</w:t>
      </w:r>
      <w:r w:rsidRPr="002D33C5">
        <w:rPr>
          <w:rFonts w:ascii="TimesNewRomanPSMT" w:hAnsi="TimesNewRomanPSMT" w:cs="TimesNewRomanPSMT"/>
          <w:sz w:val="24"/>
          <w:szCs w:val="24"/>
          <w:lang w:eastAsia="ru-RU"/>
        </w:rPr>
        <w:t xml:space="preserve"> у місті Чорноморськ Одеської області. </w:t>
      </w:r>
    </w:p>
    <w:p w14:paraId="5DA1B421" w14:textId="70F771DC" w:rsidR="004A70FA" w:rsidRPr="002D33C5" w:rsidRDefault="004A70FA" w:rsidP="002D3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3C5">
        <w:rPr>
          <w:rFonts w:ascii="TimesNewRomanPSMT" w:hAnsi="TimesNewRomanPSMT" w:cs="TimesNewRomanPSMT"/>
          <w:sz w:val="24"/>
          <w:szCs w:val="24"/>
          <w:lang w:eastAsia="ru-RU"/>
        </w:rPr>
        <w:t xml:space="preserve">Зазначені квартири придбані Міністерством оборони України (далі – Міноборони)  у 2015 році на умовах пайової участі. У 2016 році за Міноборони зареєстровано право власності на ці квартири. </w:t>
      </w:r>
      <w:r w:rsidR="002D33C5" w:rsidRPr="00847810">
        <w:rPr>
          <w:rFonts w:ascii="Times New Roman" w:hAnsi="Times New Roman"/>
          <w:sz w:val="24"/>
          <w:szCs w:val="24"/>
          <w:lang w:eastAsia="ru-RU"/>
        </w:rPr>
        <w:t xml:space="preserve">Проте, </w:t>
      </w:r>
      <w:r w:rsidR="002D33C5">
        <w:rPr>
          <w:rFonts w:ascii="Times New Roman" w:hAnsi="Times New Roman"/>
          <w:sz w:val="24"/>
          <w:szCs w:val="24"/>
          <w:lang w:eastAsia="ru-RU"/>
        </w:rPr>
        <w:t>через</w:t>
      </w:r>
      <w:r w:rsidR="002D33C5" w:rsidRPr="00F564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33C5" w:rsidRPr="00847810">
        <w:rPr>
          <w:rFonts w:ascii="Times New Roman" w:hAnsi="Times New Roman"/>
          <w:sz w:val="24"/>
          <w:szCs w:val="24"/>
          <w:lang w:eastAsia="ru-RU"/>
        </w:rPr>
        <w:t>неналежне виконання «Фінансовою компанією «СТС-ІНВЕСТ» договірних зобов’язань технічний стан квартир не відповідає договірним умовам</w:t>
      </w:r>
      <w:r w:rsidR="002D33C5">
        <w:rPr>
          <w:rFonts w:ascii="Times New Roman" w:hAnsi="Times New Roman"/>
          <w:sz w:val="24"/>
          <w:szCs w:val="24"/>
          <w:lang w:eastAsia="ru-RU"/>
        </w:rPr>
        <w:t>,</w:t>
      </w:r>
      <w:r w:rsidR="002D33C5" w:rsidRPr="00847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33C5">
        <w:rPr>
          <w:rFonts w:ascii="Times New Roman" w:hAnsi="Times New Roman"/>
          <w:sz w:val="24"/>
          <w:szCs w:val="24"/>
          <w:lang w:eastAsia="ru-RU"/>
        </w:rPr>
        <w:t xml:space="preserve">у зв’язку з цим </w:t>
      </w:r>
      <w:r w:rsidR="002D33C5" w:rsidRPr="00847810">
        <w:rPr>
          <w:rFonts w:ascii="Times New Roman" w:hAnsi="Times New Roman"/>
          <w:sz w:val="24"/>
          <w:szCs w:val="24"/>
          <w:lang w:eastAsia="ru-RU"/>
        </w:rPr>
        <w:t>житловий комплекс в цілому має проблемні питання</w:t>
      </w:r>
      <w:r w:rsidR="002D33C5">
        <w:rPr>
          <w:rFonts w:ascii="Times New Roman" w:hAnsi="Times New Roman"/>
          <w:sz w:val="24"/>
          <w:szCs w:val="24"/>
          <w:lang w:eastAsia="ru-RU"/>
        </w:rPr>
        <w:t xml:space="preserve">, які </w:t>
      </w:r>
      <w:r w:rsidR="002D33C5" w:rsidRPr="00847810">
        <w:rPr>
          <w:rFonts w:ascii="Times New Roman" w:hAnsi="Times New Roman"/>
          <w:sz w:val="24"/>
          <w:szCs w:val="24"/>
          <w:lang w:eastAsia="ru-RU"/>
        </w:rPr>
        <w:t xml:space="preserve"> пов’язані з експлуатацією та його утриманням. </w:t>
      </w:r>
    </w:p>
    <w:p w14:paraId="1F88396C" w14:textId="39A7B680" w:rsidR="004A70FA" w:rsidRDefault="004A70FA" w:rsidP="004A7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23896">
        <w:rPr>
          <w:rFonts w:ascii="TimesNewRomanPSMT" w:hAnsi="TimesNewRomanPSMT" w:cs="TimesNewRomanPSMT"/>
          <w:sz w:val="24"/>
          <w:szCs w:val="24"/>
          <w:lang w:eastAsia="ru-RU"/>
        </w:rPr>
        <w:t xml:space="preserve">З урахуванням того, що наразі одним з найважливіших напрямів діяльності Міноборони в умовах збройної агресії Російської Федерації проти України є захист прав і соціальних гарантій військовослужбовців, </w:t>
      </w:r>
      <w:r w:rsidR="00823896" w:rsidRPr="00823896">
        <w:rPr>
          <w:rFonts w:ascii="TimesNewRomanPSMT" w:hAnsi="TimesNewRomanPSMT" w:cs="TimesNewRomanPSMT"/>
          <w:sz w:val="24"/>
          <w:szCs w:val="24"/>
          <w:lang w:eastAsia="ru-RU"/>
        </w:rPr>
        <w:t>зокрема</w:t>
      </w:r>
      <w:r w:rsidRPr="00823896">
        <w:rPr>
          <w:rFonts w:ascii="TimesNewRomanPSMT" w:hAnsi="TimesNewRomanPSMT" w:cs="TimesNewRomanPSMT"/>
          <w:sz w:val="24"/>
          <w:szCs w:val="24"/>
          <w:lang w:eastAsia="ru-RU"/>
        </w:rPr>
        <w:t xml:space="preserve"> забезпечення житлом військовослужбовців Збройних Сил України та членів їх сімей, </w:t>
      </w:r>
      <w:r w:rsidR="00823896" w:rsidRPr="00823896">
        <w:rPr>
          <w:rFonts w:ascii="Times New Roman" w:eastAsia="Times New Roman" w:hAnsi="Times New Roman"/>
          <w:sz w:val="24"/>
          <w:szCs w:val="24"/>
          <w:lang w:eastAsia="uk-UA"/>
        </w:rPr>
        <w:t>обґрунтованою</w:t>
      </w:r>
      <w:r w:rsidRPr="00823896">
        <w:rPr>
          <w:rFonts w:ascii="Times New Roman" w:eastAsia="Times New Roman" w:hAnsi="Times New Roman"/>
          <w:sz w:val="24"/>
          <w:szCs w:val="24"/>
          <w:lang w:eastAsia="uk-UA"/>
        </w:rPr>
        <w:t xml:space="preserve"> є необхідність в розробленні, прийнятті та реалізації Міської програми співфінансування заходів, направлених на доведення багатоквартирних житлових будинків 13-го мікрорайону                               м. Чорноморська до стану, придатного для проживання, на 2021-2024 роки.»</w:t>
      </w:r>
    </w:p>
    <w:p w14:paraId="2151A21B" w14:textId="77777777" w:rsidR="00847810" w:rsidRP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3C497EF" w14:textId="77777777" w:rsidR="00847810" w:rsidRP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2. Розділ третій Програми доповнити пунктом 3.5. наступного змісту:</w:t>
      </w:r>
    </w:p>
    <w:p w14:paraId="179F278B" w14:textId="77777777" w:rsidR="00722EB2" w:rsidRPr="00847810" w:rsidRDefault="00722EB2" w:rsidP="00722EB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823896">
        <w:rPr>
          <w:rFonts w:ascii="Times New Roman" w:eastAsia="Times New Roman" w:hAnsi="Times New Roman"/>
          <w:sz w:val="24"/>
          <w:szCs w:val="24"/>
          <w:lang w:eastAsia="uk-UA"/>
        </w:rPr>
        <w:t>«3.5. П</w:t>
      </w:r>
      <w:r w:rsidRPr="00823896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ідтримка сил оборони в частині створення відповідних житлових і соціально-побутових умов для сімей військовослужбовців Одеського гарнізону.».</w:t>
      </w:r>
    </w:p>
    <w:p w14:paraId="49DF5A28" w14:textId="77777777" w:rsidR="00847810" w:rsidRP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18929E61" w14:textId="77777777" w:rsidR="00847810" w:rsidRPr="00847810" w:rsidRDefault="00847810" w:rsidP="00847810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84781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3. Пункт 4.1. розділу четвертого Програми викласти в новій редакції:</w:t>
      </w:r>
    </w:p>
    <w:p w14:paraId="4BD2ADA7" w14:textId="77777777" w:rsidR="00847810" w:rsidRP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4781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«4.1. </w:t>
      </w: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 xml:space="preserve">Заходи на виконання Програми по кожному багатоквартирному житловому будинку, що введений в експлуатацію, але знаходиться в непридатному для проживання та стані, що створює реальну та невідворотну загрозу життю та здоров’ю мешканців, визначаються у кожному випадку окремо, виходячи з конкретних обставин та умов, що призвели до такого стану. </w:t>
      </w:r>
    </w:p>
    <w:p w14:paraId="6C5CC545" w14:textId="77777777" w:rsidR="00847810" w:rsidRP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>Пріоритетними заходами, що реалізуються за рахунок коштів бюджету Чорноморської міської територіальної громади та обласного бюджету Одеської області  на умовах фінансування /співфінансування, є:</w:t>
      </w:r>
    </w:p>
    <w:p w14:paraId="0A329CAB" w14:textId="4FF9CB3B" w:rsidR="00956FE0" w:rsidRDefault="00847810" w:rsidP="008478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23896">
        <w:rPr>
          <w:rFonts w:ascii="Times New Roman" w:eastAsia="Times New Roman" w:hAnsi="Times New Roman"/>
          <w:sz w:val="24"/>
          <w:szCs w:val="24"/>
          <w:lang w:eastAsia="uk-UA"/>
        </w:rPr>
        <w:t>- збільшення електропотужностей для 13-го мікрорайону міста Чорноморськ</w:t>
      </w:r>
      <w:r w:rsidR="00823896" w:rsidRPr="00823896"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="004A70FA" w:rsidRPr="00823896">
        <w:rPr>
          <w:rFonts w:ascii="Times New Roman" w:eastAsia="Times New Roman" w:hAnsi="Times New Roman"/>
          <w:sz w:val="24"/>
          <w:szCs w:val="24"/>
          <w:lang w:eastAsia="uk-UA"/>
        </w:rPr>
        <w:t xml:space="preserve"> Одеської області шляхом будівництва мереж електропостачання</w:t>
      </w:r>
      <w:r w:rsidR="000A45DD">
        <w:rPr>
          <w:rFonts w:ascii="Times New Roman" w:eastAsia="Times New Roman" w:hAnsi="Times New Roman"/>
          <w:sz w:val="24"/>
          <w:szCs w:val="24"/>
          <w:lang w:eastAsia="uk-UA"/>
        </w:rPr>
        <w:t>,</w:t>
      </w:r>
      <w:r w:rsidR="004A70FA" w:rsidRPr="00823896">
        <w:rPr>
          <w:rFonts w:ascii="Times New Roman" w:eastAsia="Times New Roman" w:hAnsi="Times New Roman"/>
          <w:sz w:val="24"/>
          <w:szCs w:val="24"/>
          <w:lang w:eastAsia="uk-UA"/>
        </w:rPr>
        <w:t xml:space="preserve"> плата за приєднання до електричних мереж</w:t>
      </w:r>
      <w:r w:rsidR="00BD496D" w:rsidRPr="00823896">
        <w:rPr>
          <w:rFonts w:ascii="Times New Roman" w:eastAsia="Times New Roman" w:hAnsi="Times New Roman"/>
          <w:sz w:val="24"/>
          <w:szCs w:val="24"/>
          <w:lang w:eastAsia="uk-UA"/>
        </w:rPr>
        <w:t xml:space="preserve">, зокрема </w:t>
      </w:r>
      <w:r w:rsidRPr="00823896">
        <w:rPr>
          <w:rFonts w:ascii="Times New Roman" w:eastAsia="Times New Roman" w:hAnsi="Times New Roman"/>
          <w:sz w:val="24"/>
          <w:szCs w:val="24"/>
          <w:lang w:eastAsia="uk-UA"/>
        </w:rPr>
        <w:t xml:space="preserve"> зовнішнє електропостачання багатоквартирного житлового будинку </w:t>
      </w:r>
      <w:r w:rsidR="00956FE0" w:rsidRPr="00823896">
        <w:rPr>
          <w:rFonts w:ascii="Times New Roman" w:eastAsia="Times New Roman" w:hAnsi="Times New Roman"/>
          <w:sz w:val="24"/>
          <w:szCs w:val="24"/>
          <w:lang w:eastAsia="uk-UA"/>
        </w:rPr>
        <w:t xml:space="preserve">за адресою: Одеська обл., м. Чорноморськ, вул. </w:t>
      </w:r>
      <w:r w:rsidR="00E2139D">
        <w:rPr>
          <w:rFonts w:ascii="Times New Roman" w:eastAsia="Times New Roman" w:hAnsi="Times New Roman"/>
          <w:sz w:val="24"/>
          <w:szCs w:val="24"/>
          <w:lang w:eastAsia="uk-UA"/>
        </w:rPr>
        <w:t>__</w:t>
      </w:r>
      <w:r w:rsidR="00956FE0" w:rsidRPr="00823896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r w:rsidR="00E2139D">
        <w:rPr>
          <w:rFonts w:ascii="Times New Roman" w:eastAsia="Times New Roman" w:hAnsi="Times New Roman"/>
          <w:sz w:val="24"/>
          <w:szCs w:val="24"/>
          <w:lang w:eastAsia="uk-UA"/>
        </w:rPr>
        <w:t>__</w:t>
      </w:r>
      <w:r w:rsidR="00956FE0" w:rsidRPr="00823896">
        <w:rPr>
          <w:rFonts w:ascii="Times New Roman" w:eastAsia="Times New Roman" w:hAnsi="Times New Roman"/>
          <w:sz w:val="24"/>
          <w:szCs w:val="24"/>
          <w:lang w:eastAsia="uk-UA"/>
        </w:rPr>
        <w:t xml:space="preserve"> (нове будівництво)</w:t>
      </w:r>
      <w:r w:rsidR="00956FE0" w:rsidRPr="00823896">
        <w:rPr>
          <w:rFonts w:ascii="Times New Roman" w:hAnsi="Times New Roman"/>
          <w:bCs/>
          <w:sz w:val="24"/>
          <w:szCs w:val="24"/>
        </w:rPr>
        <w:t>;</w:t>
      </w:r>
    </w:p>
    <w:p w14:paraId="72C41EDA" w14:textId="2C245DE3" w:rsidR="00847810" w:rsidRPr="00847810" w:rsidRDefault="00847810" w:rsidP="008478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ab/>
        <w:t>встановлення ліфтового обладнання та системи диспетчеризації;</w:t>
      </w:r>
    </w:p>
    <w:p w14:paraId="68E07AD8" w14:textId="77777777" w:rsidR="00847810" w:rsidRP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ab/>
        <w:t>улаштування систем диспетчеризації, пожежної безпеки.»</w:t>
      </w:r>
      <w:r w:rsidR="00BD496D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06D58ECF" w14:textId="77777777" w:rsidR="00847810" w:rsidRPr="00847810" w:rsidRDefault="00847810" w:rsidP="00847810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49D4429C" w14:textId="77777777" w:rsidR="00847810" w:rsidRPr="00847810" w:rsidRDefault="00847810" w:rsidP="008478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>4. Абзац третій пункту 4.3. розділу четвертого Програми викласти в новій редакції:</w:t>
      </w:r>
    </w:p>
    <w:p w14:paraId="4566734F" w14:textId="6927C023" w:rsidR="00847810" w:rsidRDefault="00847810" w:rsidP="000A45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 xml:space="preserve">«Фінансування/співфінансування заходів Програми за рахунок коштів бюджету </w:t>
      </w:r>
      <w:r w:rsidR="00414D0C" w:rsidRPr="00823896">
        <w:rPr>
          <w:rFonts w:ascii="Times New Roman" w:eastAsia="Times New Roman" w:hAnsi="Times New Roman"/>
          <w:sz w:val="24"/>
          <w:szCs w:val="24"/>
          <w:lang w:eastAsia="uk-UA"/>
        </w:rPr>
        <w:t>Чорноморської міської територіальної громади та обласного бюджету Одеської області</w:t>
      </w:r>
      <w:r w:rsidR="00414D0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>здійснюється шляхом перерахування фінансової підтримки ОСББ на рахунок, який відкритий в територіальному органі Державної казначейської служби України на наступних умовах:</w:t>
      </w:r>
    </w:p>
    <w:tbl>
      <w:tblPr>
        <w:tblStyle w:val="a3"/>
        <w:tblW w:w="9852" w:type="dxa"/>
        <w:jc w:val="center"/>
        <w:tblLook w:val="04A0" w:firstRow="1" w:lastRow="0" w:firstColumn="1" w:lastColumn="0" w:noHBand="0" w:noVBand="1"/>
      </w:tblPr>
      <w:tblGrid>
        <w:gridCol w:w="458"/>
        <w:gridCol w:w="2922"/>
        <w:gridCol w:w="1778"/>
        <w:gridCol w:w="966"/>
        <w:gridCol w:w="716"/>
        <w:gridCol w:w="1066"/>
        <w:gridCol w:w="1946"/>
      </w:tblGrid>
      <w:tr w:rsidR="00847810" w14:paraId="65D2CCE1" w14:textId="77777777" w:rsidTr="00D00267">
        <w:trPr>
          <w:jc w:val="center"/>
        </w:trPr>
        <w:tc>
          <w:tcPr>
            <w:tcW w:w="458" w:type="dxa"/>
            <w:vMerge w:val="restart"/>
            <w:vAlign w:val="center"/>
          </w:tcPr>
          <w:p w14:paraId="06627C56" w14:textId="77777777" w:rsidR="0084781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14:paraId="0B48B288" w14:textId="77777777" w:rsidR="0084781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F7DB0">
              <w:rPr>
                <w:rFonts w:ascii="Times New Roman" w:eastAsia="Times New Roman" w:hAnsi="Times New Roman"/>
                <w:lang w:eastAsia="uk-UA"/>
              </w:rPr>
              <w:t>№</w:t>
            </w:r>
          </w:p>
          <w:p w14:paraId="7EF5C339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з/п</w:t>
            </w:r>
          </w:p>
        </w:tc>
        <w:tc>
          <w:tcPr>
            <w:tcW w:w="2922" w:type="dxa"/>
            <w:vMerge w:val="restart"/>
            <w:vAlign w:val="center"/>
          </w:tcPr>
          <w:p w14:paraId="354F6E46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Заходи Програми</w:t>
            </w:r>
          </w:p>
        </w:tc>
        <w:tc>
          <w:tcPr>
            <w:tcW w:w="1778" w:type="dxa"/>
            <w:vMerge w:val="restart"/>
            <w:vAlign w:val="center"/>
          </w:tcPr>
          <w:p w14:paraId="434643FA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Умови </w:t>
            </w:r>
            <w:r w:rsidR="00BD496D">
              <w:rPr>
                <w:rFonts w:ascii="Times New Roman" w:eastAsia="Times New Roman" w:hAnsi="Times New Roman"/>
                <w:lang w:eastAsia="uk-UA"/>
              </w:rPr>
              <w:t>співфінансування</w:t>
            </w:r>
            <w:r>
              <w:rPr>
                <w:rFonts w:ascii="Times New Roman" w:eastAsia="Times New Roman" w:hAnsi="Times New Roman"/>
                <w:lang w:eastAsia="uk-UA"/>
              </w:rPr>
              <w:t>, %</w:t>
            </w:r>
          </w:p>
        </w:tc>
        <w:tc>
          <w:tcPr>
            <w:tcW w:w="4694" w:type="dxa"/>
            <w:gridSpan w:val="4"/>
            <w:vAlign w:val="center"/>
          </w:tcPr>
          <w:p w14:paraId="79AAB1C5" w14:textId="77777777" w:rsidR="0084781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Загальний обсяг фінансування Програми, тис. грн,</w:t>
            </w:r>
          </w:p>
          <w:p w14:paraId="2472DE9C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всього - </w:t>
            </w:r>
            <w:r w:rsidRPr="00A42BE0">
              <w:rPr>
                <w:rFonts w:ascii="Times New Roman" w:hAnsi="Times New Roman"/>
              </w:rPr>
              <w:t>27 920,25144, в т. ч. за роками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847810" w14:paraId="60904FC7" w14:textId="77777777" w:rsidTr="00D00267">
        <w:trPr>
          <w:jc w:val="center"/>
        </w:trPr>
        <w:tc>
          <w:tcPr>
            <w:tcW w:w="458" w:type="dxa"/>
            <w:vMerge/>
            <w:vAlign w:val="center"/>
          </w:tcPr>
          <w:p w14:paraId="630AB525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922" w:type="dxa"/>
            <w:vMerge/>
            <w:vAlign w:val="center"/>
          </w:tcPr>
          <w:p w14:paraId="2CD42B61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778" w:type="dxa"/>
            <w:vMerge/>
            <w:vAlign w:val="center"/>
          </w:tcPr>
          <w:p w14:paraId="6290E108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6B15E3F8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2021*</w:t>
            </w:r>
          </w:p>
        </w:tc>
        <w:tc>
          <w:tcPr>
            <w:tcW w:w="716" w:type="dxa"/>
            <w:vAlign w:val="center"/>
          </w:tcPr>
          <w:p w14:paraId="41D788CB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2022*</w:t>
            </w:r>
          </w:p>
        </w:tc>
        <w:tc>
          <w:tcPr>
            <w:tcW w:w="1066" w:type="dxa"/>
            <w:vAlign w:val="center"/>
          </w:tcPr>
          <w:p w14:paraId="04A7BC93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2023*</w:t>
            </w:r>
          </w:p>
        </w:tc>
        <w:tc>
          <w:tcPr>
            <w:tcW w:w="1946" w:type="dxa"/>
            <w:vAlign w:val="center"/>
          </w:tcPr>
          <w:p w14:paraId="31FA0B4D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2024</w:t>
            </w:r>
          </w:p>
        </w:tc>
      </w:tr>
      <w:tr w:rsidR="00847810" w14:paraId="2CC60ADB" w14:textId="77777777" w:rsidTr="00D00267">
        <w:trPr>
          <w:jc w:val="center"/>
        </w:trPr>
        <w:tc>
          <w:tcPr>
            <w:tcW w:w="458" w:type="dxa"/>
          </w:tcPr>
          <w:p w14:paraId="1B517816" w14:textId="77777777" w:rsidR="00847810" w:rsidRPr="006D55F0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1.</w:t>
            </w:r>
          </w:p>
        </w:tc>
        <w:tc>
          <w:tcPr>
            <w:tcW w:w="2922" w:type="dxa"/>
          </w:tcPr>
          <w:p w14:paraId="3C80C106" w14:textId="0B8EAE63" w:rsidR="002D33C5" w:rsidRDefault="00D00267" w:rsidP="00D0026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 xml:space="preserve">Збільшення електропотужностей для 13-го мікрорайону міста Чорноморськ, Одеської області шляхом будівництва мереж електропостачання, плата за приєднання до електричних мереж, зокрема  зовнішнє електропостачання багатоквартирного житлового будинку за адресою: Одеська обл., </w:t>
            </w:r>
            <w:r w:rsidR="000A45DD">
              <w:rPr>
                <w:rFonts w:ascii="Times New Roman" w:eastAsia="Times New Roman" w:hAnsi="Times New Roman"/>
                <w:b/>
                <w:lang w:eastAsia="uk-UA"/>
              </w:rPr>
              <w:t xml:space="preserve">                </w:t>
            </w: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 xml:space="preserve">м. Чорноморськ, </w:t>
            </w:r>
            <w:r w:rsidR="000A45DD">
              <w:rPr>
                <w:rFonts w:ascii="Times New Roman" w:eastAsia="Times New Roman" w:hAnsi="Times New Roman"/>
                <w:b/>
                <w:lang w:eastAsia="uk-UA"/>
              </w:rPr>
              <w:t xml:space="preserve">                       </w:t>
            </w: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 xml:space="preserve">вул. </w:t>
            </w:r>
            <w:r w:rsidR="00E2139D">
              <w:rPr>
                <w:rFonts w:ascii="Times New Roman" w:eastAsia="Times New Roman" w:hAnsi="Times New Roman"/>
                <w:b/>
                <w:lang w:eastAsia="uk-UA"/>
              </w:rPr>
              <w:t>__</w:t>
            </w: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 xml:space="preserve">, </w:t>
            </w:r>
            <w:r w:rsidR="00E2139D">
              <w:rPr>
                <w:rFonts w:ascii="Times New Roman" w:eastAsia="Times New Roman" w:hAnsi="Times New Roman"/>
                <w:b/>
                <w:lang w:eastAsia="uk-UA"/>
              </w:rPr>
              <w:t>__</w:t>
            </w: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 xml:space="preserve"> (нове будівництво)</w:t>
            </w:r>
            <w:r w:rsidRPr="000A45DD">
              <w:rPr>
                <w:rFonts w:ascii="Times New Roman" w:hAnsi="Times New Roman"/>
                <w:b/>
                <w:bCs/>
              </w:rPr>
              <w:t>;</w:t>
            </w:r>
            <w:r w:rsidR="00847810" w:rsidRPr="00D00267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1EA1628" w14:textId="0DE8F161" w:rsidR="00847810" w:rsidRPr="00D00267" w:rsidRDefault="00847810" w:rsidP="00D0026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uk-UA"/>
              </w:rPr>
            </w:pPr>
            <w:r w:rsidRPr="00D00267">
              <w:rPr>
                <w:rFonts w:ascii="Times New Roman" w:hAnsi="Times New Roman"/>
                <w:b/>
                <w:bCs/>
              </w:rPr>
              <w:t>всього -</w:t>
            </w:r>
          </w:p>
        </w:tc>
        <w:tc>
          <w:tcPr>
            <w:tcW w:w="1778" w:type="dxa"/>
            <w:vAlign w:val="center"/>
          </w:tcPr>
          <w:p w14:paraId="3C60FAC9" w14:textId="77777777" w:rsidR="00847810" w:rsidRPr="006D55F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6F81CD67" w14:textId="77777777" w:rsidR="00847810" w:rsidRPr="006D55F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49,74515</w:t>
            </w:r>
          </w:p>
        </w:tc>
        <w:tc>
          <w:tcPr>
            <w:tcW w:w="716" w:type="dxa"/>
            <w:vAlign w:val="center"/>
          </w:tcPr>
          <w:p w14:paraId="61B1E732" w14:textId="77777777" w:rsidR="00847810" w:rsidRPr="006D55F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00FF4FE5" w14:textId="77777777" w:rsidR="00847810" w:rsidRPr="006D55F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285,48429</w:t>
            </w:r>
          </w:p>
        </w:tc>
        <w:tc>
          <w:tcPr>
            <w:tcW w:w="1946" w:type="dxa"/>
            <w:vAlign w:val="center"/>
          </w:tcPr>
          <w:p w14:paraId="5DA8B8CA" w14:textId="77777777" w:rsidR="00847810" w:rsidRPr="006D55F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27 585,022</w:t>
            </w:r>
          </w:p>
        </w:tc>
      </w:tr>
      <w:tr w:rsidR="00847810" w14:paraId="32AC496E" w14:textId="77777777" w:rsidTr="00D00267">
        <w:trPr>
          <w:jc w:val="center"/>
        </w:trPr>
        <w:tc>
          <w:tcPr>
            <w:tcW w:w="458" w:type="dxa"/>
          </w:tcPr>
          <w:p w14:paraId="449B40F6" w14:textId="77777777" w:rsidR="00847810" w:rsidRPr="00AF7DB0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922" w:type="dxa"/>
          </w:tcPr>
          <w:p w14:paraId="1317E933" w14:textId="77777777" w:rsidR="00847810" w:rsidRPr="00A42BE0" w:rsidRDefault="00847810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1759F61D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71436CEE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16" w:type="dxa"/>
            <w:vAlign w:val="center"/>
          </w:tcPr>
          <w:p w14:paraId="42B6E1B8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066" w:type="dxa"/>
            <w:vAlign w:val="center"/>
          </w:tcPr>
          <w:p w14:paraId="7CFE2209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946" w:type="dxa"/>
            <w:vAlign w:val="center"/>
          </w:tcPr>
          <w:p w14:paraId="3C6CBD70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847810" w14:paraId="7975BDB6" w14:textId="77777777" w:rsidTr="00D00267">
        <w:trPr>
          <w:jc w:val="center"/>
        </w:trPr>
        <w:tc>
          <w:tcPr>
            <w:tcW w:w="458" w:type="dxa"/>
          </w:tcPr>
          <w:p w14:paraId="1689CF57" w14:textId="77777777" w:rsidR="00847810" w:rsidRPr="00AF7DB0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922" w:type="dxa"/>
          </w:tcPr>
          <w:p w14:paraId="3FE3EFEF" w14:textId="77777777" w:rsidR="00847810" w:rsidRPr="00AF7DB0" w:rsidRDefault="00847810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26786790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92,8</w:t>
            </w:r>
          </w:p>
        </w:tc>
        <w:tc>
          <w:tcPr>
            <w:tcW w:w="966" w:type="dxa"/>
            <w:vAlign w:val="center"/>
          </w:tcPr>
          <w:p w14:paraId="7429BA94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49,74515</w:t>
            </w:r>
          </w:p>
        </w:tc>
        <w:tc>
          <w:tcPr>
            <w:tcW w:w="716" w:type="dxa"/>
            <w:vAlign w:val="center"/>
          </w:tcPr>
          <w:p w14:paraId="7FE7B39A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76E21440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285,48429</w:t>
            </w:r>
          </w:p>
        </w:tc>
        <w:tc>
          <w:tcPr>
            <w:tcW w:w="1946" w:type="dxa"/>
            <w:vAlign w:val="center"/>
          </w:tcPr>
          <w:p w14:paraId="5A2FDE73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25 585,022</w:t>
            </w:r>
          </w:p>
        </w:tc>
      </w:tr>
      <w:tr w:rsidR="00847810" w14:paraId="23A3B571" w14:textId="77777777" w:rsidTr="00D00267">
        <w:trPr>
          <w:jc w:val="center"/>
        </w:trPr>
        <w:tc>
          <w:tcPr>
            <w:tcW w:w="458" w:type="dxa"/>
          </w:tcPr>
          <w:p w14:paraId="34FBEA73" w14:textId="77777777" w:rsidR="00847810" w:rsidRPr="00AF7DB0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922" w:type="dxa"/>
          </w:tcPr>
          <w:p w14:paraId="3F5E1704" w14:textId="77777777" w:rsidR="00847810" w:rsidRPr="00AF7DB0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Обласний бюджет Одеської області</w:t>
            </w:r>
          </w:p>
        </w:tc>
        <w:tc>
          <w:tcPr>
            <w:tcW w:w="1778" w:type="dxa"/>
            <w:vAlign w:val="center"/>
          </w:tcPr>
          <w:p w14:paraId="17A5DB1C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7,2</w:t>
            </w:r>
          </w:p>
        </w:tc>
        <w:tc>
          <w:tcPr>
            <w:tcW w:w="966" w:type="dxa"/>
            <w:vAlign w:val="center"/>
          </w:tcPr>
          <w:p w14:paraId="50D36ECD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5A4EA010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155F6DBE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946" w:type="dxa"/>
            <w:vAlign w:val="center"/>
          </w:tcPr>
          <w:p w14:paraId="0901C308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2 000,000</w:t>
            </w:r>
          </w:p>
        </w:tc>
      </w:tr>
      <w:tr w:rsidR="00847810" w14:paraId="1E6A687D" w14:textId="77777777" w:rsidTr="00D00267">
        <w:trPr>
          <w:jc w:val="center"/>
        </w:trPr>
        <w:tc>
          <w:tcPr>
            <w:tcW w:w="458" w:type="dxa"/>
          </w:tcPr>
          <w:p w14:paraId="5A7477FB" w14:textId="77777777" w:rsidR="00847810" w:rsidRPr="006D55F0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2.</w:t>
            </w:r>
          </w:p>
        </w:tc>
        <w:tc>
          <w:tcPr>
            <w:tcW w:w="2922" w:type="dxa"/>
          </w:tcPr>
          <w:p w14:paraId="412BC069" w14:textId="77777777" w:rsidR="00847810" w:rsidRPr="006D55F0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Встановлення ліфтового обладнання</w:t>
            </w:r>
          </w:p>
        </w:tc>
        <w:tc>
          <w:tcPr>
            <w:tcW w:w="1778" w:type="dxa"/>
            <w:vAlign w:val="center"/>
          </w:tcPr>
          <w:p w14:paraId="46814905" w14:textId="77777777" w:rsidR="00847810" w:rsidRPr="006D55F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68DB2C97" w14:textId="77777777" w:rsidR="00847810" w:rsidRPr="006D55F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3B4A8CA6" w14:textId="77777777" w:rsidR="00847810" w:rsidRPr="006D55F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36029672" w14:textId="77777777" w:rsidR="00847810" w:rsidRPr="006D55F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946" w:type="dxa"/>
            <w:vAlign w:val="center"/>
          </w:tcPr>
          <w:p w14:paraId="1C525A99" w14:textId="77777777" w:rsidR="00847810" w:rsidRPr="006D55F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</w:tr>
      <w:tr w:rsidR="00847810" w14:paraId="64AA0FD5" w14:textId="77777777" w:rsidTr="00D00267">
        <w:trPr>
          <w:jc w:val="center"/>
        </w:trPr>
        <w:tc>
          <w:tcPr>
            <w:tcW w:w="458" w:type="dxa"/>
          </w:tcPr>
          <w:p w14:paraId="73375322" w14:textId="77777777" w:rsidR="00847810" w:rsidRPr="00AF7DB0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922" w:type="dxa"/>
          </w:tcPr>
          <w:p w14:paraId="2C7D2362" w14:textId="77777777" w:rsidR="00847810" w:rsidRPr="00A42BE0" w:rsidRDefault="00847810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57C32CF5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75A0A258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16" w:type="dxa"/>
            <w:vAlign w:val="center"/>
          </w:tcPr>
          <w:p w14:paraId="2E810707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066" w:type="dxa"/>
            <w:vAlign w:val="center"/>
          </w:tcPr>
          <w:p w14:paraId="26F7512A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946" w:type="dxa"/>
            <w:vAlign w:val="center"/>
          </w:tcPr>
          <w:p w14:paraId="78F185E1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847810" w14:paraId="23262489" w14:textId="77777777" w:rsidTr="00D00267">
        <w:trPr>
          <w:jc w:val="center"/>
        </w:trPr>
        <w:tc>
          <w:tcPr>
            <w:tcW w:w="458" w:type="dxa"/>
          </w:tcPr>
          <w:p w14:paraId="6B2E4B66" w14:textId="77777777" w:rsidR="00847810" w:rsidRPr="00AF7DB0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922" w:type="dxa"/>
          </w:tcPr>
          <w:p w14:paraId="6A0F6CE8" w14:textId="77777777" w:rsidR="00847810" w:rsidRPr="00AF7DB0" w:rsidRDefault="00847810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6CD1ED00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99</w:t>
            </w:r>
          </w:p>
        </w:tc>
        <w:tc>
          <w:tcPr>
            <w:tcW w:w="966" w:type="dxa"/>
            <w:vAlign w:val="center"/>
          </w:tcPr>
          <w:p w14:paraId="4C7E0858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1A12EED0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6360690B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946" w:type="dxa"/>
            <w:vAlign w:val="center"/>
          </w:tcPr>
          <w:p w14:paraId="04AAAFC7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847810" w14:paraId="165C7E95" w14:textId="77777777" w:rsidTr="00D00267">
        <w:trPr>
          <w:jc w:val="center"/>
        </w:trPr>
        <w:tc>
          <w:tcPr>
            <w:tcW w:w="458" w:type="dxa"/>
          </w:tcPr>
          <w:p w14:paraId="09545AF0" w14:textId="77777777" w:rsidR="00847810" w:rsidRPr="00AF7DB0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922" w:type="dxa"/>
          </w:tcPr>
          <w:p w14:paraId="4D1D2483" w14:textId="77777777" w:rsidR="00847810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Кошти ОСББ</w:t>
            </w:r>
          </w:p>
          <w:p w14:paraId="04316163" w14:textId="3502F27B" w:rsidR="000A45DD" w:rsidRPr="00AF7DB0" w:rsidRDefault="000A45DD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778" w:type="dxa"/>
            <w:vAlign w:val="center"/>
          </w:tcPr>
          <w:p w14:paraId="7571CF47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</w:t>
            </w:r>
          </w:p>
        </w:tc>
        <w:tc>
          <w:tcPr>
            <w:tcW w:w="966" w:type="dxa"/>
            <w:vAlign w:val="center"/>
          </w:tcPr>
          <w:p w14:paraId="2A29DF77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236E97B2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64BE5BBB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946" w:type="dxa"/>
            <w:vAlign w:val="center"/>
          </w:tcPr>
          <w:p w14:paraId="75D20D7E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847810" w14:paraId="3BBDAA56" w14:textId="77777777" w:rsidTr="00D00267">
        <w:trPr>
          <w:jc w:val="center"/>
        </w:trPr>
        <w:tc>
          <w:tcPr>
            <w:tcW w:w="458" w:type="dxa"/>
          </w:tcPr>
          <w:p w14:paraId="7570CB81" w14:textId="77777777" w:rsidR="00847810" w:rsidRPr="00642141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42141">
              <w:rPr>
                <w:rFonts w:ascii="Times New Roman" w:eastAsia="Times New Roman" w:hAnsi="Times New Roman"/>
                <w:b/>
                <w:lang w:eastAsia="uk-UA"/>
              </w:rPr>
              <w:lastRenderedPageBreak/>
              <w:t>3.</w:t>
            </w:r>
          </w:p>
        </w:tc>
        <w:tc>
          <w:tcPr>
            <w:tcW w:w="2922" w:type="dxa"/>
          </w:tcPr>
          <w:p w14:paraId="033C089B" w14:textId="77777777" w:rsidR="00847810" w:rsidRPr="00642141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42141">
              <w:rPr>
                <w:rFonts w:ascii="Times New Roman" w:eastAsia="Times New Roman" w:hAnsi="Times New Roman"/>
                <w:b/>
                <w:lang w:eastAsia="uk-UA"/>
              </w:rPr>
              <w:t>Улаштування систем диспетчеризації, пожежної безпеки</w:t>
            </w:r>
          </w:p>
        </w:tc>
        <w:tc>
          <w:tcPr>
            <w:tcW w:w="1778" w:type="dxa"/>
            <w:vAlign w:val="center"/>
          </w:tcPr>
          <w:p w14:paraId="3122D5C9" w14:textId="77777777" w:rsidR="00847810" w:rsidRPr="00642141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207051B2" w14:textId="77777777" w:rsidR="00847810" w:rsidRPr="00642141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0FFAE3B2" w14:textId="77777777" w:rsidR="00847810" w:rsidRPr="00642141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26FDE8D3" w14:textId="77777777" w:rsidR="00847810" w:rsidRPr="00642141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946" w:type="dxa"/>
            <w:vAlign w:val="center"/>
          </w:tcPr>
          <w:p w14:paraId="75D9B33A" w14:textId="77777777" w:rsidR="00847810" w:rsidRPr="00642141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</w:tr>
      <w:tr w:rsidR="00847810" w14:paraId="3C5BCF1F" w14:textId="77777777" w:rsidTr="00D00267">
        <w:trPr>
          <w:jc w:val="center"/>
        </w:trPr>
        <w:tc>
          <w:tcPr>
            <w:tcW w:w="458" w:type="dxa"/>
          </w:tcPr>
          <w:p w14:paraId="763C7F3A" w14:textId="77777777" w:rsidR="00847810" w:rsidRPr="00AF7DB0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922" w:type="dxa"/>
          </w:tcPr>
          <w:p w14:paraId="09E9DA0C" w14:textId="77777777" w:rsidR="00847810" w:rsidRPr="00A42BE0" w:rsidRDefault="00847810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6B5EA924" w14:textId="77777777" w:rsidR="0084781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298BBF6B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16" w:type="dxa"/>
            <w:vAlign w:val="center"/>
          </w:tcPr>
          <w:p w14:paraId="713B30BA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066" w:type="dxa"/>
            <w:vAlign w:val="center"/>
          </w:tcPr>
          <w:p w14:paraId="06C94D01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946" w:type="dxa"/>
            <w:vAlign w:val="center"/>
          </w:tcPr>
          <w:p w14:paraId="739BD589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847810" w14:paraId="452F7482" w14:textId="77777777" w:rsidTr="00D00267">
        <w:trPr>
          <w:jc w:val="center"/>
        </w:trPr>
        <w:tc>
          <w:tcPr>
            <w:tcW w:w="458" w:type="dxa"/>
          </w:tcPr>
          <w:p w14:paraId="2925B6E6" w14:textId="77777777" w:rsidR="00847810" w:rsidRPr="00AF7DB0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922" w:type="dxa"/>
          </w:tcPr>
          <w:p w14:paraId="26E658D8" w14:textId="77777777" w:rsidR="00847810" w:rsidRPr="00AF7DB0" w:rsidRDefault="00847810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6DEB0E4A" w14:textId="77777777" w:rsidR="0084781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97</w:t>
            </w:r>
          </w:p>
        </w:tc>
        <w:tc>
          <w:tcPr>
            <w:tcW w:w="966" w:type="dxa"/>
            <w:vAlign w:val="center"/>
          </w:tcPr>
          <w:p w14:paraId="6D901315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4B39038A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6549A929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946" w:type="dxa"/>
            <w:vAlign w:val="center"/>
          </w:tcPr>
          <w:p w14:paraId="55EB768A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847810" w14:paraId="03277302" w14:textId="77777777" w:rsidTr="00D00267">
        <w:trPr>
          <w:jc w:val="center"/>
        </w:trPr>
        <w:tc>
          <w:tcPr>
            <w:tcW w:w="458" w:type="dxa"/>
          </w:tcPr>
          <w:p w14:paraId="48957A0A" w14:textId="77777777" w:rsidR="00847810" w:rsidRPr="00AF7DB0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922" w:type="dxa"/>
          </w:tcPr>
          <w:p w14:paraId="2977B12B" w14:textId="77777777" w:rsidR="00847810" w:rsidRPr="00AF7DB0" w:rsidRDefault="00847810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Кошти ОСББ</w:t>
            </w:r>
          </w:p>
        </w:tc>
        <w:tc>
          <w:tcPr>
            <w:tcW w:w="1778" w:type="dxa"/>
            <w:vAlign w:val="center"/>
          </w:tcPr>
          <w:p w14:paraId="6FD488CC" w14:textId="77777777" w:rsidR="0084781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3</w:t>
            </w:r>
          </w:p>
        </w:tc>
        <w:tc>
          <w:tcPr>
            <w:tcW w:w="966" w:type="dxa"/>
            <w:vAlign w:val="center"/>
          </w:tcPr>
          <w:p w14:paraId="4790F391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1EDCEC73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1C67CB66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946" w:type="dxa"/>
            <w:vAlign w:val="center"/>
          </w:tcPr>
          <w:p w14:paraId="54F2D6CE" w14:textId="77777777" w:rsidR="00847810" w:rsidRPr="00AF7DB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847810" w14:paraId="748695D1" w14:textId="77777777" w:rsidTr="00D00267">
        <w:trPr>
          <w:jc w:val="center"/>
        </w:trPr>
        <w:tc>
          <w:tcPr>
            <w:tcW w:w="5158" w:type="dxa"/>
            <w:gridSpan w:val="3"/>
          </w:tcPr>
          <w:p w14:paraId="1B73C2DC" w14:textId="77777777" w:rsidR="00847810" w:rsidRPr="00642141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Всього</w:t>
            </w:r>
          </w:p>
        </w:tc>
        <w:tc>
          <w:tcPr>
            <w:tcW w:w="966" w:type="dxa"/>
            <w:vAlign w:val="center"/>
          </w:tcPr>
          <w:p w14:paraId="43072F11" w14:textId="77777777" w:rsidR="00847810" w:rsidRPr="006D55F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49,74515</w:t>
            </w:r>
          </w:p>
        </w:tc>
        <w:tc>
          <w:tcPr>
            <w:tcW w:w="716" w:type="dxa"/>
            <w:vAlign w:val="center"/>
          </w:tcPr>
          <w:p w14:paraId="05A5720D" w14:textId="77777777" w:rsidR="00847810" w:rsidRPr="006D55F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37150C27" w14:textId="77777777" w:rsidR="00847810" w:rsidRPr="006D55F0" w:rsidRDefault="00847810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285,48429</w:t>
            </w:r>
          </w:p>
        </w:tc>
        <w:tc>
          <w:tcPr>
            <w:tcW w:w="1946" w:type="dxa"/>
            <w:vAlign w:val="center"/>
          </w:tcPr>
          <w:p w14:paraId="3D800D2F" w14:textId="77777777" w:rsidR="00847810" w:rsidRPr="008209B1" w:rsidRDefault="00847810" w:rsidP="00BD496D">
            <w:pPr>
              <w:pStyle w:val="a4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uk-UA"/>
              </w:rPr>
            </w:pPr>
            <w:r w:rsidRPr="008209B1">
              <w:rPr>
                <w:rFonts w:ascii="Times New Roman" w:eastAsia="Times New Roman" w:hAnsi="Times New Roman"/>
                <w:b/>
                <w:lang w:eastAsia="uk-UA"/>
              </w:rPr>
              <w:t>585,022</w:t>
            </w:r>
          </w:p>
        </w:tc>
      </w:tr>
    </w:tbl>
    <w:p w14:paraId="6A2E79A5" w14:textId="77777777" w:rsidR="00847810" w:rsidRPr="008209B1" w:rsidRDefault="00847810" w:rsidP="00847810">
      <w:pPr>
        <w:pStyle w:val="a4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* - </w:t>
      </w:r>
      <w:r w:rsidRPr="008209B1">
        <w:rPr>
          <w:rFonts w:ascii="Times New Roman" w:eastAsia="Times New Roman" w:hAnsi="Times New Roman"/>
          <w:sz w:val="20"/>
          <w:szCs w:val="20"/>
          <w:lang w:eastAsia="uk-UA"/>
        </w:rPr>
        <w:t>202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1</w:t>
      </w:r>
      <w:r w:rsidRPr="008209B1">
        <w:rPr>
          <w:rFonts w:ascii="Times New Roman" w:eastAsia="Times New Roman" w:hAnsi="Times New Roman"/>
          <w:sz w:val="20"/>
          <w:szCs w:val="20"/>
          <w:lang w:eastAsia="uk-UA"/>
        </w:rPr>
        <w:t>-2023 роки - видатки зазначені відповідно до звіту про виконання бюджету Чорноморської міської територіальної громади за відповідний рік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»</w:t>
      </w:r>
    </w:p>
    <w:p w14:paraId="13FD9F90" w14:textId="77777777" w:rsid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3DF0B04" w14:textId="77777777" w:rsid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5. Розділ п’ятий Програми доповнити пунктом 5.4. наступного змісту:</w:t>
      </w:r>
    </w:p>
    <w:p w14:paraId="1EB658AB" w14:textId="44070443" w:rsid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A45DD">
        <w:rPr>
          <w:rFonts w:ascii="Times New Roman" w:eastAsia="Times New Roman" w:hAnsi="Times New Roman"/>
          <w:sz w:val="24"/>
          <w:szCs w:val="24"/>
          <w:lang w:eastAsia="uk-UA"/>
        </w:rPr>
        <w:t>«5.4. Забезпечення підтримки сил оборони</w:t>
      </w:r>
      <w:r w:rsidR="00875EB6" w:rsidRPr="000A45DD">
        <w:rPr>
          <w:rFonts w:ascii="Times New Roman" w:eastAsia="Times New Roman" w:hAnsi="Times New Roman"/>
          <w:sz w:val="24"/>
          <w:szCs w:val="24"/>
          <w:lang w:eastAsia="uk-UA"/>
        </w:rPr>
        <w:t xml:space="preserve">, захист прав та соціальних гарантій військовослужбовців, серед яких створення відповідних житлових </w:t>
      </w:r>
      <w:r w:rsidRPr="000A45DD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і соціально-побутових умов для сімей військовослужбовців </w:t>
      </w:r>
      <w:r w:rsidR="00956FE0" w:rsidRPr="000A45DD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Одеського гарнізону.</w:t>
      </w:r>
      <w:r w:rsidRPr="000A45DD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="00BD496D" w:rsidRPr="000A45DD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="00BD496D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4746525" w14:textId="77777777" w:rsid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0593228" w14:textId="77777777" w:rsid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8E5E9B8" w14:textId="77777777" w:rsidR="00847810" w:rsidRDefault="00847810" w:rsidP="0084781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374412BC" w14:textId="77777777" w:rsidR="00847810" w:rsidRPr="00925A30" w:rsidRDefault="00847810" w:rsidP="0084781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925A30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      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  </w:t>
      </w:r>
      <w:r w:rsidRPr="00925A30">
        <w:rPr>
          <w:rFonts w:ascii="Times New Roman" w:eastAsia="Times New Roman" w:hAnsi="Times New Roman"/>
          <w:bCs/>
          <w:sz w:val="24"/>
          <w:szCs w:val="24"/>
          <w:lang w:eastAsia="uk-UA"/>
        </w:rPr>
        <w:t>Начальник фінансового управління                                     Ольга ЯКОВЕНКО</w:t>
      </w:r>
    </w:p>
    <w:p w14:paraId="498F766F" w14:textId="77777777" w:rsidR="0004500F" w:rsidRDefault="0004500F"/>
    <w:sectPr w:rsidR="0004500F" w:rsidSect="00847810">
      <w:headerReference w:type="default" r:id="rId7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A078F" w14:textId="77777777" w:rsidR="00993BD1" w:rsidRDefault="00993BD1" w:rsidP="00847810">
      <w:pPr>
        <w:spacing w:after="0" w:line="240" w:lineRule="auto"/>
      </w:pPr>
      <w:r>
        <w:separator/>
      </w:r>
    </w:p>
  </w:endnote>
  <w:endnote w:type="continuationSeparator" w:id="0">
    <w:p w14:paraId="096F9D3C" w14:textId="77777777" w:rsidR="00993BD1" w:rsidRDefault="00993BD1" w:rsidP="0084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24E07" w14:textId="77777777" w:rsidR="00993BD1" w:rsidRDefault="00993BD1" w:rsidP="00847810">
      <w:pPr>
        <w:spacing w:after="0" w:line="240" w:lineRule="auto"/>
      </w:pPr>
      <w:r>
        <w:separator/>
      </w:r>
    </w:p>
  </w:footnote>
  <w:footnote w:type="continuationSeparator" w:id="0">
    <w:p w14:paraId="6B1B174D" w14:textId="77777777" w:rsidR="00993BD1" w:rsidRDefault="00993BD1" w:rsidP="00847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66784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55AD6E7" w14:textId="77777777" w:rsidR="00847810" w:rsidRPr="00847810" w:rsidRDefault="00847810">
        <w:pPr>
          <w:pStyle w:val="a6"/>
          <w:jc w:val="center"/>
          <w:rPr>
            <w:rFonts w:ascii="Times New Roman" w:hAnsi="Times New Roman"/>
          </w:rPr>
        </w:pPr>
        <w:r>
          <w:t xml:space="preserve">                                                                     </w:t>
        </w:r>
        <w:r w:rsidRPr="00847810">
          <w:rPr>
            <w:rFonts w:ascii="Times New Roman" w:hAnsi="Times New Roman"/>
          </w:rPr>
          <w:fldChar w:fldCharType="begin"/>
        </w:r>
        <w:r w:rsidRPr="00847810">
          <w:rPr>
            <w:rFonts w:ascii="Times New Roman" w:hAnsi="Times New Roman"/>
          </w:rPr>
          <w:instrText>PAGE   \* MERGEFORMAT</w:instrText>
        </w:r>
        <w:r w:rsidRPr="00847810">
          <w:rPr>
            <w:rFonts w:ascii="Times New Roman" w:hAnsi="Times New Roman"/>
          </w:rPr>
          <w:fldChar w:fldCharType="separate"/>
        </w:r>
        <w:r w:rsidR="00722EB2" w:rsidRPr="00722EB2">
          <w:rPr>
            <w:rFonts w:ascii="Times New Roman" w:hAnsi="Times New Roman"/>
            <w:noProof/>
            <w:lang w:val="ru-RU"/>
          </w:rPr>
          <w:t>3</w:t>
        </w:r>
        <w:r w:rsidRPr="00847810">
          <w:rPr>
            <w:rFonts w:ascii="Times New Roman" w:hAnsi="Times New Roman"/>
          </w:rPr>
          <w:fldChar w:fldCharType="end"/>
        </w:r>
        <w:r w:rsidRPr="00847810"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</w:rPr>
          <w:t xml:space="preserve">                                               </w:t>
        </w:r>
        <w:r w:rsidRPr="00847810">
          <w:rPr>
            <w:rFonts w:ascii="Times New Roman" w:hAnsi="Times New Roman"/>
          </w:rPr>
          <w:t xml:space="preserve">Продовження додатка </w:t>
        </w:r>
      </w:p>
    </w:sdtContent>
  </w:sdt>
  <w:p w14:paraId="68F33874" w14:textId="77777777" w:rsidR="00847810" w:rsidRDefault="008478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D33DC"/>
    <w:multiLevelType w:val="hybridMultilevel"/>
    <w:tmpl w:val="0414CCA6"/>
    <w:lvl w:ilvl="0" w:tplc="A8ECF33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6199"/>
    <w:multiLevelType w:val="hybridMultilevel"/>
    <w:tmpl w:val="D84EE558"/>
    <w:lvl w:ilvl="0" w:tplc="940AD1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8DA"/>
    <w:rsid w:val="0004500F"/>
    <w:rsid w:val="000A45DD"/>
    <w:rsid w:val="000D0603"/>
    <w:rsid w:val="0018583A"/>
    <w:rsid w:val="002D33C5"/>
    <w:rsid w:val="00414D0C"/>
    <w:rsid w:val="004418DA"/>
    <w:rsid w:val="00463688"/>
    <w:rsid w:val="004A70FA"/>
    <w:rsid w:val="005C790C"/>
    <w:rsid w:val="00627B36"/>
    <w:rsid w:val="00675B2F"/>
    <w:rsid w:val="006C2A45"/>
    <w:rsid w:val="00722EB2"/>
    <w:rsid w:val="00823896"/>
    <w:rsid w:val="00847810"/>
    <w:rsid w:val="00875EB6"/>
    <w:rsid w:val="009459F6"/>
    <w:rsid w:val="00956FE0"/>
    <w:rsid w:val="00993BD1"/>
    <w:rsid w:val="00A5292A"/>
    <w:rsid w:val="00BD496D"/>
    <w:rsid w:val="00D00267"/>
    <w:rsid w:val="00DE788B"/>
    <w:rsid w:val="00E2139D"/>
    <w:rsid w:val="00EB71F0"/>
    <w:rsid w:val="00EC1FE0"/>
    <w:rsid w:val="00F5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895D"/>
  <w15:docId w15:val="{9AF4C4FC-EA58-424A-840A-CF8AE4E6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810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8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810"/>
    <w:pPr>
      <w:ind w:left="708"/>
    </w:pPr>
  </w:style>
  <w:style w:type="paragraph" w:styleId="a5">
    <w:name w:val="Normal (Web)"/>
    <w:basedOn w:val="a"/>
    <w:uiPriority w:val="99"/>
    <w:unhideWhenUsed/>
    <w:rsid w:val="008478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4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47810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84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47810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IT_reserve</dc:creator>
  <cp:keywords/>
  <dc:description/>
  <cp:lastModifiedBy>ilya</cp:lastModifiedBy>
  <cp:revision>20</cp:revision>
  <dcterms:created xsi:type="dcterms:W3CDTF">2024-07-24T04:41:00Z</dcterms:created>
  <dcterms:modified xsi:type="dcterms:W3CDTF">2024-07-29T06:51:00Z</dcterms:modified>
</cp:coreProperties>
</file>