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Book Antiqua" w:hAnsi="Book Antiqua" w:cs="Book Antiqua"/>
          <w:sz w:val="28"/>
          <w:szCs w:val="28"/>
          <w:lang w:val="uk-UA" w:eastAsia="uk-UA"/>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End w:id="0"/>
      <w:r>
        <w:rPr>
          <w:rFonts w:cs="Book Antiqua" w:ascii="Book Antiqua" w:hAnsi="Book Antiqua"/>
          <w:sz w:val="28"/>
          <w:szCs w:val="28"/>
          <w:lang w:val="uk-UA" w:eastAsia="uk-UA"/>
        </w:rPr>
        <w:drawing>
          <wp:inline distT="0" distB="0" distL="0" distR="0">
            <wp:extent cx="457200" cy="6381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80" t="-57" r="-80" b="-57"/>
                    <a:stretch>
                      <a:fillRect/>
                    </a:stretch>
                  </pic:blipFill>
                  <pic:spPr bwMode="auto">
                    <a:xfrm>
                      <a:off x="0" y="0"/>
                      <a:ext cx="457200" cy="638175"/>
                    </a:xfrm>
                    <a:prstGeom prst="rect">
                      <a:avLst/>
                    </a:prstGeom>
                    <a:noFill/>
                  </pic:spPr>
                </pic:pic>
              </a:graphicData>
            </a:graphic>
          </wp:inline>
        </w:drawing>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tabs>
          <w:tab w:val="clear" w:pos="708"/>
          <w:tab w:val="left" w:pos="7785" w:leader="none"/>
        </w:tabs>
        <w:spacing w:lineRule="auto" w:line="240"/>
        <w:rPr/>
      </w:pPr>
      <w:bookmarkStart w:id="17" w:name="_Hlk178325149"/>
      <w:bookmarkEnd w:id="17"/>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rFonts w:ascii="Times New Roman" w:hAnsi="Times New Roman"/>
          <w:b/>
          <w:sz w:val="36"/>
          <w:szCs w:val="36"/>
          <w:lang w:val="en-US"/>
        </w:rPr>
        <w:t>2</w:t>
      </w:r>
      <w:r>
        <w:rPr>
          <w:rFonts w:ascii="Times New Roman" w:hAnsi="Times New Roman"/>
          <w:b/>
          <w:sz w:val="36"/>
          <w:szCs w:val="36"/>
          <w:lang w:val="en-US"/>
        </w:rPr>
        <w:t>9</w:t>
      </w:r>
      <w:r>
        <w:rPr>
          <w:rFonts w:ascii="Times New Roman" w:hAnsi="Times New Roman"/>
          <w:b/>
          <w:sz w:val="36"/>
          <w:szCs w:val="36"/>
          <w:lang w:val="en-US"/>
        </w:rPr>
        <w:t>.10.2024</w:t>
      </w:r>
      <w:r>
        <w:rPr>
          <w:rFonts w:ascii="Times New Roman" w:hAnsi="Times New Roman"/>
          <w:b/>
          <w:sz w:val="36"/>
          <w:szCs w:val="36"/>
        </w:rPr>
        <w:t xml:space="preserve">                                                            </w:t>
      </w:r>
      <w:r>
        <w:rPr>
          <w:rFonts w:ascii="Times New Roman" w:hAnsi="Times New Roman"/>
          <w:b/>
          <w:sz w:val="36"/>
          <w:szCs w:val="36"/>
          <w:lang w:val="uk-U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b/>
          <w:sz w:val="36"/>
          <w:szCs w:val="36"/>
          <w:lang w:val="uk-UA"/>
        </w:rPr>
        <w:t>31</w:t>
      </w:r>
      <w:r>
        <w:rPr>
          <w:rFonts w:ascii="Times New Roman" w:hAnsi="Times New Roman"/>
          <w:b/>
          <w:sz w:val="36"/>
          <w:szCs w:val="36"/>
          <w:lang w:val="en-US"/>
        </w:rPr>
        <w:t>7</w:t>
      </w:r>
    </w:p>
    <w:tbl>
      <w:tblPr>
        <w:tblW w:w="52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1"/>
      </w:tblGrid>
      <w:tr>
        <w:trPr/>
        <w:tc>
          <w:tcPr>
            <w:tcW w:w="5211" w:type="dxa"/>
            <w:tcBorders/>
          </w:tcPr>
          <w:p>
            <w:pPr>
              <w:pStyle w:val="Normal"/>
              <w:spacing w:lineRule="auto" w:line="240" w:before="0" w:after="0"/>
              <w:jc w:val="both"/>
              <w:rPr>
                <w:rFonts w:ascii="Times New Roman" w:hAnsi="Times New Roman" w:cs="Times New Roman"/>
                <w:sz w:val="24"/>
                <w:szCs w:val="24"/>
                <w:lang w:val="uk-UA"/>
              </w:rPr>
            </w:pPr>
            <w:r>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w:t>
            </w:r>
            <w:r>
              <w:rPr>
                <w:rFonts w:cs="Times New Roman" w:ascii="Times New Roman" w:hAnsi="Times New Roman"/>
                <w:sz w:val="24"/>
                <w:szCs w:val="24"/>
                <w:lang w:val="uk-UA"/>
              </w:rPr>
              <w:t>ро скликання позачергової п’ятдесят другої  сесії  Чорноморської  міської   ради Одеського району Одеської області VIІI скликання</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tabs>
          <w:tab w:val="clear" w:pos="708"/>
          <w:tab w:val="left" w:pos="284" w:leader="none"/>
          <w:tab w:val="left" w:pos="426" w:leader="none"/>
          <w:tab w:val="left" w:pos="709" w:leader="none"/>
        </w:tabs>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Керуючись статтями 26, 42, 46  Закону України «Про місцеве самоврядування в Україні»:</w:t>
      </w:r>
    </w:p>
    <w:p>
      <w:pPr>
        <w:pStyle w:val="Normal"/>
        <w:tabs>
          <w:tab w:val="clear" w:pos="708"/>
          <w:tab w:val="left" w:pos="284" w:leader="none"/>
          <w:tab w:val="left" w:pos="426" w:leader="none"/>
          <w:tab w:val="left" w:pos="709" w:leader="none"/>
        </w:tabs>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І. Скликати  позачергову п’ятдесят другу   сесію Чорноморської міської ради Одеського району Одеської області VІII скликання  30 жовтня   2024 року  о 15.00 в приміщенні  міської  ради.</w:t>
      </w:r>
    </w:p>
    <w:p>
      <w:pPr>
        <w:pStyle w:val="Normal"/>
        <w:spacing w:lineRule="auto" w:line="240"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BodyTextIndented"/>
        <w:tabs>
          <w:tab w:val="clear" w:pos="708"/>
          <w:tab w:val="left" w:pos="851" w:leader="none"/>
        </w:tabs>
        <w:ind w:firstLine="567" w:left="0"/>
        <w:rPr/>
      </w:pPr>
      <w:r>
        <w:rPr/>
        <w:t xml:space="preserve">ІІ. Рекомендувати для розгляду пленарного засідання позачергової  п’ятдесят другої  сесії Чорноморської  міської  ради  Одеського району Одеської області  VIIІ скликання  такі  питання: </w:t>
      </w:r>
    </w:p>
    <w:p>
      <w:pPr>
        <w:pStyle w:val="BodyTextIndented"/>
        <w:tabs>
          <w:tab w:val="clear" w:pos="708"/>
          <w:tab w:val="left" w:pos="851" w:leader="none"/>
        </w:tabs>
        <w:ind w:firstLine="567" w:left="0"/>
        <w:rPr/>
      </w:pPr>
      <w:r>
        <w:rPr/>
      </w:r>
    </w:p>
    <w:tbl>
      <w:tblPr>
        <w:tblStyle w:val="a7"/>
        <w:tblW w:w="966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8959"/>
      </w:tblGrid>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MS Mincho" w:cs="Times New Roman"/>
                <w:sz w:val="24"/>
                <w:szCs w:val="24"/>
                <w:lang w:val="uk-UA" w:eastAsia="ru-RU"/>
              </w:rPr>
            </w:pPr>
            <w:r>
              <w:rPr>
                <w:rFonts w:eastAsia="Calibri" w:cs="Times New Roman" w:ascii="Times New Roman" w:hAnsi="Times New Roman"/>
                <w:kern w:val="0"/>
                <w:sz w:val="24"/>
                <w:szCs w:val="24"/>
                <w:lang w:val="uk-UA" w:eastAsia="en-US" w:bidi="ar-SA"/>
              </w:rPr>
              <w:t>Про звернення Чорноморської міської ради Одеського району Одеської області до Президента України, Верховної Ради України та міст-побратимів щодо підтримки Плану перемоги.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MS Mincho" w:cs="Times New Roman"/>
                <w:sz w:val="24"/>
                <w:szCs w:val="24"/>
                <w:lang w:val="uk-UA" w:eastAsia="ru-RU"/>
              </w:rPr>
            </w:pPr>
            <w:r>
              <w:rPr>
                <w:rFonts w:eastAsia="MS Mincho" w:cs="Times New Roman" w:ascii="Times New Roman" w:hAnsi="Times New Roman"/>
                <w:kern w:val="0"/>
                <w:sz w:val="24"/>
                <w:szCs w:val="24"/>
                <w:lang w:val="uk-UA" w:eastAsia="ru-RU" w:bidi="ar-SA"/>
              </w:rPr>
              <w:t>Про виконання бюджету Чорноморської міської територіальної громади за  9 місяців 2024 року.</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3.</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Міської цільової програми</w:t>
            </w:r>
            <w:r>
              <w:rPr>
                <w:rFonts w:eastAsia="Calibri" w:cs="Times New Roman" w:ascii="Times New Roman" w:hAnsi="Times New Roman"/>
                <w:b/>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4.</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5.</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6.</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MS Mincho" w:cs="Times New Roman"/>
                <w:sz w:val="24"/>
                <w:szCs w:val="24"/>
                <w:lang w:val="uk-UA" w:eastAsia="ru-RU"/>
              </w:rPr>
            </w:pPr>
            <w:r>
              <w:rPr>
                <w:rFonts w:eastAsia="MS Mincho" w:cs="Times New Roman" w:ascii="Times New Roman" w:hAnsi="Times New Roman"/>
                <w:kern w:val="0"/>
                <w:sz w:val="24"/>
                <w:szCs w:val="24"/>
                <w:lang w:val="uk-UA" w:eastAsia="ru-RU" w:bidi="ar-S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7.</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MS Mincho" w:cs="Times New Roman"/>
                <w:sz w:val="24"/>
                <w:szCs w:val="24"/>
                <w:lang w:val="uk-UA" w:eastAsia="ru-RU"/>
              </w:rPr>
            </w:pPr>
            <w:r>
              <w:rPr>
                <w:rFonts w:eastAsia="MS Mincho" w:cs="Times New Roman" w:ascii="Times New Roman" w:hAnsi="Times New Roman"/>
                <w:kern w:val="0"/>
                <w:sz w:val="24"/>
                <w:szCs w:val="24"/>
                <w:lang w:val="uk-UA" w:eastAsia="ru-RU" w:bidi="ar-S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8.</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kern w:val="0"/>
                <w:sz w:val="24"/>
                <w:szCs w:val="24"/>
                <w:lang w:val="uk-UA" w:eastAsia="en-US" w:bidi="ar-SA"/>
              </w:rPr>
              <w:t xml:space="preserve">Про внесення змін до </w:t>
            </w:r>
            <w:r>
              <w:rPr>
                <w:rFonts w:eastAsia="Calibri" w:cs="Times New Roman" w:ascii="Times New Roman" w:hAnsi="Times New Roman"/>
                <w:kern w:val="0"/>
                <w:sz w:val="24"/>
                <w:szCs w:val="24"/>
                <w:lang w:val="uk-UA" w:eastAsia="en-US" w:bidi="ar-S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eastAsia="Calibri" w:cs="Times New Roman" w:ascii="Times New Roman" w:hAnsi="Times New Roman"/>
                <w:spacing w:val="-2"/>
                <w:kern w:val="0"/>
                <w:sz w:val="24"/>
                <w:szCs w:val="24"/>
                <w:lang w:val="uk-UA" w:eastAsia="en-US" w:bidi="ar-SA"/>
              </w:rPr>
              <w:t xml:space="preserve"> 2024 рік</w:t>
            </w:r>
            <w:r>
              <w:rPr>
                <w:rFonts w:eastAsia="Times New Roman" w:cs="Times New Roman" w:ascii="Times New Roman" w:hAnsi="Times New Roman"/>
                <w:kern w:val="0"/>
                <w:sz w:val="24"/>
                <w:szCs w:val="24"/>
                <w:lang w:val="uk-UA" w:eastAsia="en-US" w:bidi="ar-SA"/>
              </w:rPr>
              <w:t>, затвердженої рішенням Чорноморської міської ради Одеського району Одеської області від 22.12.2023                 № 516-VIII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9.</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10.</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eastAsia="MS Mincho" w:cs="Times New Roman"/>
                <w:sz w:val="24"/>
                <w:szCs w:val="24"/>
                <w:lang w:val="uk-UA" w:eastAsia="ru-RU"/>
              </w:rPr>
            </w:pPr>
            <w:r>
              <w:rPr>
                <w:rFonts w:eastAsia="MS Mincho" w:cs="Times New Roman" w:ascii="Times New Roman" w:hAnsi="Times New Roman"/>
                <w:kern w:val="0"/>
                <w:sz w:val="24"/>
                <w:szCs w:val="24"/>
                <w:lang w:val="uk-UA" w:eastAsia="ru-RU" w:bidi="ar-S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11.</w:t>
            </w:r>
          </w:p>
        </w:tc>
        <w:tc>
          <w:tcPr>
            <w:tcW w:w="8959" w:type="dxa"/>
            <w:tcBorders>
              <w:top w:val="nil"/>
              <w:left w:val="nil"/>
              <w:bottom w:val="nil"/>
              <w:right w:val="nil"/>
            </w:tcBorders>
          </w:tcPr>
          <w:p>
            <w:pPr>
              <w:pStyle w:val="Normal"/>
              <w:widowControl/>
              <w:pBdr/>
              <w:spacing w:lineRule="auto" w:line="240" w:before="0" w:after="0"/>
              <w:ind w:right="3"/>
              <w:jc w:val="both"/>
              <w:rPr>
                <w:rFonts w:ascii="Times New Roman" w:hAnsi="Times New Roman" w:eastAsia="Times New Roman" w:cs="Times New Roman"/>
                <w:sz w:val="24"/>
                <w:szCs w:val="24"/>
                <w:lang w:val="uk-UA"/>
              </w:rPr>
            </w:pPr>
            <w:r>
              <w:rPr>
                <w:rFonts w:eastAsia="Times New Roman" w:cs="Times New Roman" w:ascii="Times New Roman" w:hAnsi="Times New Roman"/>
                <w:kern w:val="0"/>
                <w:sz w:val="24"/>
                <w:szCs w:val="24"/>
                <w:lang w:val="uk-UA" w:eastAsia="en-US" w:bidi="ar-SA"/>
              </w:rPr>
              <w:t xml:space="preserve">Про продовження терміну дії </w:t>
            </w:r>
            <w:r>
              <w:rPr>
                <w:rFonts w:eastAsia="Times New Roman" w:cs="Times New Roman" w:ascii="Times New Roman" w:hAnsi="Times New Roman"/>
                <w:kern w:val="0"/>
                <w:sz w:val="24"/>
                <w:szCs w:val="24"/>
                <w:lang w:val="uk-UA" w:eastAsia="en-US" w:bidi="ar-SA"/>
              </w:rPr>
              <w:t>Міської програми співфінансування заходів, направлених на доведення багатоквартирних житлових будинків 13-го мікрорайону м. Чорноморська</w:t>
            </w:r>
            <w:r>
              <w:rPr>
                <w:rFonts w:eastAsia="Calibri" w:cs="Times New Roman" w:ascii="Times New Roman" w:hAnsi="Times New Roman"/>
                <w:kern w:val="0"/>
                <w:sz w:val="24"/>
                <w:szCs w:val="24"/>
                <w:lang w:val="uk-UA" w:eastAsia="en-US" w:bidi="ar-SA"/>
              </w:rPr>
              <w:t xml:space="preserve"> </w:t>
            </w:r>
            <w:r>
              <w:rPr>
                <w:rFonts w:eastAsia="Times New Roman" w:cs="Times New Roman" w:ascii="Times New Roman" w:hAnsi="Times New Roman"/>
                <w:kern w:val="0"/>
                <w:sz w:val="24"/>
                <w:szCs w:val="24"/>
                <w:lang w:val="uk-UA" w:eastAsia="en-US" w:bidi="ar-SA"/>
              </w:rPr>
              <w:t>до стану, придатного для проживання, на 2021-2024 роки</w:t>
            </w:r>
            <w:r>
              <w:rPr>
                <w:rFonts w:eastAsia="Times New Roman" w:cs="Times New Roman" w:ascii="Times New Roman" w:hAnsi="Times New Roman"/>
                <w:kern w:val="0"/>
                <w:sz w:val="24"/>
                <w:szCs w:val="24"/>
                <w:lang w:val="uk-UA" w:eastAsia="en-US" w:bidi="ar-SA"/>
              </w:rPr>
              <w:t>, затвердженої рішенням Чорноморської міської ради Одеського району Одеської області від 12.04.2021 № 55-VІII,</w:t>
            </w:r>
            <w:r>
              <w:rPr>
                <w:rFonts w:eastAsia="Times New Roman" w:cs="Times New Roman" w:ascii="Times New Roman" w:hAnsi="Times New Roman"/>
                <w:kern w:val="0"/>
                <w:sz w:val="24"/>
                <w:szCs w:val="24"/>
                <w:lang w:val="uk-UA" w:eastAsia="en-US" w:bidi="ar-SA"/>
              </w:rPr>
              <w:t xml:space="preserve"> на 2025 рік та внесення змін до даної програми.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12.</w:t>
            </w:r>
          </w:p>
        </w:tc>
        <w:tc>
          <w:tcPr>
            <w:tcW w:w="8959" w:type="dxa"/>
            <w:tcBorders>
              <w:top w:val="nil"/>
              <w:left w:val="nil"/>
              <w:bottom w:val="nil"/>
              <w:right w:val="nil"/>
            </w:tcBorders>
          </w:tcPr>
          <w:p>
            <w:pPr>
              <w:pStyle w:val="Normal"/>
              <w:widowControl/>
              <w:tabs>
                <w:tab w:val="clear" w:pos="708"/>
                <w:tab w:val="left" w:pos="567" w:leader="none"/>
                <w:tab w:val="left" w:pos="709" w:leader="none"/>
                <w:tab w:val="left" w:pos="851" w:leader="none"/>
              </w:tabs>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затвердження Міської цільової програми  фінансової підтримки Іллічівського міського суду Одеської області на 2024 рік.</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13.</w:t>
            </w:r>
          </w:p>
        </w:tc>
        <w:tc>
          <w:tcPr>
            <w:tcW w:w="8959" w:type="dxa"/>
            <w:tcBorders>
              <w:top w:val="nil"/>
              <w:left w:val="nil"/>
              <w:bottom w:val="nil"/>
              <w:right w:val="nil"/>
            </w:tcBorders>
          </w:tcPr>
          <w:p>
            <w:pPr>
              <w:pStyle w:val="BodyText"/>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14.</w:t>
            </w:r>
          </w:p>
        </w:tc>
        <w:tc>
          <w:tcPr>
            <w:tcW w:w="8959" w:type="dxa"/>
            <w:tcBorders>
              <w:top w:val="nil"/>
              <w:left w:val="nil"/>
              <w:bottom w:val="nil"/>
              <w:right w:val="nil"/>
            </w:tcBorders>
          </w:tcPr>
          <w:p>
            <w:pPr>
              <w:pStyle w:val="Normal"/>
              <w:widowControl/>
              <w:tabs>
                <w:tab w:val="clear" w:pos="708"/>
                <w:tab w:val="left" w:pos="709" w:leader="none"/>
                <w:tab w:val="left" w:pos="851" w:leader="none"/>
                <w:tab w:val="left" w:pos="993"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kern w:val="0"/>
                <w:sz w:val="24"/>
                <w:szCs w:val="24"/>
                <w:lang w:val="uk-UA" w:eastAsia="en-US" w:bidi="ar-S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15.</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color w:val="000000"/>
                <w:sz w:val="24"/>
                <w:szCs w:val="24"/>
                <w:lang w:val="uk-UA"/>
              </w:rPr>
            </w:pPr>
            <w:r>
              <w:rPr>
                <w:rFonts w:eastAsia="Times New Roman" w:cs="Times New Roman" w:ascii="Times New Roman" w:hAnsi="Times New Roman"/>
                <w:color w:val="000000"/>
                <w:kern w:val="0"/>
                <w:sz w:val="24"/>
                <w:szCs w:val="24"/>
                <w:lang w:val="uk-UA" w:eastAsia="en-US" w:bidi="ar-SA"/>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16.</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color w:val="000000"/>
                <w:sz w:val="24"/>
                <w:szCs w:val="24"/>
                <w:lang w:val="uk-UA"/>
              </w:rPr>
            </w:pPr>
            <w:r>
              <w:rPr>
                <w:rFonts w:eastAsia="Times New Roman" w:cs="Times New Roman" w:ascii="Times New Roman" w:hAnsi="Times New Roman"/>
                <w:color w:val="000000"/>
                <w:kern w:val="0"/>
                <w:sz w:val="24"/>
                <w:szCs w:val="24"/>
                <w:lang w:val="uk-UA" w:eastAsia="en-US" w:bidi="ar-SA"/>
              </w:rPr>
              <w:t>Про визначення майна, яке належить до комунальної  власності Чорноморської міської територіальної громади, та його балансоутримувача.</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17.</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color w:val="000000"/>
                <w:sz w:val="24"/>
                <w:szCs w:val="24"/>
                <w:lang w:val="uk-UA"/>
              </w:rPr>
            </w:pPr>
            <w:r>
              <w:rPr>
                <w:rFonts w:eastAsia="Calibri" w:cs="Times New Roman" w:ascii="Times New Roman" w:hAnsi="Times New Roman"/>
                <w:color w:val="000000"/>
                <w:kern w:val="0"/>
                <w:sz w:val="24"/>
                <w:szCs w:val="24"/>
                <w:lang w:val="uk-UA" w:eastAsia="en-US" w:bidi="ar-SA"/>
              </w:rPr>
              <w:t>Про надання дозволу  виконавчому комітету Чорноморської  міської ради Одеського району Одеської області на списання майна  (геліосистема).</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18.</w:t>
            </w:r>
          </w:p>
        </w:tc>
        <w:tc>
          <w:tcPr>
            <w:tcW w:w="8959" w:type="dxa"/>
            <w:tcBorders>
              <w:top w:val="nil"/>
              <w:left w:val="nil"/>
              <w:bottom w:val="nil"/>
              <w:right w:val="nil"/>
            </w:tcBorders>
          </w:tcPr>
          <w:p>
            <w:pPr>
              <w:pStyle w:val="Normal"/>
              <w:widowControl/>
              <w:spacing w:lineRule="auto" w:line="240" w:before="0" w:after="0"/>
              <w:ind w:right="24"/>
              <w:jc w:val="both"/>
              <w:rPr>
                <w:rFonts w:ascii="Times New Roman" w:hAnsi="Times New Roman" w:cs="Times New Roman"/>
                <w:color w:val="000000"/>
                <w:sz w:val="24"/>
                <w:szCs w:val="24"/>
                <w:lang w:val="uk-UA"/>
              </w:rPr>
            </w:pPr>
            <w:r>
              <w:rPr>
                <w:rFonts w:eastAsia="Calibri" w:cs="Times New Roman" w:ascii="Times New Roman" w:hAnsi="Times New Roman"/>
                <w:kern w:val="0"/>
                <w:sz w:val="24"/>
                <w:szCs w:val="24"/>
                <w:lang w:val="uk-UA" w:eastAsia="en-US" w:bidi="ar-SA"/>
              </w:rPr>
              <w:t>Про надання  згоди  на  безоплатне  прийняття до комунальної власності Чорноморської міської територіальної громади</w:t>
            </w:r>
            <w:r>
              <w:rPr>
                <w:rFonts w:eastAsia="Calibri" w:cs="Times New Roman" w:ascii="Times New Roman" w:hAnsi="Times New Roman"/>
                <w:color w:val="000000"/>
                <w:kern w:val="0"/>
                <w:sz w:val="24"/>
                <w:szCs w:val="24"/>
                <w:lang w:val="uk-UA" w:eastAsia="en-US" w:bidi="ar-SA"/>
              </w:rPr>
              <w:t xml:space="preserve"> мереж водопроводу  по провулку Олександрійський у  м.  Чорноморську.</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19.</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bookmarkStart w:id="18" w:name="_Hlk130807896"/>
            <w:r>
              <w:rPr>
                <w:rStyle w:val="xfm08858730"/>
                <w:rFonts w:eastAsia="Calibri" w:cs="Times New Roman" w:ascii="Times New Roman" w:hAnsi="Times New Roman"/>
                <w:kern w:val="0"/>
                <w:sz w:val="24"/>
                <w:szCs w:val="24"/>
                <w:lang w:val="uk-UA" w:eastAsia="en-US" w:bidi="ar-SA"/>
              </w:rPr>
              <w:t xml:space="preserve">Про надання згоди та безоплатне прийняття до комунальної власності Чорноморської міської територіальної громади </w:t>
            </w:r>
            <w:r>
              <w:rPr>
                <w:rFonts w:eastAsia="Calibri" w:cs="Times New Roman" w:ascii="Times New Roman" w:hAnsi="Times New Roman"/>
                <w:kern w:val="0"/>
                <w:sz w:val="24"/>
                <w:szCs w:val="24"/>
                <w:lang w:val="uk-UA" w:eastAsia="en-US" w:bidi="ar-SA"/>
              </w:rPr>
              <w:t xml:space="preserve">іншого окремого індивідуально визначеного майна (пересувна освітлювальна вежа з генератором на причепі) </w:t>
            </w:r>
            <w:r>
              <w:rPr>
                <w:rStyle w:val="xfm08858730"/>
                <w:rFonts w:eastAsia="Calibri" w:cs="Times New Roman" w:ascii="Times New Roman" w:hAnsi="Times New Roman"/>
                <w:kern w:val="0"/>
                <w:sz w:val="24"/>
                <w:szCs w:val="24"/>
                <w:lang w:val="uk-UA" w:eastAsia="en-US" w:bidi="ar-SA"/>
              </w:rPr>
              <w:t>в рамках Проєкту "Підвищення ефективності роботи і підзвітності органів місцевого самоврядування" ("ГОВЕРЛА")</w:t>
            </w:r>
            <w:bookmarkEnd w:id="18"/>
            <w:r>
              <w:rPr>
                <w:rStyle w:val="xfm08858730"/>
                <w:rFonts w:eastAsia="Calibri" w:cs="Times New Roman" w:ascii="Times New Roman" w:hAnsi="Times New Roman"/>
                <w:kern w:val="0"/>
                <w:sz w:val="24"/>
                <w:szCs w:val="24"/>
                <w:lang w:val="uk-UA" w:eastAsia="en-US" w:bidi="ar-SA"/>
              </w:rPr>
              <w:t>.</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20.</w:t>
            </w:r>
          </w:p>
        </w:tc>
        <w:tc>
          <w:tcPr>
            <w:tcW w:w="8959" w:type="dxa"/>
            <w:tcBorders>
              <w:top w:val="nil"/>
              <w:left w:val="nil"/>
              <w:bottom w:val="nil"/>
              <w:right w:val="nil"/>
            </w:tcBorders>
          </w:tcPr>
          <w:p>
            <w:pPr>
              <w:pStyle w:val="Normal"/>
              <w:widowControl/>
              <w:tabs>
                <w:tab w:val="clear" w:pos="708"/>
                <w:tab w:val="left" w:pos="4111" w:leader="none"/>
                <w:tab w:val="left" w:pos="4962" w:leader="none"/>
              </w:tabs>
              <w:spacing w:lineRule="auto" w:line="240" w:before="0" w:after="0"/>
              <w:ind w:right="32"/>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включення об’єкта комунальної власності  до Переліку другого типу (нежитлові приміщення загальною площею 8,4 кв.м  по  вул. 1 Травня, 3 у                        м. Чорноморську).</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21.</w:t>
            </w:r>
          </w:p>
        </w:tc>
        <w:tc>
          <w:tcPr>
            <w:tcW w:w="8959" w:type="dxa"/>
            <w:tcBorders>
              <w:top w:val="nil"/>
              <w:left w:val="nil"/>
              <w:bottom w:val="nil"/>
              <w:right w:val="nil"/>
            </w:tcBorders>
          </w:tcPr>
          <w:p>
            <w:pPr>
              <w:pStyle w:val="Normal"/>
              <w:widowControl/>
              <w:tabs>
                <w:tab w:val="clear" w:pos="708"/>
                <w:tab w:val="left" w:pos="4820" w:leader="none"/>
              </w:tabs>
              <w:spacing w:lineRule="auto" w:line="240" w:before="0" w:after="0"/>
              <w:ind w:right="25"/>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kern w:val="0"/>
                <w:sz w:val="24"/>
                <w:szCs w:val="24"/>
                <w:lang w:val="uk-UA" w:eastAsia="ru-RU" w:bidi="ar-SA"/>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Pr>
                <w:rFonts w:eastAsia="Calibri" w:cs="Times New Roman" w:ascii="Times New Roman" w:hAnsi="Times New Roman"/>
                <w:kern w:val="0"/>
                <w:sz w:val="24"/>
                <w:szCs w:val="24"/>
                <w:lang w:val="uk-UA" w:eastAsia="en-US" w:bidi="ar-SA"/>
              </w:rPr>
              <w:t>Чорноморської міської ради Одеського району Одеської області</w:t>
            </w:r>
            <w:r>
              <w:rPr>
                <w:rFonts w:eastAsia="Times New Roman" w:cs="Times New Roman" w:ascii="Times New Roman" w:hAnsi="Times New Roman"/>
                <w:color w:val="000000"/>
                <w:kern w:val="0"/>
                <w:sz w:val="24"/>
                <w:szCs w:val="24"/>
                <w:lang w:val="uk-UA" w:eastAsia="ru-RU" w:bidi="ar-SA"/>
              </w:rPr>
              <w:t>» нежитлового вбудовано-прибудованого приміщення загальною площею 114,3 кв.м по вулиці Віталія Шума, 21/251-С у м. Чорноморську.</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22.</w:t>
            </w:r>
          </w:p>
        </w:tc>
        <w:tc>
          <w:tcPr>
            <w:tcW w:w="8959" w:type="dxa"/>
            <w:tcBorders>
              <w:top w:val="nil"/>
              <w:left w:val="nil"/>
              <w:bottom w:val="nil"/>
              <w:right w:val="nil"/>
            </w:tcBorders>
          </w:tcPr>
          <w:p>
            <w:pPr>
              <w:pStyle w:val="Normal"/>
              <w:widowControl/>
              <w:spacing w:lineRule="auto" w:line="240" w:before="0" w:after="0"/>
              <w:ind w:right="-22"/>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затвердження регламенту Центру надання адміністративних послуг у                                    м. Чорноморську в новій редакції.</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23.</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24.</w:t>
            </w:r>
          </w:p>
        </w:tc>
        <w:tc>
          <w:tcPr>
            <w:tcW w:w="8959" w:type="dxa"/>
            <w:tcBorders>
              <w:top w:val="nil"/>
              <w:left w:val="nil"/>
              <w:bottom w:val="nil"/>
              <w:right w:val="nil"/>
            </w:tcBorders>
          </w:tcPr>
          <w:p>
            <w:pPr>
              <w:pStyle w:val="Normal"/>
              <w:widowControl/>
              <w:spacing w:lineRule="auto" w:line="240" w:before="0" w:after="0"/>
              <w:ind w:right="15"/>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затвердження плану розвитку комунального некомерційного підприємства «Чорноморська лікарня» Чорноморської міської ради Одеського району Одеської області на 2024-2028 роки.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25.</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bookmarkStart w:id="19" w:name="_Hlk178683833"/>
            <w:r>
              <w:rPr>
                <w:rFonts w:eastAsia="Calibri" w:cs="Times New Roman" w:ascii="Times New Roman" w:hAnsi="Times New Roman"/>
                <w:kern w:val="0"/>
                <w:sz w:val="24"/>
                <w:szCs w:val="24"/>
                <w:lang w:val="uk-UA" w:eastAsia="en-US" w:bidi="ar-SA"/>
              </w:rPr>
              <w:t>Про внесення змін до рішення Чорноморської міської ради Одеського району Одеської області від 12.04.2024 № 588-VIII «Про створення Алеї Пам’яті».</w:t>
            </w:r>
            <w:bookmarkEnd w:id="19"/>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26.</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затвердження положення про Алею Пам’яті.</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27.</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kern w:val="0"/>
                <w:sz w:val="24"/>
                <w:szCs w:val="24"/>
                <w:lang w:val="uk-UA" w:eastAsia="ru-RU" w:bidi="ar-SA"/>
              </w:rPr>
              <w:t>Про внесення змін до рішення Чорноморської міської ради Одеського району Одеської області від 12.03.2016 № 67-VІI «</w:t>
            </w:r>
            <w:r>
              <w:rPr>
                <w:rFonts w:eastAsia="Calibri" w:cs="Times New Roman" w:ascii="Times New Roman" w:hAnsi="Times New Roman"/>
                <w:kern w:val="0"/>
                <w:sz w:val="24"/>
                <w:szCs w:val="24"/>
                <w:shd w:fill="FFFFFF" w:val="clear"/>
                <w:lang w:val="uk-UA" w:eastAsia="en-US" w:bidi="ar-SA"/>
              </w:rPr>
              <w:t>Про затвердження структури та загальної чисельності апарату виконавчих органів Чорноморської міської ради</w:t>
            </w:r>
            <w:r>
              <w:rPr>
                <w:rFonts w:eastAsia="Times New Roman" w:cs="Times New Roman" w:ascii="Times New Roman" w:hAnsi="Times New Roman"/>
                <w:kern w:val="0"/>
                <w:sz w:val="24"/>
                <w:szCs w:val="24"/>
                <w:lang w:val="uk-UA" w:eastAsia="ru-RU" w:bidi="ar-SA"/>
              </w:rPr>
              <w:t xml:space="preserve"> Одеського району Одеської області» (зі змінами).</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28.</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sz w:val="24"/>
                <w:szCs w:val="24"/>
                <w:lang w:val="uk-UA" w:eastAsia="ru-RU"/>
              </w:rPr>
            </w:pPr>
            <w:r>
              <w:rPr>
                <w:rFonts w:eastAsia="Calibri" w:cs="Times New Roman" w:ascii="Times New Roman" w:hAnsi="Times New Roman"/>
                <w:kern w:val="0"/>
                <w:sz w:val="24"/>
                <w:szCs w:val="24"/>
                <w:lang w:val="uk-UA" w:eastAsia="en-US" w:bidi="ar-SA"/>
              </w:rPr>
              <w:t>Про затвердження положення про управління забезпечення діяльності Центру надання адміністративних послуг у м. Чорноморську в новій редакції.</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29.</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припинення участі у Всеукраїнській  асоціації органів місцевого самоврядування «Асоціація об’єднаних територіальних громад».</w:t>
            </w:r>
          </w:p>
        </w:tc>
      </w:tr>
      <w:tr>
        <w:trPr/>
        <w:tc>
          <w:tcPr>
            <w:tcW w:w="708"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bCs/>
                <w:sz w:val="24"/>
                <w:szCs w:val="24"/>
                <w:lang w:val="uk-UA"/>
              </w:rPr>
            </w:pPr>
            <w:r>
              <w:rPr>
                <w:rFonts w:eastAsia="Calibri" w:cs="Times New Roman" w:ascii="Times New Roman" w:hAnsi="Times New Roman"/>
                <w:b/>
                <w:bCs/>
                <w:kern w:val="0"/>
                <w:sz w:val="24"/>
                <w:szCs w:val="24"/>
                <w:lang w:val="uk-UA" w:eastAsia="en-US" w:bidi="ar-SA"/>
              </w:rPr>
              <w:t>30.</w:t>
            </w:r>
          </w:p>
        </w:tc>
        <w:tc>
          <w:tcPr>
            <w:tcW w:w="8959"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Земельні правовідносини.</w:t>
            </w:r>
          </w:p>
        </w:tc>
      </w:tr>
    </w:tbl>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Міський голова </w:t>
        <w:tab/>
        <w:tab/>
        <w:tab/>
        <w:tab/>
        <w:tab/>
        <w:tab/>
        <w:t xml:space="preserve">     Василь ГУЛЯЄВ</w:t>
      </w:r>
    </w:p>
    <w:sectPr>
      <w:headerReference w:type="even" r:id="rId3"/>
      <w:headerReference w:type="default" r:id="rId4"/>
      <w:headerReference w:type="first" r:id="rId5"/>
      <w:type w:val="nextPage"/>
      <w:pgSz w:w="11906" w:h="16838"/>
      <w:pgMar w:left="1701" w:right="566" w:gutter="0" w:header="708" w:top="851" w:footer="0" w:bottom="426"/>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auto"/>
    <w:pitch w:val="variable"/>
  </w:font>
  <w:font w:name="Liberation Sans">
    <w:altName w:val="Arial"/>
    <w:charset w:val="cc"/>
    <w:family w:val="swiss"/>
    <w:pitch w:val="variable"/>
  </w:font>
  <w:font w:name="Book Antiqua">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4207331"/>
    </w:sdtPr>
    <w:sdtContent>
      <w:p>
        <w:pPr>
          <w:pStyle w:val="Header"/>
          <w:jc w:val="right"/>
          <w:rPr/>
        </w:pPr>
        <w:r>
          <w:rPr/>
          <w:fldChar w:fldCharType="begin"/>
        </w:r>
        <w:r>
          <w:rPr/>
          <w:instrText xml:space="preserve"> PAGE </w:instrText>
        </w:r>
        <w:r>
          <w:rPr/>
          <w:fldChar w:fldCharType="separate"/>
        </w:r>
        <w:r>
          <w:rPr/>
          <w:t>0</w:t>
        </w:r>
        <w:r>
          <w:rPr/>
          <w:fldChar w:fldCharType="end"/>
        </w:r>
      </w:p>
    </w:sdtContent>
  </w:sdt>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41156073"/>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5">
    <w:name w:val="heading 5"/>
    <w:basedOn w:val="Normal"/>
    <w:next w:val="Normal"/>
    <w:link w:val="5"/>
    <w:qFormat/>
    <w:rsid w:val="000f2cdd"/>
    <w:pPr>
      <w:keepNext w:val="true"/>
      <w:spacing w:lineRule="auto" w:line="240" w:before="0" w:after="0"/>
      <w:ind w:right="43"/>
      <w:outlineLvl w:val="4"/>
    </w:pPr>
    <w:rPr>
      <w:rFonts w:ascii="Times New Roman" w:hAnsi="Times New Roman" w:eastAsia="Times New Roman" w:cs="Times New Roman"/>
      <w:sz w:val="24"/>
      <w:szCs w:val="20"/>
      <w:lang w:val="uk-UA" w:eastAsia="ru-RU"/>
    </w:rPr>
  </w:style>
  <w:style w:type="character" w:styleId="DefaultParagraphFont" w:default="1">
    <w:name w:val="Default Paragraph Font"/>
    <w:uiPriority w:val="1"/>
    <w:semiHidden/>
    <w:unhideWhenUsed/>
    <w:qFormat/>
    <w:rPr/>
  </w:style>
  <w:style w:type="character" w:styleId="Style13" w:customStyle="1">
    <w:name w:val="Основний текст з відступом Знак"/>
    <w:basedOn w:val="DefaultParagraphFont"/>
    <w:link w:val="BodyTextIndented"/>
    <w:qFormat/>
    <w:rsid w:val="007d7275"/>
    <w:rPr>
      <w:rFonts w:ascii="Times New Roman" w:hAnsi="Times New Roman" w:eastAsia="Times New Roman" w:cs="Times New Roman"/>
      <w:sz w:val="24"/>
      <w:szCs w:val="24"/>
      <w:lang w:val="uk-UA"/>
    </w:rPr>
  </w:style>
  <w:style w:type="character" w:styleId="Style14" w:customStyle="1">
    <w:name w:val="Абзац списку Знак"/>
    <w:basedOn w:val="DefaultParagraphFont"/>
    <w:link w:val="ListParagraph"/>
    <w:uiPriority w:val="34"/>
    <w:qFormat/>
    <w:locked/>
    <w:rsid w:val="007d7275"/>
    <w:rPr/>
  </w:style>
  <w:style w:type="character" w:styleId="xfm08858730" w:customStyle="1">
    <w:name w:val="xfm_08858730"/>
    <w:basedOn w:val="DefaultParagraphFont"/>
    <w:qFormat/>
    <w:rsid w:val="007d7275"/>
    <w:rPr/>
  </w:style>
  <w:style w:type="character" w:styleId="Style15" w:customStyle="1">
    <w:name w:val="Верхній колонтитул Знак"/>
    <w:basedOn w:val="DefaultParagraphFont"/>
    <w:uiPriority w:val="99"/>
    <w:qFormat/>
    <w:rsid w:val="00557939"/>
    <w:rPr/>
  </w:style>
  <w:style w:type="character" w:styleId="Style16" w:customStyle="1">
    <w:name w:val="Нижній колонтитул Знак"/>
    <w:basedOn w:val="DefaultParagraphFont"/>
    <w:uiPriority w:val="99"/>
    <w:qFormat/>
    <w:rsid w:val="00557939"/>
    <w:rPr/>
  </w:style>
  <w:style w:type="character" w:styleId="Style17" w:customStyle="1">
    <w:name w:val="Основний текст Знак"/>
    <w:basedOn w:val="DefaultParagraphFont"/>
    <w:uiPriority w:val="99"/>
    <w:qFormat/>
    <w:rsid w:val="00285b15"/>
    <w:rPr/>
  </w:style>
  <w:style w:type="character" w:styleId="2" w:customStyle="1">
    <w:name w:val="Основний текст 2 Знак"/>
    <w:basedOn w:val="DefaultParagraphFont"/>
    <w:link w:val="BodyText2"/>
    <w:uiPriority w:val="99"/>
    <w:semiHidden/>
    <w:qFormat/>
    <w:rsid w:val="007d6543"/>
    <w:rPr/>
  </w:style>
  <w:style w:type="character" w:styleId="HTML" w:customStyle="1">
    <w:name w:val="Стандартний HTML Знак"/>
    <w:basedOn w:val="DefaultParagraphFont"/>
    <w:link w:val="HTMLPreformatted"/>
    <w:uiPriority w:val="99"/>
    <w:qFormat/>
    <w:rsid w:val="006d0f6e"/>
    <w:rPr>
      <w:rFonts w:ascii="Courier New" w:hAnsi="Courier New" w:eastAsia="Times New Roman" w:cs="Courier New"/>
      <w:sz w:val="20"/>
      <w:szCs w:val="20"/>
      <w:lang w:val="uk-UA" w:eastAsia="uk-UA"/>
    </w:rPr>
  </w:style>
  <w:style w:type="character" w:styleId="FontStyle31" w:customStyle="1">
    <w:name w:val="Font Style31"/>
    <w:uiPriority w:val="99"/>
    <w:qFormat/>
    <w:rsid w:val="00741938"/>
    <w:rPr>
      <w:rFonts w:ascii="Times New Roman" w:hAnsi="Times New Roman" w:cs="Times New Roman"/>
      <w:b/>
      <w:bCs/>
      <w:sz w:val="18"/>
      <w:szCs w:val="18"/>
    </w:rPr>
  </w:style>
  <w:style w:type="character" w:styleId="5" w:customStyle="1">
    <w:name w:val="Заголовок 5 Знак"/>
    <w:basedOn w:val="DefaultParagraphFont"/>
    <w:qFormat/>
    <w:rsid w:val="000f2cdd"/>
    <w:rPr>
      <w:rFonts w:ascii="Times New Roman" w:hAnsi="Times New Roman" w:eastAsia="Times New Roman" w:cs="Times New Roman"/>
      <w:sz w:val="24"/>
      <w:szCs w:val="20"/>
      <w:lang w:val="uk-UA" w:eastAsia="ru-RU"/>
    </w:rPr>
  </w:style>
  <w:style w:type="character" w:styleId="Strong">
    <w:name w:val="Strong"/>
    <w:basedOn w:val="DefaultParagraphFont"/>
    <w:uiPriority w:val="22"/>
    <w:qFormat/>
    <w:rsid w:val="000f2cdd"/>
    <w:rPr>
      <w:b/>
      <w:bCs/>
    </w:rPr>
  </w:style>
  <w:style w:type="character" w:styleId="Style18" w:customStyle="1">
    <w:name w:val="Назва Знак"/>
    <w:basedOn w:val="DefaultParagraphFont"/>
    <w:qFormat/>
    <w:rsid w:val="00fc4738"/>
    <w:rPr>
      <w:rFonts w:ascii="Times New Roman" w:hAnsi="Times New Roman" w:eastAsia="Times New Roman" w:cs="Times New Roman"/>
      <w:sz w:val="28"/>
      <w:szCs w:val="24"/>
      <w:lang w:val="uk-UA" w:eastAsia="ru-RU"/>
    </w:rPr>
  </w:style>
  <w:style w:type="character" w:styleId="Style19" w:customStyle="1">
    <w:name w:val="Шрифт абзацу за промовчанням"/>
    <w:qFormat/>
    <w:rsid w:val="00790ee7"/>
    <w:rPr/>
  </w:style>
  <w:style w:type="paragraph" w:styleId="Style20">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7"/>
    <w:uiPriority w:val="99"/>
    <w:unhideWhenUsed/>
    <w:rsid w:val="00285b15"/>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1">
    <w:name w:val="Покажчик"/>
    <w:basedOn w:val="Normal"/>
    <w:qFormat/>
    <w:pPr>
      <w:suppressLineNumbers/>
    </w:pPr>
    <w:rPr>
      <w:rFonts w:cs="Lucida Sans"/>
    </w:rPr>
  </w:style>
  <w:style w:type="paragraph" w:styleId="ListParagraph">
    <w:name w:val="List Paragraph"/>
    <w:basedOn w:val="Normal"/>
    <w:link w:val="Style14"/>
    <w:uiPriority w:val="34"/>
    <w:qFormat/>
    <w:rsid w:val="007d7275"/>
    <w:pPr>
      <w:spacing w:lineRule="auto" w:line="276" w:before="0" w:after="200"/>
      <w:ind w:left="720"/>
      <w:contextualSpacing/>
    </w:pPr>
    <w:rPr/>
  </w:style>
  <w:style w:type="paragraph" w:styleId="BodyTextIndented">
    <w:name w:val="Body Text, Indented"/>
    <w:basedOn w:val="Normal"/>
    <w:link w:val="Style13"/>
    <w:qFormat/>
    <w:rsid w:val="007d7275"/>
    <w:pPr>
      <w:spacing w:lineRule="auto" w:line="240" w:before="0" w:after="0"/>
      <w:ind w:left="360"/>
      <w:jc w:val="both"/>
    </w:pPr>
    <w:rPr>
      <w:rFonts w:ascii="Times New Roman" w:hAnsi="Times New Roman" w:eastAsia="Times New Roman" w:cs="Times New Roman"/>
      <w:sz w:val="24"/>
      <w:szCs w:val="24"/>
      <w:lang w:val="uk-UA"/>
    </w:rPr>
  </w:style>
  <w:style w:type="paragraph" w:styleId="HeaderandFooter">
    <w:name w:val="Header and Footer"/>
    <w:basedOn w:val="Normal"/>
    <w:qFormat/>
    <w:pPr/>
    <w:rPr/>
  </w:style>
  <w:style w:type="paragraph" w:styleId="Header">
    <w:name w:val="header"/>
    <w:basedOn w:val="Normal"/>
    <w:link w:val="Style15"/>
    <w:uiPriority w:val="99"/>
    <w:unhideWhenUsed/>
    <w:rsid w:val="00557939"/>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557939"/>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bc51f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unhideWhenUsed/>
    <w:qFormat/>
    <w:rsid w:val="00285b15"/>
    <w:pPr>
      <w:spacing w:lineRule="auto" w:line="240" w:beforeAutospacing="1" w:afterAutospacing="1"/>
    </w:pPr>
    <w:rPr>
      <w:rFonts w:ascii="Times New Roman" w:hAnsi="Times New Roman" w:eastAsia="Times New Roman" w:cs="Times New Roman"/>
      <w:sz w:val="24"/>
      <w:szCs w:val="24"/>
      <w:lang w:eastAsia="ru-RU"/>
    </w:rPr>
  </w:style>
  <w:style w:type="paragraph" w:styleId="Standard" w:customStyle="1">
    <w:name w:val="Standard"/>
    <w:uiPriority w:val="99"/>
    <w:qFormat/>
    <w:rsid w:val="00d12a27"/>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BodyText2">
    <w:name w:val="Body Text 2"/>
    <w:basedOn w:val="Normal"/>
    <w:link w:val="2"/>
    <w:uiPriority w:val="99"/>
    <w:semiHidden/>
    <w:unhideWhenUsed/>
    <w:qFormat/>
    <w:rsid w:val="007d6543"/>
    <w:pPr>
      <w:spacing w:lineRule="auto" w:line="480" w:before="0" w:after="120"/>
    </w:pPr>
    <w:rPr/>
  </w:style>
  <w:style w:type="paragraph" w:styleId="HTMLPreformatted">
    <w:name w:val="HTML Preformatted"/>
    <w:basedOn w:val="Normal"/>
    <w:link w:val="HTML"/>
    <w:uiPriority w:val="99"/>
    <w:unhideWhenUsed/>
    <w:qFormat/>
    <w:rsid w:val="006d0f6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eastAsia="uk-UA"/>
    </w:rPr>
  </w:style>
  <w:style w:type="paragraph" w:styleId="Title">
    <w:name w:val="Title"/>
    <w:basedOn w:val="Normal"/>
    <w:link w:val="Style18"/>
    <w:qFormat/>
    <w:rsid w:val="00fc4738"/>
    <w:pPr>
      <w:spacing w:lineRule="auto" w:line="240" w:before="0" w:after="0"/>
      <w:jc w:val="center"/>
    </w:pPr>
    <w:rPr>
      <w:rFonts w:ascii="Times New Roman" w:hAnsi="Times New Roman" w:eastAsia="Times New Roman" w:cs="Times New Roman"/>
      <w:sz w:val="28"/>
      <w:szCs w:val="24"/>
      <w:lang w:val="uk-UA" w:eastAsia="ru-RU"/>
    </w:rPr>
  </w:style>
  <w:style w:type="numbering" w:styleId="Style22"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7d72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Application>LibreOffice/24.8.2.1$Windows_X86_64 LibreOffice_project/0f794b6e29741098670a3b95d60478a65d05ef13</Application>
  <AppVersion>15.0000</AppVersion>
  <Pages>3</Pages>
  <Words>923</Words>
  <Characters>6319</Characters>
  <CharactersWithSpaces>7458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2022-11-08T14:49:00Z</dcterms:created>
  <dc:creator>ilya</dc:creator>
  <dc:description/>
  <dc:language>uk-UA</dc:language>
  <cp:lastModifiedBy/>
  <cp:lastPrinted>2024-10-29T10:29:00Z</cp:lastPrinted>
  <dcterms:modified xsi:type="dcterms:W3CDTF">2024-10-29T14:12:15Z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file>