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r>
        <w:rPr>
          <w:rFonts w:cs="Book Antiqua" w:ascii="Book Antiqua" w:hAnsi="Book Antiqua"/>
          <w:sz w:val="28"/>
          <w:szCs w:val="28"/>
          <w:lang w:val="uk-UA" w:eastAsia="uk-UA"/>
        </w:rPr>
        <w:drawing>
          <wp:inline distT="0" distB="0" distL="0" distR="0">
            <wp:extent cx="450215" cy="63246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155" t="-1533" r="-2155" b="-1533"/>
                    <a:stretch>
                      <a:fillRect/>
                    </a:stretch>
                  </pic:blipFill>
                  <pic:spPr bwMode="auto">
                    <a:xfrm>
                      <a:off x="0" y="0"/>
                      <a:ext cx="450215" cy="63246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tabs>
          <w:tab w:val="clear" w:pos="708"/>
          <w:tab w:val="left" w:pos="7785" w:leader="none"/>
        </w:tabs>
        <w:rPr/>
      </w:pPr>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rFonts w:ascii="Times New Roman" w:hAnsi="Times New Roman"/>
          <w:b/>
          <w:sz w:val="36"/>
          <w:szCs w:val="36"/>
          <w:lang w:val="uk-UA"/>
        </w:rPr>
        <w:t>06</w:t>
      </w:r>
      <w:r>
        <w:rPr>
          <w:rFonts w:ascii="Times New Roman" w:hAnsi="Times New Roman"/>
          <w:b/>
          <w:sz w:val="36"/>
          <w:szCs w:val="36"/>
          <w:lang w:val="en-US"/>
        </w:rPr>
        <w:t>.11.2024</w:t>
      </w:r>
      <w:r>
        <w:rPr>
          <w:rFonts w:ascii="Times New Roman" w:hAnsi="Times New Roman"/>
          <w:b/>
          <w:sz w:val="36"/>
          <w:szCs w:val="36"/>
        </w:rPr>
        <w:t xml:space="preserve">                                                            </w:t>
      </w:r>
      <w:r>
        <w:rPr>
          <w:rFonts w:ascii="Times New Roman" w:hAnsi="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hAnsi="Times New Roman"/>
          <w:b/>
          <w:sz w:val="36"/>
          <w:szCs w:val="36"/>
          <w:lang w:val="uk-UA"/>
        </w:rPr>
        <w:t>3</w:t>
      </w:r>
      <w:r>
        <w:rPr>
          <w:rFonts w:ascii="Times New Roman" w:hAnsi="Times New Roman"/>
          <w:b/>
          <w:sz w:val="36"/>
          <w:szCs w:val="36"/>
          <w:lang w:val="en-US"/>
        </w:rPr>
        <w:t>3</w:t>
      </w:r>
      <w:r>
        <w:rPr>
          <w:rFonts w:ascii="Times New Roman" w:hAnsi="Times New Roman"/>
          <w:b/>
          <w:sz w:val="36"/>
          <w:szCs w:val="36"/>
          <w:lang w:val="en-US"/>
        </w:rPr>
        <w:t>4</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a7"/>
        <w:tblW w:w="46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3"/>
      </w:tblGrid>
      <w:tr>
        <w:trPr/>
        <w:tc>
          <w:tcPr>
            <w:tcW w:w="4673" w:type="dxa"/>
            <w:tcBorders>
              <w:top w:val="nil"/>
              <w:left w:val="nil"/>
              <w:bottom w:val="nil"/>
              <w:right w:val="nil"/>
            </w:tcBorders>
          </w:tcPr>
          <w:p>
            <w:pPr>
              <w:pStyle w:val="Normal"/>
              <w:widowContro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kern w:val="0"/>
                <w:sz w:val="24"/>
                <w:szCs w:val="24"/>
                <w:lang w:val="uk-UA" w:eastAsia="ru-RU" w:bidi="ar-SA"/>
              </w:rPr>
              <w:t xml:space="preserve">Про затвердження плану заходів  щодо наповнення бюджету Чорноморської міської територіальної громади, у тому числі від плати за землю, в умовах воєнного стану </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firstLine="567"/>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w:t>
      </w:r>
      <w:r>
        <w:rPr>
          <w:rFonts w:eastAsia="Times New Roman" w:cs="Times New Roman" w:ascii="Times New Roman" w:hAnsi="Times New Roman"/>
          <w:sz w:val="24"/>
          <w:szCs w:val="24"/>
          <w:lang w:eastAsia="ru-RU"/>
        </w:rPr>
        <w:t xml:space="preserve"> метою забезпечення </w:t>
      </w:r>
      <w:r>
        <w:rPr>
          <w:rFonts w:eastAsia="Times New Roman" w:cs="Times New Roman" w:ascii="Times New Roman" w:hAnsi="Times New Roman"/>
          <w:sz w:val="24"/>
          <w:szCs w:val="24"/>
          <w:lang w:val="uk-UA" w:eastAsia="ru-RU"/>
        </w:rPr>
        <w:t>сталих надходжень до бюджету Чорноморської міської територіальної громади, у тому числі від плати за землю, в умовах воєнного стану, що дозволить створити умови для б</w:t>
      </w:r>
      <w:r>
        <w:rPr>
          <w:rFonts w:eastAsia="Times New Roman" w:cs="Times New Roman" w:ascii="Times New Roman" w:hAnsi="Times New Roman"/>
          <w:sz w:val="24"/>
          <w:szCs w:val="24"/>
          <w:lang w:eastAsia="ru-RU"/>
        </w:rPr>
        <w:t>езперебійного функціонування установ і закладів бюджетної сфери, комунальних підприємств та задоволення життєво необхідних потреб жителів</w:t>
      </w:r>
      <w:r>
        <w:rPr>
          <w:rFonts w:eastAsia="Times New Roman" w:cs="Times New Roman" w:ascii="Times New Roman" w:hAnsi="Times New Roman"/>
          <w:sz w:val="24"/>
          <w:szCs w:val="24"/>
          <w:lang w:val="uk-UA" w:eastAsia="ru-RU"/>
        </w:rPr>
        <w:t xml:space="preserve"> Чорноморської міської територіальної громади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uk-UA" w:eastAsia="ru-RU"/>
        </w:rPr>
        <w:t xml:space="preserve"> посилити заходи щодо підтримки сил безпеки та оборони, цивільного захисту, беручи до уваги лист Одеської районної державної (військової) адміністрації № 6011/02-24/24/08 від 28.10.2024  (№ ВХ-5119-24 від 28.10.2024), на виконання розпорядження Одеської обласної державної (військової) адміністрації від 14 жовтня 2024 № 972/А-2024 «Про введення в дію рішення ради оборони Одеської області від 10 жовтня 2024 року», керуючись статтею 42, 59 Закону України «Про місцеве самоврядування в Україні»,</w:t>
      </w:r>
    </w:p>
    <w:p>
      <w:pPr>
        <w:pStyle w:val="Normal"/>
        <w:spacing w:lineRule="auto" w:line="240" w:beforeAutospacing="1" w:afterAutospacing="1"/>
        <w:ind w:firstLine="567"/>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ind w:firstLine="567"/>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 Затвердити план заходів  щодо наповнення бюджету Чорноморської міської територіальної громади, у тому числі від плати за землю, в умовах воєнного стану (далі – План заходів), що додається.</w:t>
      </w:r>
    </w:p>
    <w:p>
      <w:pPr>
        <w:pStyle w:val="Normal"/>
        <w:spacing w:lineRule="auto" w:line="240" w:beforeAutospacing="1" w:afterAutospacing="1"/>
        <w:ind w:firstLine="567"/>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eastAsia="Times New Roman" w:cs="Times New Roman" w:ascii="Times New Roman" w:hAnsi="Times New Roman"/>
          <w:sz w:val="24"/>
          <w:szCs w:val="24"/>
          <w:lang w:val="uk-UA" w:eastAsia="ru-RU"/>
        </w:rPr>
        <w:t>2. Фінансовому управлінню Чорноморської міської ради Одеського району Одеської області (Ольга Яковенко) забезпечити к</w:t>
      </w:r>
      <w:r>
        <w:rPr>
          <w:rFonts w:cs="Times New Roman" w:ascii="Times New Roman" w:hAnsi="Times New Roman"/>
          <w:color w:themeColor="text1" w:val="000000"/>
          <w:sz w:val="24"/>
          <w:szCs w:val="24"/>
          <w:lang w:val="uk-UA"/>
        </w:rPr>
        <w:t>оординацію роботи виконавців Плану заходів та  моніторинг виконання Плану заходів.</w:t>
      </w:r>
    </w:p>
    <w:p>
      <w:pPr>
        <w:pStyle w:val="Normal"/>
        <w:spacing w:lineRule="auto" w:line="240" w:beforeAutospacing="1" w:afterAutospacing="1"/>
        <w:ind w:firstLine="567"/>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Autospacing="1" w:afterAutospacing="1"/>
        <w:ind w:firstLine="567"/>
        <w:contextualSpacing/>
        <w:jc w:val="both"/>
        <w:rPr>
          <w:rFonts w:ascii="Times New Roman" w:hAnsi="Times New Roman" w:cs="Times New Roman"/>
          <w:sz w:val="24"/>
          <w:szCs w:val="24"/>
          <w:lang w:val="uk-UA" w:eastAsia="x-none"/>
        </w:rPr>
      </w:pPr>
      <w:r>
        <w:rPr>
          <w:rFonts w:cs="Times New Roman" w:ascii="Times New Roman" w:hAnsi="Times New Roman"/>
          <w:sz w:val="24"/>
          <w:szCs w:val="24"/>
          <w:lang w:val="uk-UA"/>
        </w:rPr>
        <w:t>3. Контроль за виконанням даного розпорядження покласти на заступників міського голови відповідно до розподілу обов’язків.</w:t>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ind w:firstLine="709"/>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t xml:space="preserve">Виконуючий обов’язки міського голови                                    Ігор ЛУБКОВСЬКИЙ </w:t>
      </w:r>
    </w:p>
    <w:p>
      <w:pPr>
        <w:pStyle w:val="Normal"/>
        <w:spacing w:lineRule="auto" w:line="240" w:beforeAutospacing="1" w:afterAutospacing="1"/>
        <w:ind w:firstLine="567"/>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851" w:gutter="0" w:header="709" w:top="1134" w:footer="709" w:bottom="1134"/>
          <w:pgNumType w:fmt="decimal"/>
          <w:formProt w:val="false"/>
          <w:titlePg/>
          <w:textDirection w:val="lrTb"/>
          <w:docGrid w:type="default" w:linePitch="360" w:charSpace="4096"/>
        </w:sectPr>
        <w:pStyle w:val="Normal"/>
        <w:spacing w:lineRule="auto" w:line="240" w:beforeAutospacing="1" w:afterAutospacing="1"/>
        <w:ind w:firstLine="709"/>
        <w:contextualSpacing/>
        <w:jc w:val="both"/>
        <w:rPr>
          <w:rFonts w:ascii="Times New Roman" w:hAnsi="Times New Roman" w:cs="Times New Roman"/>
          <w:color w:themeColor="text1" w:val="000000"/>
          <w:sz w:val="24"/>
          <w:szCs w:val="24"/>
          <w:lang w:val="uk-UA"/>
        </w:rPr>
      </w:pPr>
      <w:r>
        <w:rPr>
          <w:rFonts w:cs="Times New Roman" w:ascii="Times New Roman" w:hAnsi="Times New Roman"/>
          <w:color w:themeColor="text1" w:val="000000"/>
          <w:sz w:val="24"/>
          <w:szCs w:val="24"/>
          <w:lang w:val="uk-UA"/>
        </w:rPr>
      </w:r>
    </w:p>
    <w:p>
      <w:pPr>
        <w:pStyle w:val="Normal"/>
        <w:spacing w:lineRule="auto" w:line="240" w:beforeAutospacing="1" w:afterAutospacing="1"/>
        <w:contextualSpacing/>
        <w:rPr>
          <w:rFonts w:ascii="Times New Roman" w:hAnsi="Times New Roman" w:eastAsia="Times New Roman" w:cs="Times New Roman"/>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lang w:val="uk-UA" w:eastAsia="ru-RU"/>
        </w:rPr>
        <w:t>Додаток</w:t>
      </w:r>
    </w:p>
    <w:p>
      <w:pPr>
        <w:pStyle w:val="Normal"/>
        <w:spacing w:lineRule="auto" w:line="240" w:beforeAutospacing="1" w:afterAutospacing="1"/>
        <w:contextualSpacing/>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                                                                                                                                                                                                           </w:t>
      </w:r>
      <w:r>
        <w:rPr>
          <w:rFonts w:eastAsia="Times New Roman" w:cs="Times New Roman" w:ascii="Times New Roman" w:hAnsi="Times New Roman"/>
          <w:lang w:val="uk-UA" w:eastAsia="ru-RU"/>
        </w:rPr>
        <w:t>до розпорядження міського голови</w:t>
      </w:r>
    </w:p>
    <w:p>
      <w:pPr>
        <w:pStyle w:val="Normal"/>
        <w:spacing w:lineRule="auto" w:line="240" w:beforeAutospacing="1" w:afterAutospacing="1"/>
        <w:contextualSpacing/>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                                                                                                                                                                                                           </w:t>
      </w:r>
      <w:r>
        <w:rPr>
          <w:rFonts w:eastAsia="Times New Roman" w:cs="Times New Roman" w:ascii="Times New Roman" w:hAnsi="Times New Roman"/>
          <w:lang w:val="uk-UA" w:eastAsia="ru-RU"/>
        </w:rPr>
        <w:t xml:space="preserve">від   </w:t>
      </w:r>
      <w:r>
        <w:rPr>
          <w:rFonts w:eastAsia="Times New Roman" w:cs="Times New Roman" w:ascii="Times New Roman" w:hAnsi="Times New Roman"/>
          <w:lang w:val="uk-UA" w:eastAsia="ru-RU"/>
        </w:rPr>
        <w:t>06.11.</w:t>
      </w:r>
      <w:r>
        <w:rPr>
          <w:rFonts w:eastAsia="Times New Roman" w:cs="Times New Roman" w:ascii="Times New Roman" w:hAnsi="Times New Roman"/>
          <w:lang w:val="uk-UA" w:eastAsia="ru-RU"/>
        </w:rPr>
        <w:t xml:space="preserve"> 2024  № </w:t>
      </w:r>
      <w:r>
        <w:rPr>
          <w:rFonts w:eastAsia="Times New Roman" w:cs="Times New Roman" w:ascii="Times New Roman" w:hAnsi="Times New Roman"/>
          <w:lang w:val="uk-UA" w:eastAsia="ru-RU"/>
        </w:rPr>
        <w:t>334</w:t>
      </w:r>
      <w:r>
        <w:rPr>
          <w:rFonts w:eastAsia="Times New Roman" w:cs="Times New Roman" w:ascii="Times New Roman" w:hAnsi="Times New Roman"/>
          <w:lang w:val="uk-UA" w:eastAsia="ru-RU"/>
        </w:rPr>
        <w:t xml:space="preserve">  </w:t>
      </w:r>
    </w:p>
    <w:p>
      <w:pPr>
        <w:pStyle w:val="Normal"/>
        <w:spacing w:lineRule="auto" w:line="240" w:beforeAutospacing="1" w:afterAutospacing="1"/>
        <w:contextualSpacing/>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contextual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val="uk-UA" w:eastAsia="ru-RU"/>
        </w:rPr>
        <w:t>П</w:t>
      </w:r>
      <w:r>
        <w:rPr>
          <w:rFonts w:eastAsia="Times New Roman" w:cs="Times New Roman" w:ascii="Times New Roman" w:hAnsi="Times New Roman"/>
          <w:b/>
          <w:bCs/>
          <w:sz w:val="24"/>
          <w:szCs w:val="24"/>
          <w:lang w:eastAsia="ru-RU"/>
        </w:rPr>
        <w:t>ЛАН ЗАХОДІВ </w:t>
      </w:r>
    </w:p>
    <w:p>
      <w:pPr>
        <w:pStyle w:val="Normal"/>
        <w:spacing w:lineRule="auto" w:line="240" w:beforeAutospacing="1" w:afterAutospacing="1"/>
        <w:contextualSpacing/>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val="uk-UA" w:eastAsia="ru-RU"/>
        </w:rPr>
        <w:t>щодо наповнення бюджету Чорноморської міської територіальної громади, у тому числі від плати за землю, в умовах воєнного стану</w:t>
      </w:r>
      <w:r>
        <w:rPr>
          <w:rFonts w:eastAsia="Times New Roman" w:cs="Times New Roman" w:ascii="Times New Roman" w:hAnsi="Times New Roman"/>
          <w:b/>
          <w:bCs/>
          <w:sz w:val="24"/>
          <w:szCs w:val="24"/>
          <w:lang w:eastAsia="ru-RU"/>
        </w:rPr>
        <w:t> </w:t>
      </w:r>
    </w:p>
    <w:tbl>
      <w:tblPr>
        <w:tblW w:w="15165" w:type="dxa"/>
        <w:jc w:val="left"/>
        <w:tblInd w:w="7" w:type="dxa"/>
        <w:tblLayout w:type="fixed"/>
        <w:tblCellMar>
          <w:top w:w="0" w:type="dxa"/>
          <w:left w:w="22" w:type="dxa"/>
          <w:bottom w:w="0" w:type="dxa"/>
          <w:right w:w="22" w:type="dxa"/>
        </w:tblCellMar>
        <w:tblLook w:firstRow="1" w:noVBand="1" w:lastRow="0" w:firstColumn="1" w:lastColumn="0" w:noHBand="0" w:val="04a0"/>
      </w:tblPr>
      <w:tblGrid>
        <w:gridCol w:w="809"/>
        <w:gridCol w:w="7546"/>
        <w:gridCol w:w="4650"/>
        <w:gridCol w:w="2159"/>
      </w:tblGrid>
      <w:tr>
        <w:trPr>
          <w:tblHeader w:val="true"/>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з/п</w:t>
            </w:r>
          </w:p>
        </w:tc>
        <w:tc>
          <w:tcPr>
            <w:tcW w:w="7546"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Зміст заходів </w:t>
            </w:r>
          </w:p>
        </w:tc>
        <w:tc>
          <w:tcPr>
            <w:tcW w:w="46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Виконавці</w:t>
            </w:r>
          </w:p>
        </w:tc>
        <w:tc>
          <w:tcPr>
            <w:tcW w:w="215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Строк виконання</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 урахуванням особливостей виконання бюджету Чорноморської міської територіальної громади  в умовах воєнного стану, наявної податкової бази та реального стану соціально-економічного розвитку  Чорноморської міської  територіальної громади забезпечити:</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надходження податків, зборів та інших обов’язкових платежів до  бюджету громади  виходячи із затверджених планових показників на відповідний період;</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вжиття заходів з детінізації економіки та погашення податкового боргу, що склався станом на 01 січня 2024 року, не допускаючи його безпідставного зростання;</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проведення роз’яснювальної роботи з платниками податків з питань дотримання вимог податкового законодавства;</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здійснення системного моніторингу виконання планових показників та зміни обсягів надходжень у порівнянні з минулорічними, у розрізі податків, зборів та інших обов’язкових платежів до бюджету громади.</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Фінансове управління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Чорноморська ДПІ Головного управління ДПС у Одеській області (за згодою);</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Управління комунальної власності та земельних відносин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Відділ економіки управління економічного розвитку та торгівлі виконавчого комітету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Юридичний відділ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Постійно</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 метою збільшення надходжень до бюджету Чорноморської міської територіальної громади податку на доходи фізичних осіб вжити заходів щодо:</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проведення роз’яснювальної роботи з керівниками суб’єктів господарювання щодо потреби створення нових робочих місць, недопущення фактів «тіньової зайнятості» та випадків порушень законодавства про оплату праці, особливо в частині виплати заробітної плати у розмірі, меншому за встановлений законодавством мінімум;</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погашення заборгованості з виплати заробітної плати на підприємствах, в організаціях та установах незалежно від їх форм власності, не допускаючи її несвоєчасну виплату в подальшому.</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Управління соціальної політики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Фінансове управління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Відділ економіки управління економічного розвитку та торгівлі виконавчого комітету Чорноморської міської ради Одеського району Одеської області;</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Постійно</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 виконання статті 18 Закону України «Про оцінку земель» забезпечити проведення нормативно-грошової оцінки земель відповідно до постанови Кабінету Міністрів України від 03 листопада 2021 року № 1147 «Про затвердження Методики нормативної грошової оцінки земельних ділянок» (зі змінами).</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Управління комунальної власності та земельних відносин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Протягом 2025 року</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 метою збільшення надходжень з плати за землю до бюджету Чорноморської міської територіальної громади, враховуючи підпункт 69.14 пункту 69 підрозділу 10 розділу ХХ Податкового кодексу України, забезпечити:</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проведення звірки між Чорноморською міською радою та Чорноморською  ДПІ Головного управління ДПС у Одеській області бази даних для нарахування плати за землю;</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здійснення інвентаризації діючих договорів оренди земельних ділянок та поданої податкової звітності щодо актуальності переліку діючих договорів оренди земельних ділянок, який надається органами місцевого самоврядування відповідному контролюючому органу відповідно вимог статті 288 Податкового кодексу України;</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обмін інформацією стосовно суб’єктів господарювання, по яких мають місце факти систематичної несплати земельного податку або орендної плати за землю, включаючи земельні ділянки, на яких відсутні об’єкти нерухомого майна, з метою розгляду питання щодо припинення права користування земельними ділянками та передачі їх у користування платоспроможним суб’єктам господарювання;</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передачу на розгляд постійних комісій Чорноморської міської ради інформації щодо виявлених суб’єктів господарювання, які використовують земельні ділянки без оформлення правовстановлюючих документів на землю, для подальшого відшкодування неотриманих бюджетом громади доходів у вигляді орендної плати, та вжиття заходів з оформлення даними суб’єктами правовстановлюючих документів на користування землею відповідно до вимог чинного законодавства України.</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Управління комунальної власності та земельних відносин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Фінансове управління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Юридичний відділ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Чорноморська ДПІ Головного управління ДПС у Одеській області (за згодою)</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Постійно</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c>
          <w:tcPr>
            <w:tcW w:w="7546" w:type="dxa"/>
            <w:tcBorders>
              <w:top w:val="outset" w:sz="6" w:space="0" w:color="000000"/>
              <w:left w:val="outset" w:sz="6" w:space="0" w:color="000000"/>
              <w:bottom w:val="outset" w:sz="6" w:space="0" w:color="000000"/>
              <w:right w:val="outset" w:sz="6" w:space="0" w:color="000000"/>
            </w:tcBorders>
          </w:tcPr>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Провести звірки по суб’єктах господарювання, які отримали ліцензії на право роздрібної торгівлі алкогольними напоями та тютюновими виробами, та перерахування ними до місцевих бюджетів акцизного податку з реалізації суб’єктами господарювання роздрібної торгівлі підакцизних товарів.</w:t>
            </w:r>
          </w:p>
          <w:p>
            <w:pPr>
              <w:pStyle w:val="Normal"/>
              <w:spacing w:lineRule="auto" w:line="240" w:beforeAutospacing="1" w:after="0"/>
              <w:rPr>
                <w:rFonts w:ascii="Times New Roman" w:hAnsi="Times New Roman" w:eastAsia="Times New Roman" w:cs="Times New Roman"/>
                <w:sz w:val="24"/>
                <w:szCs w:val="24"/>
                <w:lang w:val="uk-UA" w:eastAsia="ru-RU"/>
              </w:rPr>
            </w:pPr>
            <w:r>
              <w:rPr>
                <w:rFonts w:cs="Times New Roman" w:ascii="Times New Roman" w:hAnsi="Times New Roman"/>
                <w:sz w:val="24"/>
                <w:szCs w:val="24"/>
                <w:lang w:val="uk-UA"/>
              </w:rPr>
              <w:t>Вжити заходів щодо залучення до оподаткування суб’єктів господарювання, по яких встановлено розбіжності.</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Відділ торгівлі управління економічного розвитку та торгівлі виконавчого комітету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Фінансове управління Чорноморської міської ради одеського району Одеської області </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До 1 січня 2025 року</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c>
          <w:tcPr>
            <w:tcW w:w="7546" w:type="dxa"/>
            <w:tcBorders>
              <w:top w:val="outset" w:sz="6" w:space="0" w:color="000000"/>
              <w:left w:val="outset" w:sz="6" w:space="0" w:color="000000"/>
              <w:bottom w:val="outset" w:sz="6" w:space="0" w:color="000000"/>
              <w:right w:val="outset" w:sz="6" w:space="0" w:color="000000"/>
            </w:tcBorders>
          </w:tcPr>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Провести звірки по зареєстрованих платниках екологічного податку з переліками суб’єктів, яким видано дозволи на викиди, скиди та розміщення відходів.</w:t>
            </w:r>
          </w:p>
          <w:p>
            <w:pPr>
              <w:pStyle w:val="Normal"/>
              <w:spacing w:before="0" w:after="160"/>
              <w:jc w:val="both"/>
              <w:rPr>
                <w:rFonts w:ascii="Times New Roman" w:hAnsi="Times New Roman" w:cs="Times New Roman"/>
                <w:sz w:val="24"/>
                <w:szCs w:val="24"/>
                <w:lang w:val="uk-UA"/>
              </w:rPr>
            </w:pPr>
            <w:r>
              <w:rPr>
                <w:rFonts w:cs="Times New Roman" w:ascii="Times New Roman" w:hAnsi="Times New Roman"/>
                <w:sz w:val="24"/>
                <w:szCs w:val="24"/>
                <w:lang w:val="uk-UA"/>
              </w:rPr>
              <w:t>Вжити заходів щодо залучення до оподаткування суб’єктів господарювання, по яких встановлено розбіжності.</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Сектор екології виконавчого комітету Чорноморської міської ради Одеського району Одеської області;</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Фінансове управління Чорноморської міської ради одеського району Одеської області</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До 1 січня 2025 року</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7.</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Забезпечити:</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підвищення ефективності діяльності та використання майна підприємств, що належать до комунальної власності Чорноморської міської ради;</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розгляд питання щодо передачі майна в оренду з урахуванням вимог Закону України «Про оренду державного та комунального майна».</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Управління комунальної власності та земельних відносин Чорноморської міської ради Одеського району Одеської області </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Постійно</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Організувати, відповідно до пункту 12.3. статті 12 Податкового кодексу України, своєчасне та повноцінне виконання заходів, передбачених постановою Кабінету Міністрів від 28 грудня 2020 року № 1330 «</w:t>
            </w:r>
            <w:r>
              <w:rPr>
                <w:rStyle w:val="rvts23"/>
                <w:rFonts w:cs="Times New Roman" w:ascii="Times New Roman" w:hAnsi="Times New Roman"/>
                <w:sz w:val="24"/>
                <w:szCs w:val="24"/>
                <w:lang w:val="uk-UA"/>
              </w:rPr>
              <w:t>Про затвердження Порядку та форм надання контролюючим органам в електронному вигляді інформації щодо ставок та податкових пільг із сплати місцевих податків та/або зборів»</w:t>
            </w:r>
            <w:r>
              <w:rPr>
                <w:rStyle w:val="rvts23"/>
                <w:lang w:val="uk-UA"/>
              </w:rPr>
              <w:t xml:space="preserve"> </w:t>
            </w:r>
            <w:r>
              <w:rPr>
                <w:rFonts w:eastAsia="Times New Roman" w:cs="Times New Roman" w:ascii="Times New Roman" w:hAnsi="Times New Roman"/>
                <w:sz w:val="24"/>
                <w:szCs w:val="24"/>
                <w:lang w:val="uk-UA" w:eastAsia="ru-RU"/>
              </w:rPr>
              <w:t>та проведення моніторингу прийнятих Чорноморською міською радою рішень про встановлення ставок та пільг по місцевих податках і зборах</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Фінансове управління Чорноморської міської ради одеського району Одеської області </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Управління комунальної власності та земельних відносин Чорноморської міської ради Одеського району Одеської області </w:t>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 терміни, визначені чинним законодавством</w:t>
            </w:r>
          </w:p>
        </w:tc>
      </w:tr>
      <w:tr>
        <w:trPr/>
        <w:tc>
          <w:tcPr>
            <w:tcW w:w="80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w:t>
            </w:r>
          </w:p>
        </w:tc>
        <w:tc>
          <w:tcPr>
            <w:tcW w:w="7546"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Вживати заходи із забезпечення інформаційної взаємодії між органами, що контролюють справляння надходжень бюджету та Чорноморською міською  радою через інформаційно-аналітичну систему управління плануванням та виконанням бюджету громади «LOGICA» згідно з Порядком, затвердженим постановою Кабінету Міністрів України від 16 червня 2021 року № 627 «Про затвердження Порядку обміну інформацією між органами, що контролюють справляння надходжень бюджету, та органами місцевого самоврядування», забезпечити передачу відповідної інформації.</w:t>
            </w:r>
          </w:p>
        </w:tc>
        <w:tc>
          <w:tcPr>
            <w:tcW w:w="4650"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Фінансове управління Чорноморської міської ради одеського району Одеської області;</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Головне управління ДПС у Одеській області (за згодою)</w:t>
            </w:r>
          </w:p>
          <w:p>
            <w:pPr>
              <w:pStyle w:val="Normal"/>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159" w:type="dxa"/>
            <w:tcBorders>
              <w:top w:val="outset" w:sz="6" w:space="0" w:color="000000"/>
              <w:left w:val="outset" w:sz="6" w:space="0" w:color="000000"/>
              <w:bottom w:val="outset" w:sz="6" w:space="0" w:color="000000"/>
              <w:right w:val="outset" w:sz="6" w:space="0" w:color="000000"/>
            </w:tcBorders>
          </w:tcPr>
          <w:p>
            <w:pPr>
              <w:pStyle w:val="Normal"/>
              <w:spacing w:lineRule="auto" w:line="240" w:beforeAutospacing="1"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Протягом року</w:t>
            </w:r>
          </w:p>
        </w:tc>
      </w:tr>
    </w:tbl>
    <w:p>
      <w:pPr>
        <w:pStyle w:val="Normal"/>
        <w:rPr/>
      </w:pPr>
      <w:r>
        <w:rPr/>
      </w:r>
    </w:p>
    <w:p>
      <w:pPr>
        <w:pStyle w:val="Normal"/>
        <w:rPr/>
      </w:pPr>
      <w:r>
        <w:rPr/>
      </w:r>
    </w:p>
    <w:p>
      <w:pPr>
        <w:pStyle w:val="Normal"/>
        <w:spacing w:before="0" w:after="160"/>
        <w:jc w:val="center"/>
        <w:rPr>
          <w:rFonts w:ascii="Times New Roman" w:hAnsi="Times New Roman" w:cs="Times New Roman"/>
          <w:sz w:val="24"/>
          <w:szCs w:val="24"/>
          <w:lang w:val="uk-UA"/>
        </w:rPr>
      </w:pPr>
      <w:r>
        <w:rPr>
          <w:rFonts w:cs="Times New Roman" w:ascii="Times New Roman" w:hAnsi="Times New Roman"/>
          <w:sz w:val="24"/>
          <w:szCs w:val="24"/>
          <w:lang w:val="uk-UA"/>
        </w:rPr>
        <w:t>Начальник фінансового управління                                                                                          Ольга ЯКОВЕНКО</w:t>
      </w:r>
    </w:p>
    <w:sectPr>
      <w:headerReference w:type="default" r:id="rId9"/>
      <w:headerReference w:type="first" r:id="rId10"/>
      <w:footerReference w:type="default" r:id="rId11"/>
      <w:footerReference w:type="first" r:id="rId12"/>
      <w:type w:val="nextPage"/>
      <w:pgSz w:orient="landscape" w:w="16838" w:h="11906"/>
      <w:pgMar w:left="1134" w:right="1134" w:gutter="0" w:header="709" w:top="851" w:footer="709" w:bottom="170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Liberation Sans">
    <w:altName w:val="Arial"/>
    <w:charset w:val="cc"/>
    <w:family w:val="swiss"/>
    <w:pitch w:val="variable"/>
  </w:font>
  <w:font w:name="Times New Roman">
    <w:charset w:val="cc"/>
    <w:family w:val="roman"/>
    <w:pitch w:val="variable"/>
  </w:font>
  <w:font w:name="Book Antiqua">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33339783"/>
    </w:sdtPr>
    <w:sdtContent>
      <w:p>
        <w:pPr>
          <w:pStyle w:val="Header"/>
          <w:jc w:val="center"/>
          <w:rPr/>
        </w:pPr>
        <w:r>
          <w:rPr/>
        </w:r>
        <w:bookmarkStart w:id="16" w:name="_GoBack"/>
        <w:bookmarkStart w:id="17" w:name="_GoBack"/>
        <w:bookmarkEnd w:id="17"/>
      </w:p>
    </w:sdtContent>
  </w:sdt>
  <w:p>
    <w:pPr>
      <w:pStyle w:val="Header"/>
      <w:rPr/>
    </w:pPr>
    <w:r>
      <w:rPr/>
    </w:r>
    <w:bookmarkStart w:id="18" w:name="_GoBack"/>
    <w:bookmarkStart w:id="19" w:name="_GoBack"/>
    <w:bookmarkEnd w:id="19"/>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uk-UA"/>
      </w:rPr>
    </w:pPr>
    <w:r>
      <w:rPr>
        <w:lang w:val="uk-UA"/>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33339783"/>
    </w:sdtPr>
    <w:sdtContent>
      <w:p>
        <w:pPr>
          <w:pStyle w:val="Header"/>
          <w:jc w:val="center"/>
          <w:rPr/>
        </w:pPr>
        <w:r>
          <w:rPr/>
        </w:r>
        <w:bookmarkStart w:id="20" w:name="_GoBack_копія_17"/>
        <w:bookmarkStart w:id="21" w:name="_GoBack_копія_17"/>
        <w:bookmarkEnd w:id="21"/>
      </w:p>
    </w:sdtContent>
  </w:sdt>
  <w:p>
    <w:pPr>
      <w:pStyle w:val="Header"/>
      <w:rPr/>
    </w:pPr>
    <w:r>
      <w:rPr/>
    </w:r>
    <w:bookmarkStart w:id="22" w:name="_GoBack_копія_17"/>
    <w:bookmarkStart w:id="23" w:name="_GoBack_копія_17"/>
    <w:bookmarkEnd w:id="23"/>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uk-UA"/>
      </w:rPr>
    </w:pPr>
    <w:r>
      <w:rPr>
        <w:lang w:val="uk-UA"/>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578aa"/>
    <w:rPr>
      <w:b/>
      <w:bCs/>
    </w:rPr>
  </w:style>
  <w:style w:type="character" w:styleId="Style14" w:customStyle="1">
    <w:name w:val="Текст у виносці Знак"/>
    <w:basedOn w:val="DefaultParagraphFont"/>
    <w:link w:val="BalloonText"/>
    <w:uiPriority w:val="99"/>
    <w:semiHidden/>
    <w:qFormat/>
    <w:rsid w:val="009578aa"/>
    <w:rPr>
      <w:rFonts w:ascii="Segoe UI" w:hAnsi="Segoe UI" w:cs="Segoe UI"/>
      <w:sz w:val="18"/>
      <w:szCs w:val="18"/>
    </w:rPr>
  </w:style>
  <w:style w:type="character" w:styleId="rvts23" w:customStyle="1">
    <w:name w:val="rvts23"/>
    <w:basedOn w:val="DefaultParagraphFont"/>
    <w:qFormat/>
    <w:rsid w:val="0008788c"/>
    <w:rPr/>
  </w:style>
  <w:style w:type="character" w:styleId="Style15" w:customStyle="1">
    <w:name w:val="Верхній колонтитул Знак"/>
    <w:basedOn w:val="DefaultParagraphFont"/>
    <w:uiPriority w:val="99"/>
    <w:qFormat/>
    <w:rsid w:val="0071695c"/>
    <w:rPr/>
  </w:style>
  <w:style w:type="character" w:styleId="Style16" w:customStyle="1">
    <w:name w:val="Нижній колонтитул Знак"/>
    <w:basedOn w:val="DefaultParagraphFont"/>
    <w:uiPriority w:val="99"/>
    <w:qFormat/>
    <w:rsid w:val="0071695c"/>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NormalWeb">
    <w:name w:val="Normal (Web)"/>
    <w:basedOn w:val="Normal"/>
    <w:uiPriority w:val="99"/>
    <w:semiHidden/>
    <w:unhideWhenUsed/>
    <w:qFormat/>
    <w:rsid w:val="009578a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4"/>
    <w:uiPriority w:val="99"/>
    <w:semiHidden/>
    <w:unhideWhenUsed/>
    <w:qFormat/>
    <w:rsid w:val="009578a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Style15"/>
    <w:uiPriority w:val="99"/>
    <w:unhideWhenUsed/>
    <w:rsid w:val="0071695c"/>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71695c"/>
    <w:pPr>
      <w:tabs>
        <w:tab w:val="clear" w:pos="708"/>
        <w:tab w:val="center" w:pos="4677" w:leader="none"/>
        <w:tab w:val="right" w:pos="9355" w:leader="none"/>
      </w:tabs>
      <w:spacing w:lineRule="auto" w:line="240" w:before="0" w:after="0"/>
    </w:pPr>
    <w:rPr/>
  </w:style>
  <w:style w:type="paragraph" w:styleId="Style19">
    <w:name w:val="Верхній колонтитул ліворуч"/>
    <w:basedOn w:val="Header"/>
    <w:qFormat/>
    <w:pPr/>
    <w:rPr/>
  </w:style>
  <w:style w:type="numbering" w:styleId="Style20"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706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429</TotalTime>
  <Application>LibreOffice/24.8.2.1$Windows_X86_64 LibreOffice_project/0f794b6e29741098670a3b95d60478a65d05ef13</Application>
  <AppVersion>15.0000</AppVersion>
  <Pages>6</Pages>
  <Words>1199</Words>
  <Characters>8498</Characters>
  <CharactersWithSpaces>10422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2024-11-05T08:47:00Z</dcterms:created>
  <dc:creator>220FU11</dc:creator>
  <dc:description/>
  <dc:language>uk-UA</dc:language>
  <cp:lastModifiedBy/>
  <cp:lastPrinted>2024-11-06T15:17:00Z</cp:lastPrinted>
  <dcterms:modified xsi:type="dcterms:W3CDTF">2024-11-07T10:21:40Z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