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lang w:val="uk-UA" w:eastAsia="uk-UA"/>
        </w:rPr>
      </w:pPr>
      <w:bookmarkStart w:id="0" w:name="_Hlk149118016"/>
      <w:r>
        <w:rPr>
          <w:lang w:val="uk-UA" w:eastAsia="uk-UA"/>
        </w:rPr>
        <w:drawing>
          <wp:inline distT="0" distB="0" distL="0" distR="0">
            <wp:extent cx="455930" cy="637540"/>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638" t="-454" r="-638" b="-454"/>
                    <a:stretch>
                      <a:fillRect/>
                    </a:stretch>
                  </pic:blipFill>
                  <pic:spPr bwMode="auto">
                    <a:xfrm>
                      <a:off x="0" y="0"/>
                      <a:ext cx="455930" cy="637540"/>
                    </a:xfrm>
                    <a:prstGeom prst="rect">
                      <a:avLst/>
                    </a:prstGeom>
                    <a:noFill/>
                  </pic:spPr>
                </pic:pic>
              </a:graphicData>
            </a:graphic>
          </wp:inline>
        </w:drawing>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Україна</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ВИКОНАВЧИЙ КОМІТЕТ</w:t>
      </w:r>
    </w:p>
    <w:p>
      <w:pPr>
        <w:pStyle w:val="Normal"/>
        <w:jc w:val="center"/>
        <w:rPr/>
      </w:pPr>
      <w:r>
        <w:rPr>
          <w:rFonts w:cs="Book Antiqua" w:ascii="Book Antiqua" w:hAnsi="Book Antiqua"/>
          <w:b/>
          <w:color w:val="1F3864"/>
          <w:sz w:val="28"/>
          <w:szCs w:val="28"/>
        </w:rPr>
        <w:t>ЧОРНОМОРСЬК</w:t>
      </w:r>
      <w:r>
        <w:rPr>
          <w:rFonts w:cs="Book Antiqua" w:ascii="Book Antiqua" w:hAnsi="Book Antiqua"/>
          <w:b/>
          <w:color w:val="1F3864"/>
          <w:sz w:val="28"/>
          <w:szCs w:val="28"/>
          <w:lang w:val="uk-UA"/>
        </w:rPr>
        <w:t>ОЇ</w:t>
      </w:r>
      <w:r>
        <w:rPr>
          <w:rFonts w:cs="Book Antiqua" w:ascii="Book Antiqua" w:hAnsi="Book Antiqua"/>
          <w:b/>
          <w:color w:val="1F3864"/>
          <w:sz w:val="28"/>
          <w:szCs w:val="28"/>
        </w:rPr>
        <w:t xml:space="preserve"> МІСЬК</w:t>
      </w:r>
      <w:r>
        <w:rPr>
          <w:rFonts w:cs="Book Antiqua" w:ascii="Book Antiqua" w:hAnsi="Book Antiqua"/>
          <w:b/>
          <w:color w:val="1F3864"/>
          <w:sz w:val="28"/>
          <w:szCs w:val="28"/>
          <w:lang w:val="uk-UA"/>
        </w:rPr>
        <w:t>ОЇ</w:t>
      </w:r>
      <w:r>
        <w:rPr>
          <w:rFonts w:cs="Book Antiqua" w:ascii="Book Antiqua" w:hAnsi="Book Antiqua"/>
          <w:b/>
          <w:color w:val="1F3864"/>
          <w:sz w:val="28"/>
          <w:szCs w:val="28"/>
        </w:rPr>
        <w:t xml:space="preserve"> РАД</w:t>
      </w:r>
      <w:r>
        <w:rPr>
          <w:rFonts w:cs="Book Antiqua" w:ascii="Book Antiqua" w:hAnsi="Book Antiqua"/>
          <w:b/>
          <w:color w:val="1F3864"/>
          <w:sz w:val="28"/>
          <w:szCs w:val="28"/>
          <w:lang w:val="uk-UA"/>
        </w:rPr>
        <w:t>И</w:t>
      </w:r>
    </w:p>
    <w:p>
      <w:pPr>
        <w:pStyle w:val="Normal"/>
        <w:jc w:val="center"/>
        <w:rPr>
          <w:rFonts w:ascii="Book Antiqua" w:hAnsi="Book Antiqua" w:cs="Book Antiqua"/>
          <w:b/>
          <w:color w:val="1F3864"/>
          <w:sz w:val="28"/>
          <w:szCs w:val="28"/>
          <w:lang w:val="uk-UA"/>
        </w:rPr>
      </w:pPr>
      <w:r>
        <w:rPr>
          <w:rFonts w:cs="Book Antiqua" w:ascii="Book Antiqua" w:hAnsi="Book Antiqua"/>
          <w:b/>
          <w:color w:val="1F3864"/>
          <w:sz w:val="28"/>
          <w:szCs w:val="28"/>
          <w:lang w:val="uk-UA"/>
        </w:rPr>
        <w:t>Одеського району Одеської області</w:t>
      </w:r>
    </w:p>
    <w:p>
      <w:pPr>
        <w:pStyle w:val="Normal"/>
        <w:widowControl/>
        <w:bidi w:val="0"/>
        <w:spacing w:lineRule="auto" w:line="240" w:before="0" w:after="0"/>
        <w:ind w:hanging="0" w:left="-510" w:right="0"/>
        <w:jc w:val="center"/>
        <w:rPr>
          <w:rFonts w:ascii="Book Antiqua" w:hAnsi="Book Antiqua" w:cs="Book Antiqua"/>
          <w:b/>
          <w:color w:val="1F3864"/>
          <w:sz w:val="38"/>
          <w:szCs w:val="38"/>
        </w:rPr>
      </w:pPr>
      <w:r>
        <w:rPr>
          <w:rFonts w:cs="Book Antiqua" w:ascii="Book Antiqua" w:hAnsi="Book Antiqua"/>
          <w:b/>
          <w:color w:val="1F3864"/>
          <w:sz w:val="38"/>
          <w:szCs w:val="38"/>
        </w:rPr>
        <w:t>Р І Ш Е Н Н Я</w:t>
      </w:r>
    </w:p>
    <w:p>
      <w:pPr>
        <w:pStyle w:val="Normal"/>
        <w:widowControl/>
        <w:bidi w:val="0"/>
        <w:spacing w:lineRule="auto" w:line="240" w:before="0" w:after="0"/>
        <w:ind w:hanging="0" w:left="-510" w:right="0"/>
        <w:jc w:val="center"/>
        <w:rPr>
          <w:rFonts w:ascii="Times New Roman" w:hAnsi="Times New Roman"/>
          <w:b/>
          <w:color w:val="1F3864"/>
          <w:sz w:val="28"/>
          <w:szCs w:val="28"/>
        </w:rPr>
      </w:pPr>
      <w:r>
        <mc:AlternateContent>
          <mc:Choice Requires="wps">
            <w:drawing>
              <wp:anchor behindDoc="0" distT="0" distB="0" distL="114935" distR="114935" simplePos="0" locked="0" layoutInCell="1" allowOverlap="1" relativeHeight="3">
                <wp:simplePos x="0" y="0"/>
                <wp:positionH relativeFrom="column">
                  <wp:posOffset>4191000</wp:posOffset>
                </wp:positionH>
                <wp:positionV relativeFrom="paragraph">
                  <wp:posOffset>224155</wp:posOffset>
                </wp:positionV>
                <wp:extent cx="1619885" cy="0"/>
                <wp:effectExtent l="0" t="6350" r="0" b="6350"/>
                <wp:wrapNone/>
                <wp:docPr id="2" name="Прямая соединительная линия 10"/>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30pt,17.65pt" to="457.5pt,17.65pt" ID="Прямая соединительная линия 10" stroked="t" o:allowincell="f" style="position:absolute">
                <v:stroke color="black" weight="12600" joinstyle="miter" endcap="flat"/>
                <v:fill o:detectmouseclick="t" on="false"/>
                <w10:wrap type="none"/>
              </v:line>
            </w:pict>
          </mc:Fallback>
        </mc:AlternateContent>
        <mc:AlternateContent>
          <mc:Choice Requires="wps">
            <w:drawing>
              <wp:anchor behindDoc="0" distT="0" distB="0" distL="114935" distR="114935" simplePos="0" locked="0" layoutInCell="1" allowOverlap="1" relativeHeight="4">
                <wp:simplePos x="0" y="0"/>
                <wp:positionH relativeFrom="column">
                  <wp:posOffset>0</wp:posOffset>
                </wp:positionH>
                <wp:positionV relativeFrom="paragraph">
                  <wp:posOffset>224155</wp:posOffset>
                </wp:positionV>
                <wp:extent cx="1619885" cy="0"/>
                <wp:effectExtent l="0" t="6350" r="0" b="6350"/>
                <wp:wrapNone/>
                <wp:docPr id="3" name="Прямая соединительная линия 9"/>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0pt,17.65pt" to="127.5pt,17.65pt" ID="Прямая соединительная линия 9" stroked="t" o:allowincell="f" style="position:absolute">
                <v:stroke color="black" weight="12600" joinstyle="miter" endcap="flat"/>
                <v:fill o:detectmouseclick="t" on="false"/>
                <w10:wrap type="none"/>
              </v:line>
            </w:pict>
          </mc:Fallback>
        </mc:AlternateContent>
      </w:r>
      <w:r>
        <w:rPr>
          <w:rFonts w:ascii="Times New Roman" w:hAnsi="Times New Roman"/>
          <w:b/>
          <w:color w:val="1F3864"/>
          <w:sz w:val="36"/>
          <w:szCs w:val="36"/>
          <w:lang w:val="uk-UA"/>
        </w:rPr>
        <w:t>15</w:t>
      </w:r>
      <w:r>
        <w:rPr>
          <w:rFonts w:ascii="Times New Roman" w:hAnsi="Times New Roman"/>
          <w:b/>
          <w:color w:val="1F3864"/>
          <w:sz w:val="36"/>
          <w:szCs w:val="36"/>
        </w:rPr>
        <w:t>.</w:t>
      </w:r>
      <w:r>
        <w:rPr>
          <w:rFonts w:ascii="Times New Roman" w:hAnsi="Times New Roman"/>
          <w:b/>
          <w:color w:val="1F3864"/>
          <w:sz w:val="36"/>
          <w:szCs w:val="36"/>
          <w:lang w:val="uk-UA"/>
        </w:rPr>
        <w:t>11</w:t>
      </w:r>
      <w:r>
        <w:rPr>
          <w:rFonts w:ascii="Times New Roman" w:hAnsi="Times New Roman"/>
          <w:b/>
          <w:color w:val="1F3864"/>
          <w:sz w:val="36"/>
          <w:szCs w:val="36"/>
        </w:rPr>
        <w:t>.202</w:t>
      </w:r>
      <w:r>
        <w:rPr>
          <w:rFonts w:ascii="Times New Roman" w:hAnsi="Times New Roman"/>
          <w:b/>
          <w:color w:val="1F3864"/>
          <w:sz w:val="36"/>
          <w:szCs w:val="36"/>
          <w:lang w:val="uk-UA"/>
        </w:rPr>
        <w:t>4</w:t>
      </w:r>
      <w:r>
        <w:rPr>
          <w:rFonts w:ascii="Times New Roman" w:hAnsi="Times New Roman"/>
          <w:b/>
          <w:color w:val="1F3864"/>
          <w:sz w:val="36"/>
          <w:szCs w:val="36"/>
        </w:rPr>
        <w:t xml:space="preserve">                                                            </w:t>
      </w:r>
      <w:r>
        <w:rPr>
          <w:rFonts w:ascii="Times New Roman" w:hAnsi="Times New Roman"/>
          <w:b/>
          <w:color w:val="1F3864"/>
          <w:sz w:val="36"/>
          <w:szCs w:val="36"/>
          <w:lang w:val="uk-UA"/>
        </w:rPr>
        <w:t xml:space="preserve">   </w:t>
      </w:r>
      <w:bookmarkEnd w:id="0"/>
      <w:r>
        <w:rPr>
          <w:rFonts w:ascii="Times New Roman" w:hAnsi="Times New Roman"/>
          <w:b/>
          <w:color w:val="1F3864"/>
          <w:sz w:val="36"/>
          <w:szCs w:val="36"/>
          <w:lang w:val="en-US"/>
        </w:rPr>
        <w:t>40</w:t>
      </w:r>
      <w:r>
        <w:rPr>
          <w:rFonts w:ascii="Times New Roman" w:hAnsi="Times New Roman"/>
          <w:b/>
          <w:color w:val="1F3864"/>
          <w:sz w:val="36"/>
          <w:szCs w:val="36"/>
          <w:lang w:val="uk-UA"/>
        </w:rPr>
        <w:t>6</w:t>
      </w:r>
    </w:p>
    <w:p>
      <w:pPr>
        <w:pStyle w:val="Normal"/>
        <w:jc w:val="center"/>
        <w:rPr>
          <w:rFonts w:ascii="Book Antiqua" w:hAnsi="Book Antiqua"/>
          <w:b/>
          <w:color w:val="1F3864"/>
          <w:sz w:val="28"/>
          <w:szCs w:val="28"/>
        </w:rPr>
      </w:pPr>
      <w:r>
        <w:rPr/>
      </w:r>
    </w:p>
    <w:p>
      <w:pPr>
        <w:pStyle w:val="Normal"/>
        <w:jc w:val="both"/>
        <w:rPr/>
      </w:pPr>
      <w:r>
        <w:rPr/>
        <w:t xml:space="preserve">Про відпуск   матеріальних       цінностей з </w:t>
      </w:r>
    </w:p>
    <w:p>
      <w:pPr>
        <w:pStyle w:val="Normal"/>
        <w:jc w:val="both"/>
        <w:rPr/>
      </w:pPr>
      <w:r>
        <w:rPr/>
        <w:t xml:space="preserve">матеріального резерву       Чорноморської </w:t>
      </w:r>
    </w:p>
    <w:p>
      <w:pPr>
        <w:pStyle w:val="Normal"/>
        <w:jc w:val="both"/>
        <w:rPr/>
      </w:pPr>
      <w:r>
        <w:rPr/>
        <w:t xml:space="preserve">міської територіальної громади Одеського </w:t>
      </w:r>
    </w:p>
    <w:p>
      <w:pPr>
        <w:pStyle w:val="Normal"/>
        <w:jc w:val="both"/>
        <w:rPr/>
      </w:pPr>
      <w:r>
        <w:rPr/>
        <w:t>району Одеської області</w:t>
      </w:r>
    </w:p>
    <w:p>
      <w:pPr>
        <w:pStyle w:val="Normal"/>
        <w:jc w:val="both"/>
        <w:rPr/>
      </w:pPr>
      <w:r>
        <w:rPr/>
      </w:r>
    </w:p>
    <w:p>
      <w:pPr>
        <w:pStyle w:val="Normal"/>
        <w:jc w:val="both"/>
        <w:rPr/>
      </w:pPr>
      <w:r>
        <w:rPr/>
      </w:r>
    </w:p>
    <w:p>
      <w:pPr>
        <w:pStyle w:val="Normal"/>
        <w:spacing w:lineRule="auto" w:line="276"/>
        <w:jc w:val="both"/>
        <w:rPr/>
      </w:pPr>
      <w:r>
        <w:rPr/>
        <w:t xml:space="preserve">          </w:t>
      </w:r>
      <w:r>
        <w:rPr/>
        <w:t xml:space="preserve">Враховуючи наближення кінцевого терміну зберігання матеріальних цінностей, які зараховані до матеріального резерву, 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(із змінами),  на підставі  пункту 15 частини 2 статті 19 Кодексу цивільного захисту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Одеської області (протокол від 06.11.2024                 № 10),  </w:t>
      </w:r>
      <w:r>
        <w:rPr>
          <w:color w:val="000000"/>
        </w:rPr>
        <w:t xml:space="preserve">керуючись статтями </w:t>
      </w:r>
      <w:r>
        <w:rPr>
          <w:color w:val="000000"/>
          <w:shd w:fill="FFFFFF" w:val="clear"/>
        </w:rPr>
        <w:t>36</w:t>
      </w:r>
      <w:r>
        <w:rPr>
          <w:b/>
          <w:bCs/>
          <w:color w:val="000000"/>
          <w:shd w:fill="FFFFFF" w:val="clear"/>
          <w:vertAlign w:val="superscript"/>
        </w:rPr>
        <w:t>1</w:t>
      </w:r>
      <w:r>
        <w:rPr>
          <w:color w:val="000000"/>
        </w:rPr>
        <w:t xml:space="preserve">, 40 </w:t>
      </w:r>
      <w:r>
        <w:rPr/>
        <w:t xml:space="preserve">Закону України «Про місцеве самоврядування в Україні», </w:t>
      </w:r>
    </w:p>
    <w:p>
      <w:pPr>
        <w:pStyle w:val="Normal"/>
        <w:spacing w:lineRule="auto" w:line="276"/>
        <w:jc w:val="both"/>
        <w:rPr/>
      </w:pPr>
      <w:r>
        <w:rPr/>
      </w:r>
    </w:p>
    <w:p>
      <w:pPr>
        <w:pStyle w:val="Normal"/>
        <w:spacing w:lineRule="auto" w:line="276"/>
        <w:jc w:val="center"/>
        <w:rPr>
          <w:bCs/>
        </w:rPr>
      </w:pPr>
      <w:r>
        <w:rPr>
          <w:bCs/>
        </w:rPr>
        <w:t>виконавчий комітет Чорноморської міської ради Одеського району Одеської області вирішив:</w:t>
      </w:r>
    </w:p>
    <w:p>
      <w:pPr>
        <w:pStyle w:val="Normal"/>
        <w:spacing w:lineRule="auto" w:line="276"/>
        <w:jc w:val="center"/>
        <w:rPr>
          <w:bCs/>
        </w:rPr>
      </w:pPr>
      <w:r>
        <w:rPr>
          <w:bCs/>
        </w:rPr>
      </w:r>
    </w:p>
    <w:p>
      <w:pPr>
        <w:pStyle w:val="ListParagraph"/>
        <w:numPr>
          <w:ilvl w:val="0"/>
          <w:numId w:val="1"/>
        </w:numPr>
        <w:tabs>
          <w:tab w:val="clear" w:pos="708"/>
          <w:tab w:val="left" w:pos="993" w:leader="none"/>
        </w:tabs>
        <w:ind w:firstLine="567" w:left="0"/>
        <w:jc w:val="both"/>
        <w:rPr>
          <w:rFonts w:ascii="Times New Roman" w:hAnsi="Times New Roman"/>
          <w:sz w:val="24"/>
          <w:szCs w:val="24"/>
          <w:lang w:val="uk-UA"/>
        </w:rPr>
      </w:pPr>
      <w:r>
        <w:rPr>
          <w:rFonts w:ascii="Times New Roman" w:hAnsi="Times New Roman"/>
          <w:sz w:val="24"/>
          <w:szCs w:val="24"/>
          <w:lang w:val="uk-UA"/>
        </w:rPr>
        <w:t xml:space="preserve">Здійснити відпуск матеріальних цінностей (лікарських засобів та медичних виробів) з матеріального резерву Чорноморської міської територіальної громади Одеського району Одеської області, які обліковуються на балансі комунального некомерційного підприємства «Чорноморська лікарня» </w:t>
      </w:r>
      <w:bookmarkStart w:id="1" w:name="_Hlk181622341"/>
      <w:r>
        <w:rPr>
          <w:rFonts w:ascii="Times New Roman" w:hAnsi="Times New Roman"/>
          <w:sz w:val="24"/>
          <w:szCs w:val="24"/>
          <w:lang w:val="uk-UA"/>
        </w:rPr>
        <w:t>Чорноморської міської ради Одеського району Одеської області</w:t>
      </w:r>
      <w:bookmarkEnd w:id="1"/>
      <w:r>
        <w:rPr>
          <w:rFonts w:ascii="Times New Roman" w:hAnsi="Times New Roman"/>
          <w:sz w:val="24"/>
          <w:szCs w:val="24"/>
          <w:lang w:val="uk-UA"/>
        </w:rPr>
        <w:t>, згідно додатку до цього рішення.</w:t>
      </w:r>
    </w:p>
    <w:p>
      <w:pPr>
        <w:pStyle w:val="ListParagraph"/>
        <w:tabs>
          <w:tab w:val="clear" w:pos="708"/>
          <w:tab w:val="left" w:pos="993" w:leader="none"/>
        </w:tabs>
        <w:ind w:firstLine="567" w:left="0"/>
        <w:jc w:val="both"/>
        <w:rPr>
          <w:rFonts w:ascii="Times New Roman" w:hAnsi="Times New Roman"/>
          <w:sz w:val="24"/>
          <w:szCs w:val="24"/>
          <w:lang w:val="uk-UA"/>
        </w:rPr>
      </w:pPr>
      <w:r>
        <w:rPr>
          <w:rFonts w:ascii="Times New Roman" w:hAnsi="Times New Roman"/>
          <w:sz w:val="24"/>
          <w:szCs w:val="24"/>
          <w:lang w:val="uk-UA"/>
        </w:rPr>
      </w:r>
    </w:p>
    <w:p>
      <w:pPr>
        <w:pStyle w:val="ListParagraph"/>
        <w:numPr>
          <w:ilvl w:val="0"/>
          <w:numId w:val="1"/>
        </w:numPr>
        <w:tabs>
          <w:tab w:val="clear" w:pos="708"/>
          <w:tab w:val="left" w:pos="993" w:leader="none"/>
        </w:tabs>
        <w:ind w:firstLine="567" w:left="0"/>
        <w:jc w:val="both"/>
        <w:rPr>
          <w:rFonts w:ascii="Times New Roman" w:hAnsi="Times New Roman"/>
          <w:sz w:val="24"/>
          <w:szCs w:val="24"/>
          <w:lang w:val="uk-UA"/>
        </w:rPr>
      </w:pPr>
      <w:r>
        <w:rPr>
          <w:rFonts w:ascii="Times New Roman" w:hAnsi="Times New Roman"/>
          <w:sz w:val="24"/>
          <w:szCs w:val="24"/>
          <w:lang w:val="uk-UA"/>
        </w:rPr>
        <w:t>Комунальному некомерційному підприємству «Чорноморська лікарня»   Чорноморської міської ради Одеського району Одеської області (Сергій Солтик):</w:t>
      </w:r>
    </w:p>
    <w:p>
      <w:pPr>
        <w:pStyle w:val="Normal"/>
        <w:tabs>
          <w:tab w:val="clear" w:pos="708"/>
          <w:tab w:val="left" w:pos="993" w:leader="none"/>
        </w:tabs>
        <w:spacing w:lineRule="auto" w:line="276"/>
        <w:ind w:firstLine="567"/>
        <w:jc w:val="both"/>
        <w:rPr/>
      </w:pPr>
      <w:r>
        <w:rPr/>
      </w:r>
    </w:p>
    <w:p>
      <w:pPr>
        <w:pStyle w:val="ListParagraph"/>
        <w:numPr>
          <w:ilvl w:val="1"/>
          <w:numId w:val="1"/>
        </w:numPr>
        <w:tabs>
          <w:tab w:val="clear" w:pos="708"/>
          <w:tab w:val="left" w:pos="993" w:leader="none"/>
        </w:tabs>
        <w:ind w:firstLine="567" w:left="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Відобразити відпуск-прийом матеріальних цінностей з матеріального резерву Чорноморської міської територіальної громади Одеського району Одеської області в установленому законодавством порядку для надання медичної допомоги пацієнтам відділень стаціонару та поліклініки;</w:t>
      </w:r>
    </w:p>
    <w:p>
      <w:pPr>
        <w:pStyle w:val="ListParagraph"/>
        <w:tabs>
          <w:tab w:val="clear" w:pos="708"/>
          <w:tab w:val="left" w:pos="993" w:leader="none"/>
        </w:tabs>
        <w:ind w:firstLine="567" w:left="0"/>
        <w:jc w:val="both"/>
        <w:rPr>
          <w:rFonts w:ascii="Times New Roman" w:hAnsi="Times New Roman"/>
          <w:sz w:val="24"/>
          <w:szCs w:val="24"/>
          <w:lang w:val="uk-UA"/>
        </w:rPr>
      </w:pPr>
      <w:r>
        <w:rPr>
          <w:rFonts w:ascii="Times New Roman" w:hAnsi="Times New Roman"/>
          <w:sz w:val="24"/>
          <w:szCs w:val="24"/>
          <w:lang w:val="uk-UA"/>
        </w:rPr>
      </w:r>
    </w:p>
    <w:p>
      <w:pPr>
        <w:pStyle w:val="ListParagraph"/>
        <w:numPr>
          <w:ilvl w:val="1"/>
          <w:numId w:val="1"/>
        </w:numPr>
        <w:tabs>
          <w:tab w:val="clear" w:pos="708"/>
          <w:tab w:val="left" w:pos="993" w:leader="none"/>
        </w:tabs>
        <w:ind w:firstLine="567" w:left="0"/>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Забезпечити цільове використання матеріальних цінностей місцевого матеріального резерву (лікарських засобів та медичних виробів).</w:t>
      </w:r>
    </w:p>
    <w:p>
      <w:pPr>
        <w:pStyle w:val="ListParagraph"/>
        <w:tabs>
          <w:tab w:val="clear" w:pos="708"/>
          <w:tab w:val="left" w:pos="993" w:leader="none"/>
        </w:tabs>
        <w:rPr>
          <w:rFonts w:ascii="Times New Roman" w:hAnsi="Times New Roman"/>
          <w:sz w:val="24"/>
          <w:szCs w:val="24"/>
          <w:lang w:val="uk-UA"/>
        </w:rPr>
      </w:pPr>
      <w:r>
        <w:rPr>
          <w:rFonts w:ascii="Times New Roman" w:hAnsi="Times New Roman"/>
          <w:sz w:val="24"/>
          <w:szCs w:val="24"/>
          <w:lang w:val="uk-UA"/>
        </w:rPr>
      </w:r>
    </w:p>
    <w:p>
      <w:pPr>
        <w:pStyle w:val="ListParagraph"/>
        <w:numPr>
          <w:ilvl w:val="0"/>
          <w:numId w:val="1"/>
        </w:numPr>
        <w:tabs>
          <w:tab w:val="clear" w:pos="708"/>
          <w:tab w:val="left" w:pos="993" w:leader="none"/>
        </w:tabs>
        <w:ind w:firstLine="567" w:left="0"/>
        <w:jc w:val="both"/>
        <w:rPr>
          <w:rFonts w:ascii="Times New Roman" w:hAnsi="Times New Roman"/>
          <w:sz w:val="24"/>
          <w:szCs w:val="24"/>
          <w:lang w:val="uk-UA"/>
        </w:rPr>
      </w:pPr>
      <w:r>
        <w:rPr>
          <w:rFonts w:ascii="Times New Roman" w:hAnsi="Times New Roman"/>
          <w:sz w:val="24"/>
          <w:szCs w:val="24"/>
          <w:lang w:val="uk-UA"/>
        </w:rPr>
        <w:t>Контроль за виконанням цього рішення покласти на заступника  міського голови Романа Тєліпова.</w:t>
      </w:r>
    </w:p>
    <w:p>
      <w:pPr>
        <w:pStyle w:val="Normal"/>
        <w:tabs>
          <w:tab w:val="clear" w:pos="708"/>
          <w:tab w:val="left" w:pos="993" w:leader="none"/>
        </w:tabs>
        <w:jc w:val="both"/>
        <w:rPr/>
      </w:pPr>
      <w:r>
        <w:rPr/>
      </w:r>
    </w:p>
    <w:p>
      <w:pPr>
        <w:pStyle w:val="Normal"/>
        <w:tabs>
          <w:tab w:val="clear" w:pos="708"/>
          <w:tab w:val="left" w:pos="993" w:leader="none"/>
        </w:tabs>
        <w:jc w:val="both"/>
        <w:rPr/>
      </w:pPr>
      <w:r>
        <w:rPr/>
      </w:r>
    </w:p>
    <w:p>
      <w:pPr>
        <w:pStyle w:val="Normal"/>
        <w:tabs>
          <w:tab w:val="clear" w:pos="708"/>
          <w:tab w:val="left" w:pos="993" w:leader="none"/>
        </w:tabs>
        <w:jc w:val="both"/>
        <w:rPr/>
      </w:pPr>
      <w:r>
        <w:rPr/>
      </w:r>
    </w:p>
    <w:p>
      <w:pPr>
        <w:pStyle w:val="Normal"/>
        <w:tabs>
          <w:tab w:val="clear" w:pos="708"/>
          <w:tab w:val="left" w:pos="993" w:leader="none"/>
        </w:tabs>
        <w:jc w:val="both"/>
        <w:rPr/>
      </w:pPr>
      <w:r>
        <w:rPr/>
      </w:r>
    </w:p>
    <w:p>
      <w:pPr>
        <w:pStyle w:val="Normal"/>
        <w:tabs>
          <w:tab w:val="clear" w:pos="708"/>
          <w:tab w:val="left" w:pos="993" w:leader="none"/>
        </w:tabs>
        <w:jc w:val="both"/>
        <w:rPr/>
      </w:pPr>
      <w:r>
        <w:rPr/>
      </w:r>
    </w:p>
    <w:p>
      <w:pPr>
        <w:pStyle w:val="Normal"/>
        <w:tabs>
          <w:tab w:val="clear" w:pos="708"/>
          <w:tab w:val="left" w:pos="567" w:leader="none"/>
        </w:tabs>
        <w:ind w:firstLine="709"/>
        <w:rPr/>
      </w:pPr>
      <w:r>
        <w:rPr/>
        <w:t>Міський голова</w:t>
        <w:tab/>
        <w:tab/>
        <w:tab/>
        <w:tab/>
        <w:tab/>
        <w:tab/>
        <w:tab/>
        <w:t xml:space="preserve">             Василь ГУЛЯЄВ</w:t>
      </w:r>
    </w:p>
    <w:p>
      <w:pPr>
        <w:pStyle w:val="Normal"/>
        <w:tabs>
          <w:tab w:val="clear" w:pos="708"/>
          <w:tab w:val="left" w:pos="567" w:leader="none"/>
        </w:tabs>
        <w:spacing w:lineRule="auto" w:line="360"/>
        <w:rPr/>
      </w:pPr>
      <w:r>
        <w:rPr/>
      </w:r>
    </w:p>
    <w:p>
      <w:pPr>
        <w:pStyle w:val="Normal"/>
        <w:tabs>
          <w:tab w:val="clear" w:pos="708"/>
          <w:tab w:val="left" w:pos="567" w:leader="none"/>
        </w:tabs>
        <w:rPr/>
      </w:pPr>
      <w:r>
        <w:rPr/>
      </w:r>
    </w:p>
    <w:p>
      <w:pPr>
        <w:pStyle w:val="Normal"/>
        <w:tabs>
          <w:tab w:val="clear" w:pos="708"/>
          <w:tab w:val="left" w:pos="567" w:leader="none"/>
        </w:tabs>
        <w:rPr/>
      </w:pPr>
      <w:r>
        <w:rPr/>
      </w:r>
    </w:p>
    <w:p>
      <w:pPr>
        <w:pStyle w:val="Normal"/>
        <w:tabs>
          <w:tab w:val="clear" w:pos="708"/>
          <w:tab w:val="left" w:pos="567" w:leader="none"/>
        </w:tabs>
        <w:rPr/>
      </w:pPr>
      <w:r>
        <w:rPr/>
      </w:r>
    </w:p>
    <w:p>
      <w:pPr>
        <w:pStyle w:val="Normal"/>
        <w:tabs>
          <w:tab w:val="clear" w:pos="708"/>
          <w:tab w:val="left" w:pos="567" w:leader="none"/>
        </w:tabs>
        <w:rPr/>
      </w:pPr>
      <w:r>
        <w:rPr/>
      </w:r>
    </w:p>
    <w:p>
      <w:pPr>
        <w:pStyle w:val="Normal"/>
        <w:tabs>
          <w:tab w:val="clear" w:pos="708"/>
          <w:tab w:val="left" w:pos="567" w:leader="none"/>
        </w:tabs>
        <w:rPr/>
      </w:pPr>
      <w:r>
        <w:rPr/>
      </w:r>
    </w:p>
    <w:p>
      <w:pPr>
        <w:pStyle w:val="Normal"/>
        <w:tabs>
          <w:tab w:val="clear" w:pos="708"/>
          <w:tab w:val="left" w:pos="567" w:leader="none"/>
        </w:tabs>
        <w:rPr/>
      </w:pPr>
      <w:r>
        <w:rPr/>
      </w:r>
    </w:p>
    <w:p>
      <w:pPr>
        <w:pStyle w:val="Normal"/>
        <w:tabs>
          <w:tab w:val="clear" w:pos="708"/>
          <w:tab w:val="left" w:pos="567" w:leader="none"/>
        </w:tabs>
        <w:rPr/>
      </w:pPr>
      <w:r>
        <w:rPr/>
      </w:r>
    </w:p>
    <w:p>
      <w:pPr>
        <w:pStyle w:val="Normal"/>
        <w:tabs>
          <w:tab w:val="clear" w:pos="708"/>
          <w:tab w:val="left" w:pos="567" w:leader="none"/>
        </w:tabs>
        <w:rPr/>
      </w:pPr>
      <w:r>
        <w:rPr/>
      </w:r>
    </w:p>
    <w:p>
      <w:pPr>
        <w:pStyle w:val="Normal"/>
        <w:tabs>
          <w:tab w:val="clear" w:pos="708"/>
          <w:tab w:val="left" w:pos="567" w:leader="none"/>
        </w:tabs>
        <w:rPr/>
      </w:pPr>
      <w:r>
        <w:rPr/>
      </w:r>
    </w:p>
    <w:p>
      <w:pPr>
        <w:pStyle w:val="Normal"/>
        <w:rPr/>
      </w:pPr>
      <w:r>
        <w:rPr/>
      </w:r>
    </w:p>
    <w:sectPr>
      <w:headerReference w:type="even" r:id="rId3"/>
      <w:headerReference w:type="default" r:id="rId4"/>
      <w:headerReference w:type="first" r:id="rId5"/>
      <w:type w:val="nextPage"/>
      <w:pgSz w:w="11906" w:h="16838"/>
      <w:pgMar w:left="1701" w:right="566" w:gutter="0" w:header="708" w:top="851"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swiss"/>
    <w:pitch w:val="variable"/>
  </w:font>
  <w:font w:name="Liberation Sans">
    <w:altName w:val="Arial"/>
    <w:charset w:val="cc"/>
    <w:family w:val="swiss"/>
    <w:pitch w:val="variable"/>
  </w:font>
  <w:font w:name="Calibri">
    <w:charset w:val="cc"/>
    <w:family w:val="swiss"/>
    <w:pitch w:val="variable"/>
  </w:font>
  <w:font w:name="Book Antiqua">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48943609"/>
    </w:sdtPr>
    <w:sdtContent>
      <w:p>
        <w:pPr>
          <w:pStyle w:val="Header"/>
          <w:jc w:val="center"/>
          <w:rPr/>
        </w:pPr>
        <w:r>
          <w:rPr/>
          <w:fldChar w:fldCharType="begin"/>
        </w:r>
        <w:r>
          <w:rPr/>
          <w:instrText xml:space="preserve"> PAGE </w:instrText>
        </w:r>
        <w:r>
          <w:rPr/>
          <w:fldChar w:fldCharType="separate"/>
        </w:r>
        <w:r>
          <w:rPr/>
          <w:t>2</w:t>
        </w:r>
        <w:r>
          <w:rPr/>
          <w:fldChar w:fldCharType="end"/>
        </w:r>
      </w:p>
    </w:sdtContent>
  </w:sdt>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27" w:hanging="360"/>
      </w:pPr>
      <w:rPr/>
    </w:lvl>
    <w:lvl w:ilvl="1">
      <w:start w:val="1"/>
      <w:isLgl/>
      <w:numFmt w:val="decimal"/>
      <w:lvlText w:val="%1.%2."/>
      <w:lvlJc w:val="left"/>
      <w:pPr>
        <w:tabs>
          <w:tab w:val="num" w:pos="0"/>
        </w:tabs>
        <w:ind w:left="1287" w:hanging="360"/>
      </w:pPr>
      <w:rPr/>
    </w:lvl>
    <w:lvl w:ilvl="2">
      <w:start w:val="1"/>
      <w:isLgl/>
      <w:numFmt w:val="decimal"/>
      <w:lvlText w:val="%1.%2.%3."/>
      <w:lvlJc w:val="left"/>
      <w:pPr>
        <w:tabs>
          <w:tab w:val="num" w:pos="0"/>
        </w:tabs>
        <w:ind w:left="2007" w:hanging="720"/>
      </w:pPr>
      <w:rPr/>
    </w:lvl>
    <w:lvl w:ilvl="3">
      <w:start w:val="1"/>
      <w:isLgl/>
      <w:numFmt w:val="decimal"/>
      <w:lvlText w:val="%1.%2.%3.%4."/>
      <w:lvlJc w:val="left"/>
      <w:pPr>
        <w:tabs>
          <w:tab w:val="num" w:pos="0"/>
        </w:tabs>
        <w:ind w:left="2367" w:hanging="720"/>
      </w:pPr>
      <w:rPr/>
    </w:lvl>
    <w:lvl w:ilvl="4">
      <w:start w:val="1"/>
      <w:isLgl/>
      <w:numFmt w:val="decimal"/>
      <w:lvlText w:val="%1.%2.%3.%4.%5."/>
      <w:lvlJc w:val="left"/>
      <w:pPr>
        <w:tabs>
          <w:tab w:val="num" w:pos="0"/>
        </w:tabs>
        <w:ind w:left="3087" w:hanging="1080"/>
      </w:pPr>
      <w:rPr/>
    </w:lvl>
    <w:lvl w:ilvl="5">
      <w:start w:val="1"/>
      <w:isLgl/>
      <w:numFmt w:val="decimal"/>
      <w:lvlText w:val="%1.%2.%3.%4.%5.%6."/>
      <w:lvlJc w:val="left"/>
      <w:pPr>
        <w:tabs>
          <w:tab w:val="num" w:pos="0"/>
        </w:tabs>
        <w:ind w:left="3447" w:hanging="1080"/>
      </w:pPr>
      <w:rPr/>
    </w:lvl>
    <w:lvl w:ilvl="6">
      <w:start w:val="1"/>
      <w:isLgl/>
      <w:numFmt w:val="decimal"/>
      <w:lvlText w:val="%1.%2.%3.%4.%5.%6.%7."/>
      <w:lvlJc w:val="left"/>
      <w:pPr>
        <w:tabs>
          <w:tab w:val="num" w:pos="0"/>
        </w:tabs>
        <w:ind w:left="4167" w:hanging="1440"/>
      </w:pPr>
      <w:rPr/>
    </w:lvl>
    <w:lvl w:ilvl="7">
      <w:start w:val="1"/>
      <w:isLgl/>
      <w:numFmt w:val="decimal"/>
      <w:lvlText w:val="%1.%2.%3.%4.%5.%6.%7.%8."/>
      <w:lvlJc w:val="left"/>
      <w:pPr>
        <w:tabs>
          <w:tab w:val="num" w:pos="0"/>
        </w:tabs>
        <w:ind w:left="4527" w:hanging="1440"/>
      </w:pPr>
      <w:rPr/>
    </w:lvl>
    <w:lvl w:ilvl="8">
      <w:start w:val="1"/>
      <w:isLgl/>
      <w:numFmt w:val="decimal"/>
      <w:lvlText w:val="%1.%2.%3.%4.%5.%6.%7.%8.%9."/>
      <w:lvlJc w:val="left"/>
      <w:pPr>
        <w:tabs>
          <w:tab w:val="num" w:pos="0"/>
        </w:tabs>
        <w:ind w:left="5247"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546b"/>
    <w:pPr>
      <w:widowControl/>
      <w:bidi w:val="0"/>
      <w:spacing w:lineRule="auto" w:line="240" w:before="0" w:after="0"/>
      <w:jc w:val="left"/>
    </w:pPr>
    <w:rPr>
      <w:rFonts w:ascii="Times New Roman" w:hAnsi="Times New Roman" w:eastAsia="SimSun" w:cs="Times New Roman"/>
      <w:color w:val="auto"/>
      <w:kern w:val="0"/>
      <w:sz w:val="24"/>
      <w:szCs w:val="24"/>
      <w:lang w:val="uk-UA" w:eastAsia="uk-UA" w:bidi="ar-SA"/>
    </w:rPr>
  </w:style>
  <w:style w:type="character" w:styleId="DefaultParagraphFont" w:default="1">
    <w:name w:val="Default Paragraph Font"/>
    <w:uiPriority w:val="1"/>
    <w:semiHidden/>
    <w:unhideWhenUsed/>
    <w:qFormat/>
    <w:rPr/>
  </w:style>
  <w:style w:type="character" w:styleId="Style14" w:customStyle="1">
    <w:name w:val="Текст у виносці Знак"/>
    <w:basedOn w:val="DefaultParagraphFont"/>
    <w:link w:val="BalloonText"/>
    <w:uiPriority w:val="99"/>
    <w:semiHidden/>
    <w:qFormat/>
    <w:rsid w:val="002e7f79"/>
    <w:rPr>
      <w:rFonts w:ascii="Tahoma" w:hAnsi="Tahoma" w:eastAsia="SimSun" w:cs="Tahoma"/>
      <w:sz w:val="16"/>
      <w:szCs w:val="16"/>
      <w:lang w:val="uk-UA" w:eastAsia="uk-UA"/>
    </w:rPr>
  </w:style>
  <w:style w:type="character" w:styleId="Style15" w:customStyle="1">
    <w:name w:val="Верхній колонтитул Знак"/>
    <w:basedOn w:val="DefaultParagraphFont"/>
    <w:uiPriority w:val="99"/>
    <w:qFormat/>
    <w:rsid w:val="006e4762"/>
    <w:rPr>
      <w:rFonts w:ascii="Times New Roman" w:hAnsi="Times New Roman" w:eastAsia="SimSun" w:cs="Times New Roman"/>
      <w:sz w:val="24"/>
      <w:szCs w:val="24"/>
      <w:lang w:val="uk-UA" w:eastAsia="uk-UA"/>
    </w:rPr>
  </w:style>
  <w:style w:type="character" w:styleId="Style16" w:customStyle="1">
    <w:name w:val="Нижній колонтитул Знак"/>
    <w:basedOn w:val="DefaultParagraphFont"/>
    <w:uiPriority w:val="99"/>
    <w:qFormat/>
    <w:rsid w:val="006e4762"/>
    <w:rPr>
      <w:rFonts w:ascii="Times New Roman" w:hAnsi="Times New Roman" w:eastAsia="SimSun" w:cs="Times New Roman"/>
      <w:sz w:val="24"/>
      <w:szCs w:val="24"/>
      <w:lang w:val="uk-UA" w:eastAsia="uk-UA"/>
    </w:rPr>
  </w:style>
  <w:style w:type="paragraph" w:styleId="Style17">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Покажчик"/>
    <w:basedOn w:val="Normal"/>
    <w:qFormat/>
    <w:pPr>
      <w:suppressLineNumbers/>
    </w:pPr>
    <w:rPr>
      <w:rFonts w:cs="Lucida Sans"/>
    </w:rPr>
  </w:style>
  <w:style w:type="paragraph" w:styleId="ListParagraph">
    <w:name w:val="List Paragraph"/>
    <w:basedOn w:val="Normal"/>
    <w:uiPriority w:val="34"/>
    <w:qFormat/>
    <w:rsid w:val="001e227d"/>
    <w:pPr>
      <w:suppressAutoHyphens w:val="true"/>
      <w:spacing w:lineRule="auto" w:line="276" w:before="0" w:after="200"/>
      <w:ind w:left="720"/>
      <w:contextualSpacing/>
    </w:pPr>
    <w:rPr>
      <w:rFonts w:ascii="Calibri" w:hAnsi="Calibri" w:eastAsia="Calibri"/>
      <w:sz w:val="22"/>
      <w:szCs w:val="22"/>
      <w:lang w:val="ru-RU" w:eastAsia="en-US"/>
    </w:rPr>
  </w:style>
  <w:style w:type="paragraph" w:styleId="BalloonText">
    <w:name w:val="Balloon Text"/>
    <w:basedOn w:val="Normal"/>
    <w:link w:val="Style14"/>
    <w:uiPriority w:val="99"/>
    <w:semiHidden/>
    <w:unhideWhenUsed/>
    <w:qFormat/>
    <w:rsid w:val="002e7f79"/>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Style15"/>
    <w:uiPriority w:val="99"/>
    <w:unhideWhenUsed/>
    <w:rsid w:val="006e4762"/>
    <w:pPr>
      <w:tabs>
        <w:tab w:val="clear" w:pos="708"/>
        <w:tab w:val="center" w:pos="4677" w:leader="none"/>
        <w:tab w:val="right" w:pos="9355" w:leader="none"/>
      </w:tabs>
    </w:pPr>
    <w:rPr/>
  </w:style>
  <w:style w:type="paragraph" w:styleId="Footer">
    <w:name w:val="footer"/>
    <w:basedOn w:val="Normal"/>
    <w:link w:val="Style16"/>
    <w:uiPriority w:val="99"/>
    <w:unhideWhenUsed/>
    <w:rsid w:val="006e4762"/>
    <w:pPr>
      <w:tabs>
        <w:tab w:val="clear" w:pos="708"/>
        <w:tab w:val="center" w:pos="4677" w:leader="none"/>
        <w:tab w:val="right" w:pos="9355" w:leader="none"/>
      </w:tabs>
    </w:pPr>
    <w:rPr/>
  </w:style>
  <w:style w:type="numbering" w:styleId="Style19"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39"/>
    <w:rsid w:val="00b16d77"/>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65</TotalTime>
  <Application>LibreOffice/24.8.2.1$Windows_X86_64 LibreOffice_project/0f794b6e29741098670a3b95d60478a65d05ef13</Application>
  <AppVersion>15.0000</AppVersion>
  <Pages>2</Pages>
  <Words>265</Words>
  <Characters>1983</Characters>
  <CharactersWithSpaces>2357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2024-11-04T13:06:00Z</dcterms:created>
  <dc:creator>HOME</dc:creator>
  <dc:description/>
  <dc:language>uk-UA</dc:language>
  <cp:lastModifiedBy/>
  <cp:lastPrinted>2024-11-11T11:34:00Z</cp:lastPrinted>
  <dcterms:modified xsi:type="dcterms:W3CDTF">2024-11-18T10:21:45Z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