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6.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theme/themeOverride3.xml" ContentType="application/vnd.openxmlformats-officedocument.themeOverride+xml"/>
  <Override PartName="/word/drawings/drawing7.xml" ContentType="application/vnd.openxmlformats-officedocument.drawingml.chartshapes+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theme/themeOverride5.xml" ContentType="application/vnd.openxmlformats-officedocument.themeOverride+xml"/>
  <Override PartName="/word/drawings/drawing8.xml" ContentType="application/vnd.openxmlformats-officedocument.drawingml.chartshapes+xml"/>
  <Override PartName="/word/charts/chart13.xml" ContentType="application/vnd.openxmlformats-officedocument.drawingml.chart+xml"/>
  <Override PartName="/word/drawings/drawing9.xml" ContentType="application/vnd.openxmlformats-officedocument.drawingml.chartshapes+xml"/>
  <Override PartName="/word/charts/chart14.xml" ContentType="application/vnd.openxmlformats-officedocument.drawingml.chart+xml"/>
  <Override PartName="/word/drawings/drawing10.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7.xml" ContentType="application/vnd.openxmlformats-officedocument.drawingml.chart+xml"/>
  <Override PartName="/word/drawings/drawing1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8A4FF" w14:textId="77777777" w:rsidR="000B04B1" w:rsidRPr="000B04B1" w:rsidRDefault="000B04B1" w:rsidP="000B04B1">
      <w:pPr>
        <w:spacing w:after="0"/>
        <w:rPr>
          <w:rFonts w:ascii="Times New Roman" w:hAnsi="Times New Roman" w:cs="Times New Roman"/>
          <w:b/>
          <w:i/>
          <w:noProof/>
          <w:color w:val="17365D" w:themeColor="text2" w:themeShade="BF"/>
          <w:sz w:val="52"/>
          <w:szCs w:val="52"/>
          <w:lang w:val="uk-UA"/>
        </w:rPr>
      </w:pPr>
    </w:p>
    <w:p w14:paraId="47EEA7C6" w14:textId="77777777" w:rsidR="000B04B1" w:rsidRPr="007620A2" w:rsidRDefault="000B04B1" w:rsidP="000B04B1">
      <w:pPr>
        <w:spacing w:after="0"/>
        <w:jc w:val="center"/>
        <w:rPr>
          <w:rFonts w:ascii="Times New Roman" w:hAnsi="Times New Roman" w:cs="Times New Roman"/>
          <w:b/>
          <w:i/>
          <w:noProof/>
          <w:color w:val="17365D" w:themeColor="text2" w:themeShade="BF"/>
          <w:sz w:val="52"/>
          <w:szCs w:val="52"/>
          <w:lang w:val="uk-UA"/>
        </w:rPr>
      </w:pPr>
      <w:r w:rsidRPr="007620A2">
        <w:rPr>
          <w:noProof/>
          <w:lang w:eastAsia="ru-RU"/>
        </w:rPr>
        <w:drawing>
          <wp:inline distT="0" distB="0" distL="0" distR="0" wp14:anchorId="4FA5F21B" wp14:editId="2C45E36E">
            <wp:extent cx="895350" cy="1113172"/>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5350" cy="1113172"/>
                    </a:xfrm>
                    <a:prstGeom prst="rect">
                      <a:avLst/>
                    </a:prstGeom>
                    <a:noFill/>
                    <a:ln w="9525">
                      <a:noFill/>
                      <a:miter lim="800000"/>
                      <a:headEnd/>
                      <a:tailEnd/>
                    </a:ln>
                  </pic:spPr>
                </pic:pic>
              </a:graphicData>
            </a:graphic>
          </wp:inline>
        </w:drawing>
      </w:r>
    </w:p>
    <w:p w14:paraId="29A7284E" w14:textId="77777777" w:rsidR="000B04B1" w:rsidRPr="007620A2" w:rsidRDefault="000B04B1" w:rsidP="000B04B1">
      <w:pPr>
        <w:spacing w:after="0" w:line="240" w:lineRule="auto"/>
        <w:jc w:val="center"/>
        <w:rPr>
          <w:rFonts w:ascii="Times New Roman" w:hAnsi="Times New Roman" w:cs="Times New Roman"/>
          <w:b/>
          <w:i/>
          <w:noProof/>
          <w:color w:val="17365D" w:themeColor="text2" w:themeShade="BF"/>
          <w:sz w:val="52"/>
          <w:szCs w:val="52"/>
          <w:lang w:val="uk-UA"/>
        </w:rPr>
      </w:pPr>
      <w:r w:rsidRPr="007620A2">
        <w:rPr>
          <w:rFonts w:ascii="Times New Roman" w:hAnsi="Times New Roman" w:cs="Times New Roman"/>
          <w:b/>
          <w:i/>
          <w:noProof/>
          <w:color w:val="17365D" w:themeColor="text2" w:themeShade="BF"/>
          <w:sz w:val="52"/>
          <w:szCs w:val="52"/>
          <w:lang w:val="uk-UA"/>
        </w:rPr>
        <w:t>Пояснювальна записка</w:t>
      </w:r>
    </w:p>
    <w:p w14:paraId="0CC1F5DB" w14:textId="77777777" w:rsidR="000B04B1" w:rsidRPr="007620A2" w:rsidRDefault="000B04B1" w:rsidP="000B04B1">
      <w:pPr>
        <w:spacing w:after="0" w:line="240" w:lineRule="auto"/>
        <w:jc w:val="center"/>
        <w:rPr>
          <w:rFonts w:ascii="Times New Roman" w:hAnsi="Times New Roman" w:cs="Times New Roman"/>
          <w:b/>
          <w:i/>
          <w:noProof/>
          <w:color w:val="17365D" w:themeColor="text2" w:themeShade="BF"/>
          <w:sz w:val="52"/>
          <w:szCs w:val="52"/>
          <w:lang w:val="uk-UA"/>
        </w:rPr>
      </w:pPr>
      <w:r w:rsidRPr="007620A2">
        <w:rPr>
          <w:rFonts w:ascii="Times New Roman" w:hAnsi="Times New Roman" w:cs="Times New Roman"/>
          <w:b/>
          <w:i/>
          <w:noProof/>
          <w:color w:val="17365D" w:themeColor="text2" w:themeShade="BF"/>
          <w:sz w:val="52"/>
          <w:szCs w:val="52"/>
          <w:lang w:val="uk-UA"/>
        </w:rPr>
        <w:t>до проєкту рішення</w:t>
      </w:r>
    </w:p>
    <w:p w14:paraId="08018AE9" w14:textId="77777777" w:rsidR="000B04B1" w:rsidRPr="007620A2" w:rsidRDefault="000B04B1" w:rsidP="000B04B1">
      <w:pPr>
        <w:spacing w:after="0" w:line="240" w:lineRule="auto"/>
        <w:jc w:val="center"/>
        <w:rPr>
          <w:rFonts w:ascii="Times New Roman" w:hAnsi="Times New Roman" w:cs="Times New Roman"/>
          <w:b/>
          <w:i/>
          <w:noProof/>
          <w:color w:val="17365D" w:themeColor="text2" w:themeShade="BF"/>
          <w:sz w:val="52"/>
          <w:szCs w:val="52"/>
          <w:lang w:val="uk-UA"/>
        </w:rPr>
      </w:pPr>
      <w:r w:rsidRPr="007620A2">
        <w:rPr>
          <w:rFonts w:ascii="Times New Roman" w:hAnsi="Times New Roman" w:cs="Times New Roman"/>
          <w:b/>
          <w:i/>
          <w:noProof/>
          <w:color w:val="17365D" w:themeColor="text2" w:themeShade="BF"/>
          <w:sz w:val="52"/>
          <w:szCs w:val="52"/>
          <w:lang w:val="uk-UA"/>
        </w:rPr>
        <w:t>Чорноморської міської ради</w:t>
      </w:r>
    </w:p>
    <w:p w14:paraId="3E3AB089" w14:textId="77777777" w:rsidR="000B04B1" w:rsidRPr="007620A2" w:rsidRDefault="000B04B1" w:rsidP="000B04B1">
      <w:pPr>
        <w:spacing w:after="0" w:line="240" w:lineRule="auto"/>
        <w:jc w:val="center"/>
        <w:rPr>
          <w:rFonts w:ascii="Times New Roman" w:hAnsi="Times New Roman" w:cs="Times New Roman"/>
          <w:b/>
          <w:i/>
          <w:noProof/>
          <w:color w:val="17365D" w:themeColor="text2" w:themeShade="BF"/>
          <w:sz w:val="52"/>
          <w:szCs w:val="52"/>
          <w:lang w:val="uk-UA"/>
        </w:rPr>
      </w:pPr>
      <w:r w:rsidRPr="007620A2">
        <w:rPr>
          <w:rFonts w:ascii="Times New Roman" w:hAnsi="Times New Roman" w:cs="Times New Roman"/>
          <w:b/>
          <w:i/>
          <w:noProof/>
          <w:color w:val="17365D" w:themeColor="text2" w:themeShade="BF"/>
          <w:sz w:val="52"/>
          <w:szCs w:val="52"/>
          <w:lang w:val="uk-UA"/>
        </w:rPr>
        <w:t>Одеського району Одеської області</w:t>
      </w:r>
    </w:p>
    <w:p w14:paraId="6C9351D5" w14:textId="77777777" w:rsidR="000B04B1" w:rsidRPr="007620A2" w:rsidRDefault="000B04B1" w:rsidP="000B04B1">
      <w:pPr>
        <w:spacing w:after="0" w:line="240" w:lineRule="auto"/>
        <w:jc w:val="center"/>
        <w:rPr>
          <w:rFonts w:ascii="Times New Roman" w:hAnsi="Times New Roman" w:cs="Times New Roman"/>
          <w:b/>
          <w:i/>
          <w:noProof/>
          <w:color w:val="17365D" w:themeColor="text2" w:themeShade="BF"/>
          <w:sz w:val="52"/>
          <w:szCs w:val="52"/>
          <w:lang w:val="uk-UA"/>
        </w:rPr>
      </w:pPr>
      <w:r w:rsidRPr="007620A2">
        <w:rPr>
          <w:rFonts w:ascii="Times New Roman" w:hAnsi="Times New Roman" w:cs="Times New Roman"/>
          <w:b/>
          <w:i/>
          <w:noProof/>
          <w:color w:val="17365D" w:themeColor="text2" w:themeShade="BF"/>
          <w:sz w:val="52"/>
          <w:szCs w:val="52"/>
          <w:lang w:val="uk-UA"/>
        </w:rPr>
        <w:t>"Про бюджет Чорноморської міської територіальної громади</w:t>
      </w:r>
    </w:p>
    <w:p w14:paraId="6AB73EF4" w14:textId="77777777" w:rsidR="000B04B1" w:rsidRPr="007620A2" w:rsidRDefault="000B04B1" w:rsidP="000B04B1">
      <w:pPr>
        <w:spacing w:after="0" w:line="240" w:lineRule="auto"/>
        <w:jc w:val="center"/>
        <w:rPr>
          <w:rFonts w:ascii="Times New Roman" w:hAnsi="Times New Roman" w:cs="Times New Roman"/>
          <w:b/>
          <w:sz w:val="52"/>
          <w:szCs w:val="52"/>
          <w:lang w:val="uk-UA"/>
        </w:rPr>
      </w:pPr>
      <w:r w:rsidRPr="007620A2">
        <w:rPr>
          <w:rFonts w:ascii="Times New Roman" w:hAnsi="Times New Roman" w:cs="Times New Roman"/>
          <w:b/>
          <w:i/>
          <w:noProof/>
          <w:color w:val="17365D" w:themeColor="text2" w:themeShade="BF"/>
          <w:sz w:val="52"/>
          <w:szCs w:val="52"/>
          <w:lang w:val="uk-UA"/>
        </w:rPr>
        <w:t>на 2025 рік"</w:t>
      </w:r>
    </w:p>
    <w:p w14:paraId="12F70A1C" w14:textId="77777777" w:rsidR="000B04B1" w:rsidRPr="007620A2" w:rsidRDefault="000B04B1" w:rsidP="000B04B1">
      <w:pPr>
        <w:spacing w:after="0" w:line="240" w:lineRule="auto"/>
        <w:jc w:val="center"/>
        <w:rPr>
          <w:rFonts w:ascii="Times New Roman" w:hAnsi="Times New Roman" w:cs="Times New Roman"/>
          <w:b/>
          <w:sz w:val="32"/>
          <w:szCs w:val="32"/>
          <w:lang w:val="uk-UA"/>
        </w:rPr>
      </w:pPr>
    </w:p>
    <w:p w14:paraId="2A4B8421" w14:textId="77777777" w:rsidR="000B04B1" w:rsidRPr="007620A2" w:rsidRDefault="000B04B1" w:rsidP="000B04B1">
      <w:pPr>
        <w:spacing w:after="0" w:line="240" w:lineRule="auto"/>
        <w:jc w:val="center"/>
        <w:rPr>
          <w:rFonts w:ascii="Times New Roman" w:hAnsi="Times New Roman" w:cs="Times New Roman"/>
          <w:b/>
          <w:sz w:val="32"/>
          <w:szCs w:val="32"/>
          <w:lang w:val="uk-UA"/>
        </w:rPr>
      </w:pPr>
    </w:p>
    <w:p w14:paraId="2E18A30E" w14:textId="77777777" w:rsidR="000B04B1" w:rsidRPr="007620A2" w:rsidRDefault="000B04B1" w:rsidP="000B04B1">
      <w:pPr>
        <w:spacing w:after="0" w:line="240" w:lineRule="auto"/>
        <w:jc w:val="center"/>
        <w:rPr>
          <w:rFonts w:ascii="Times New Roman" w:hAnsi="Times New Roman" w:cs="Times New Roman"/>
          <w:b/>
          <w:sz w:val="32"/>
          <w:szCs w:val="32"/>
          <w:lang w:val="uk-UA"/>
        </w:rPr>
      </w:pPr>
      <w:r w:rsidRPr="007620A2">
        <w:rPr>
          <w:noProof/>
          <w:lang w:eastAsia="ru-RU"/>
        </w:rPr>
        <w:drawing>
          <wp:inline distT="0" distB="0" distL="0" distR="0" wp14:anchorId="1032C2D6" wp14:editId="06695759">
            <wp:extent cx="5939790" cy="3941527"/>
            <wp:effectExtent l="0" t="0" r="3810" b="1905"/>
            <wp:docPr id="20" name="Рисунок 20" descr="C:\Users\220FU4\AppData\Local\Microsoft\Windows\INetCache\Content.Word\byudzhet-2025-648x43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0FU4\AppData\Local\Microsoft\Windows\INetCache\Content.Word\byudzhet-2025-648x430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941527"/>
                    </a:xfrm>
                    <a:prstGeom prst="rect">
                      <a:avLst/>
                    </a:prstGeom>
                    <a:noFill/>
                    <a:ln>
                      <a:noFill/>
                    </a:ln>
                  </pic:spPr>
                </pic:pic>
              </a:graphicData>
            </a:graphic>
          </wp:inline>
        </w:drawing>
      </w:r>
    </w:p>
    <w:p w14:paraId="02342B5A" w14:textId="77777777" w:rsidR="000B04B1" w:rsidRPr="007620A2" w:rsidRDefault="000B04B1" w:rsidP="000B04B1">
      <w:pPr>
        <w:spacing w:after="0" w:line="240" w:lineRule="auto"/>
        <w:jc w:val="center"/>
        <w:rPr>
          <w:rFonts w:ascii="Times New Roman" w:hAnsi="Times New Roman" w:cs="Times New Roman"/>
          <w:b/>
          <w:sz w:val="32"/>
          <w:szCs w:val="32"/>
          <w:lang w:val="uk-UA"/>
        </w:rPr>
      </w:pPr>
    </w:p>
    <w:p w14:paraId="266FD850" w14:textId="77777777" w:rsidR="000B04B1" w:rsidRPr="007620A2" w:rsidRDefault="000B04B1" w:rsidP="000B04B1">
      <w:pPr>
        <w:spacing w:after="0" w:line="240" w:lineRule="auto"/>
        <w:jc w:val="center"/>
        <w:rPr>
          <w:rFonts w:ascii="Times New Roman" w:hAnsi="Times New Roman" w:cs="Times New Roman"/>
          <w:b/>
          <w:sz w:val="32"/>
          <w:szCs w:val="32"/>
          <w:lang w:val="uk-UA"/>
        </w:rPr>
      </w:pPr>
    </w:p>
    <w:p w14:paraId="2BCA4CE2" w14:textId="77777777" w:rsidR="000B04B1" w:rsidRPr="007620A2" w:rsidRDefault="000B04B1" w:rsidP="000B04B1">
      <w:pPr>
        <w:spacing w:after="0" w:line="240" w:lineRule="auto"/>
        <w:jc w:val="center"/>
        <w:rPr>
          <w:rFonts w:ascii="Times New Roman" w:hAnsi="Times New Roman" w:cs="Times New Roman"/>
          <w:b/>
          <w:sz w:val="32"/>
          <w:szCs w:val="32"/>
          <w:lang w:val="uk-UA"/>
        </w:rPr>
      </w:pPr>
    </w:p>
    <w:p w14:paraId="0AF44017" w14:textId="77777777" w:rsidR="000B04B1" w:rsidRDefault="000B04B1" w:rsidP="000B04B1">
      <w:pPr>
        <w:spacing w:after="0" w:line="240" w:lineRule="auto"/>
        <w:jc w:val="center"/>
        <w:rPr>
          <w:rFonts w:ascii="Times New Roman" w:hAnsi="Times New Roman" w:cs="Times New Roman"/>
          <w:b/>
          <w:sz w:val="32"/>
          <w:szCs w:val="32"/>
          <w:lang w:val="uk-UA"/>
        </w:rPr>
      </w:pPr>
    </w:p>
    <w:p w14:paraId="0201C43C" w14:textId="77777777" w:rsidR="001D722D" w:rsidRDefault="001D722D" w:rsidP="000B04B1">
      <w:pPr>
        <w:spacing w:after="0" w:line="240" w:lineRule="auto"/>
        <w:jc w:val="center"/>
        <w:rPr>
          <w:rFonts w:ascii="Times New Roman" w:hAnsi="Times New Roman" w:cs="Times New Roman"/>
          <w:b/>
          <w:sz w:val="32"/>
          <w:szCs w:val="32"/>
          <w:lang w:val="uk-UA"/>
        </w:rPr>
      </w:pPr>
    </w:p>
    <w:p w14:paraId="18D1D9BD" w14:textId="77777777" w:rsidR="001D722D" w:rsidRDefault="001D722D" w:rsidP="000B04B1">
      <w:pPr>
        <w:spacing w:after="0" w:line="240" w:lineRule="auto"/>
        <w:jc w:val="center"/>
        <w:rPr>
          <w:rFonts w:ascii="Times New Roman" w:hAnsi="Times New Roman" w:cs="Times New Roman"/>
          <w:b/>
          <w:sz w:val="32"/>
          <w:szCs w:val="32"/>
          <w:lang w:val="uk-UA"/>
        </w:rPr>
      </w:pPr>
    </w:p>
    <w:p w14:paraId="5FC4A2AD" w14:textId="77777777" w:rsidR="001D722D" w:rsidRPr="001D722D" w:rsidRDefault="001D722D" w:rsidP="001624B5">
      <w:pPr>
        <w:spacing w:after="0" w:line="240" w:lineRule="auto"/>
        <w:ind w:firstLine="567"/>
        <w:contextualSpacing/>
        <w:jc w:val="both"/>
        <w:rPr>
          <w:rFonts w:ascii="Times New Roman" w:hAnsi="Times New Roman" w:cs="Times New Roman"/>
          <w:bCs/>
          <w:sz w:val="24"/>
          <w:szCs w:val="24"/>
          <w:lang w:val="uk-UA"/>
        </w:rPr>
      </w:pPr>
      <w:r w:rsidRPr="001D722D">
        <w:rPr>
          <w:rFonts w:ascii="Times New Roman" w:hAnsi="Times New Roman" w:cs="Times New Roman"/>
          <w:bCs/>
          <w:sz w:val="24"/>
          <w:szCs w:val="24"/>
          <w:lang w:val="uk-UA"/>
        </w:rPr>
        <w:t>Відповідно до частини першої статті 75 Бюджетного кодексу України (далі – Кодекс) проєкт місцевого бюджету на 2025 рік має ґрунтуватися на показниках, визначених у прогнозі місцевого бюджету, схваленому у 2024 році.</w:t>
      </w:r>
    </w:p>
    <w:p w14:paraId="15A19F0B" w14:textId="77777777" w:rsidR="001D722D" w:rsidRPr="001D722D" w:rsidRDefault="001D722D" w:rsidP="001624B5">
      <w:pPr>
        <w:spacing w:after="0" w:line="240" w:lineRule="auto"/>
        <w:ind w:firstLine="567"/>
        <w:contextualSpacing/>
        <w:jc w:val="both"/>
        <w:rPr>
          <w:rFonts w:ascii="Times New Roman" w:hAnsi="Times New Roman" w:cs="Times New Roman"/>
          <w:bCs/>
          <w:sz w:val="24"/>
          <w:szCs w:val="24"/>
          <w:lang w:val="uk-UA"/>
        </w:rPr>
      </w:pPr>
      <w:r w:rsidRPr="001D722D">
        <w:rPr>
          <w:rFonts w:ascii="Times New Roman" w:hAnsi="Times New Roman" w:cs="Times New Roman"/>
          <w:bCs/>
          <w:sz w:val="24"/>
          <w:szCs w:val="24"/>
          <w:lang w:val="uk-UA"/>
        </w:rPr>
        <w:t>Законом України від 15 березня 2022 року  № 2134-IX «Про внесення змін до розділу VI «Прикінцеві та перехідні положення» Бюджетного кодексу України та інших законодавчих актів України», зокрема призупинено дію статті 75</w:t>
      </w:r>
      <w:r w:rsidRPr="001D722D">
        <w:rPr>
          <w:rFonts w:ascii="Times New Roman" w:hAnsi="Times New Roman" w:cs="Times New Roman"/>
          <w:bCs/>
          <w:sz w:val="24"/>
          <w:szCs w:val="24"/>
          <w:vertAlign w:val="superscript"/>
          <w:lang w:val="uk-UA"/>
        </w:rPr>
        <w:t>1</w:t>
      </w:r>
      <w:r w:rsidRPr="001D722D">
        <w:rPr>
          <w:rFonts w:ascii="Times New Roman" w:hAnsi="Times New Roman" w:cs="Times New Roman"/>
          <w:bCs/>
          <w:sz w:val="24"/>
          <w:szCs w:val="24"/>
          <w:lang w:val="uk-UA"/>
        </w:rPr>
        <w:t xml:space="preserve"> Кодексу та пов’язані з нею норми щодо прогнозів місцевих бюджетів. </w:t>
      </w:r>
    </w:p>
    <w:p w14:paraId="745F1474" w14:textId="1E180787" w:rsidR="001D722D" w:rsidRPr="001D722D" w:rsidRDefault="001D722D" w:rsidP="001624B5">
      <w:pPr>
        <w:spacing w:after="0" w:line="240" w:lineRule="auto"/>
        <w:ind w:firstLine="567"/>
        <w:contextualSpacing/>
        <w:jc w:val="both"/>
        <w:rPr>
          <w:rFonts w:ascii="Times New Roman" w:hAnsi="Times New Roman" w:cs="Times New Roman"/>
          <w:bCs/>
          <w:sz w:val="24"/>
          <w:szCs w:val="24"/>
          <w:lang w:val="uk-UA"/>
        </w:rPr>
      </w:pPr>
      <w:r w:rsidRPr="001D722D">
        <w:rPr>
          <w:rFonts w:ascii="Times New Roman" w:hAnsi="Times New Roman" w:cs="Times New Roman"/>
          <w:bCs/>
          <w:sz w:val="24"/>
          <w:szCs w:val="24"/>
          <w:lang w:val="uk-UA"/>
        </w:rPr>
        <w:t>Тобто</w:t>
      </w:r>
      <w:r>
        <w:rPr>
          <w:rFonts w:ascii="Times New Roman" w:hAnsi="Times New Roman" w:cs="Times New Roman"/>
          <w:bCs/>
          <w:sz w:val="24"/>
          <w:szCs w:val="24"/>
          <w:lang w:val="uk-UA"/>
        </w:rPr>
        <w:t>, прогноз бюджету Чорноморської</w:t>
      </w:r>
      <w:r w:rsidRPr="001D722D">
        <w:rPr>
          <w:rFonts w:ascii="Times New Roman" w:hAnsi="Times New Roman" w:cs="Times New Roman"/>
          <w:bCs/>
          <w:sz w:val="24"/>
          <w:szCs w:val="24"/>
          <w:lang w:val="uk-UA"/>
        </w:rPr>
        <w:t xml:space="preserve"> міської територіальної громади як документ середньострокового бюджетного планування у 2024 році не складався та не схвалювався.</w:t>
      </w:r>
    </w:p>
    <w:p w14:paraId="7EA08D77" w14:textId="007D190B" w:rsidR="001D722D" w:rsidRPr="001D722D" w:rsidRDefault="001D722D" w:rsidP="001624B5">
      <w:pPr>
        <w:spacing w:after="0" w:line="240" w:lineRule="auto"/>
        <w:ind w:firstLine="567"/>
        <w:contextualSpacing/>
        <w:jc w:val="both"/>
        <w:rPr>
          <w:rFonts w:ascii="Times New Roman" w:hAnsi="Times New Roman" w:cs="Times New Roman"/>
          <w:bCs/>
          <w:i/>
          <w:iCs/>
          <w:sz w:val="24"/>
          <w:szCs w:val="24"/>
          <w:lang w:val="uk-UA"/>
        </w:rPr>
      </w:pPr>
      <w:r w:rsidRPr="001D722D">
        <w:rPr>
          <w:rFonts w:ascii="Times New Roman" w:hAnsi="Times New Roman" w:cs="Times New Roman"/>
          <w:bCs/>
          <w:i/>
          <w:iCs/>
          <w:sz w:val="24"/>
          <w:szCs w:val="24"/>
          <w:lang w:val="uk-UA"/>
        </w:rPr>
        <w:t>Довідково: Законом України від 18 березня 2024 року № 3979-IX «Про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 відновлено дію статті 75</w:t>
      </w:r>
      <w:r w:rsidRPr="001D722D">
        <w:rPr>
          <w:rFonts w:ascii="Times New Roman" w:hAnsi="Times New Roman" w:cs="Times New Roman"/>
          <w:bCs/>
          <w:i/>
          <w:iCs/>
          <w:sz w:val="24"/>
          <w:szCs w:val="24"/>
          <w:vertAlign w:val="superscript"/>
          <w:lang w:val="uk-UA"/>
        </w:rPr>
        <w:t>1</w:t>
      </w:r>
      <w:r w:rsidRPr="001D722D">
        <w:rPr>
          <w:rFonts w:ascii="Times New Roman" w:hAnsi="Times New Roman" w:cs="Times New Roman"/>
          <w:bCs/>
          <w:i/>
          <w:iCs/>
          <w:sz w:val="24"/>
          <w:szCs w:val="24"/>
          <w:lang w:val="uk-UA"/>
        </w:rPr>
        <w:t xml:space="preserve"> Кодексу та пов’язані з нею норми щодо прогнозів місцевих бюджетів. Тобто</w:t>
      </w:r>
      <w:r>
        <w:rPr>
          <w:rFonts w:ascii="Times New Roman" w:hAnsi="Times New Roman" w:cs="Times New Roman"/>
          <w:bCs/>
          <w:i/>
          <w:iCs/>
          <w:sz w:val="24"/>
          <w:szCs w:val="24"/>
          <w:lang w:val="uk-UA"/>
        </w:rPr>
        <w:t>,</w:t>
      </w:r>
      <w:r w:rsidRPr="001D722D">
        <w:rPr>
          <w:rFonts w:ascii="Times New Roman" w:hAnsi="Times New Roman" w:cs="Times New Roman"/>
          <w:bCs/>
          <w:i/>
          <w:iCs/>
          <w:sz w:val="24"/>
          <w:szCs w:val="24"/>
          <w:lang w:val="uk-UA"/>
        </w:rPr>
        <w:t xml:space="preserve"> у 2025 році прогноз бюджету </w:t>
      </w:r>
      <w:r>
        <w:rPr>
          <w:rFonts w:ascii="Times New Roman" w:hAnsi="Times New Roman" w:cs="Times New Roman"/>
          <w:bCs/>
          <w:i/>
          <w:iCs/>
          <w:sz w:val="24"/>
          <w:szCs w:val="24"/>
          <w:lang w:val="uk-UA"/>
        </w:rPr>
        <w:t xml:space="preserve">Чорноморської міської територіального громади </w:t>
      </w:r>
      <w:r w:rsidRPr="001D722D">
        <w:rPr>
          <w:rFonts w:ascii="Times New Roman" w:hAnsi="Times New Roman" w:cs="Times New Roman"/>
          <w:bCs/>
          <w:i/>
          <w:iCs/>
          <w:sz w:val="24"/>
          <w:szCs w:val="24"/>
          <w:lang w:val="uk-UA"/>
        </w:rPr>
        <w:t xml:space="preserve"> на 2026 – 2028 роки буде складатися та схвалюватися відповідно до вимог статті 75</w:t>
      </w:r>
      <w:r w:rsidRPr="001D722D">
        <w:rPr>
          <w:rFonts w:ascii="Times New Roman" w:hAnsi="Times New Roman" w:cs="Times New Roman"/>
          <w:bCs/>
          <w:i/>
          <w:iCs/>
          <w:sz w:val="24"/>
          <w:szCs w:val="24"/>
          <w:vertAlign w:val="superscript"/>
          <w:lang w:val="uk-UA"/>
        </w:rPr>
        <w:t>1</w:t>
      </w:r>
      <w:r w:rsidRPr="001D722D">
        <w:rPr>
          <w:rFonts w:ascii="Times New Roman" w:hAnsi="Times New Roman" w:cs="Times New Roman"/>
          <w:bCs/>
          <w:i/>
          <w:iCs/>
          <w:sz w:val="24"/>
          <w:szCs w:val="24"/>
          <w:lang w:val="uk-UA"/>
        </w:rPr>
        <w:t xml:space="preserve"> Кодексу.</w:t>
      </w:r>
    </w:p>
    <w:p w14:paraId="705FFAA6" w14:textId="1CCF9598" w:rsidR="001D722D" w:rsidRPr="001D722D" w:rsidRDefault="001D722D" w:rsidP="001624B5">
      <w:pPr>
        <w:tabs>
          <w:tab w:val="left" w:pos="-5245"/>
        </w:tabs>
        <w:spacing w:after="0" w:line="240" w:lineRule="auto"/>
        <w:ind w:firstLine="567"/>
        <w:contextualSpacing/>
        <w:jc w:val="both"/>
        <w:rPr>
          <w:rFonts w:ascii="Times New Roman" w:hAnsi="Times New Roman" w:cs="Times New Roman"/>
          <w:sz w:val="24"/>
          <w:szCs w:val="24"/>
          <w:lang w:val="uk-UA" w:eastAsia="uk-UA"/>
        </w:rPr>
      </w:pPr>
      <w:r w:rsidRPr="001D722D">
        <w:rPr>
          <w:rFonts w:ascii="Times New Roman" w:hAnsi="Times New Roman" w:cs="Times New Roman"/>
          <w:sz w:val="24"/>
          <w:szCs w:val="24"/>
          <w:lang w:val="uk-UA" w:eastAsia="uk-UA"/>
        </w:rPr>
        <w:t xml:space="preserve">Проєкт бюджету </w:t>
      </w:r>
      <w:r>
        <w:rPr>
          <w:rFonts w:ascii="Times New Roman" w:hAnsi="Times New Roman" w:cs="Times New Roman"/>
          <w:bCs/>
          <w:sz w:val="24"/>
          <w:szCs w:val="24"/>
          <w:lang w:val="uk-UA"/>
        </w:rPr>
        <w:t>Чорноморської</w:t>
      </w:r>
      <w:r w:rsidRPr="001D722D">
        <w:rPr>
          <w:rFonts w:ascii="Times New Roman" w:hAnsi="Times New Roman" w:cs="Times New Roman"/>
          <w:bCs/>
          <w:sz w:val="24"/>
          <w:szCs w:val="24"/>
          <w:lang w:val="uk-UA"/>
        </w:rPr>
        <w:t xml:space="preserve"> міської територіальної громади (далі –бюджет </w:t>
      </w:r>
      <w:r>
        <w:rPr>
          <w:rFonts w:ascii="Times New Roman" w:hAnsi="Times New Roman" w:cs="Times New Roman"/>
          <w:bCs/>
          <w:sz w:val="24"/>
          <w:szCs w:val="24"/>
          <w:lang w:val="uk-UA"/>
        </w:rPr>
        <w:t xml:space="preserve">Чорноморської </w:t>
      </w:r>
      <w:r w:rsidRPr="001D722D">
        <w:rPr>
          <w:rFonts w:ascii="Times New Roman" w:hAnsi="Times New Roman" w:cs="Times New Roman"/>
          <w:bCs/>
          <w:sz w:val="24"/>
          <w:szCs w:val="24"/>
          <w:lang w:val="uk-UA"/>
        </w:rPr>
        <w:t xml:space="preserve">МТГ) </w:t>
      </w:r>
      <w:r w:rsidRPr="001D722D">
        <w:rPr>
          <w:rFonts w:ascii="Times New Roman" w:hAnsi="Times New Roman" w:cs="Times New Roman"/>
          <w:sz w:val="24"/>
          <w:szCs w:val="24"/>
          <w:lang w:val="uk-UA" w:eastAsia="uk-UA"/>
        </w:rPr>
        <w:t>на 2025 рік розроблено на основі положень Бюджетного кодексу України, Податкового кодексу України, Закону України</w:t>
      </w:r>
      <w:r>
        <w:rPr>
          <w:rFonts w:ascii="Times New Roman" w:hAnsi="Times New Roman" w:cs="Times New Roman"/>
          <w:sz w:val="24"/>
          <w:szCs w:val="24"/>
          <w:lang w:val="uk-UA" w:eastAsia="uk-UA"/>
        </w:rPr>
        <w:t xml:space="preserve"> від </w:t>
      </w:r>
      <w:r w:rsidRPr="001D722D">
        <w:rPr>
          <w:rFonts w:ascii="Times New Roman" w:hAnsi="Times New Roman" w:cs="Times New Roman"/>
          <w:sz w:val="24"/>
          <w:szCs w:val="24"/>
          <w:lang w:val="uk-UA" w:eastAsia="uk-UA"/>
        </w:rPr>
        <w:t xml:space="preserve"> </w:t>
      </w:r>
      <w:r w:rsidRPr="001D722D">
        <w:rPr>
          <w:rStyle w:val="rvts44"/>
          <w:rFonts w:ascii="Times New Roman" w:hAnsi="Times New Roman" w:cs="Times New Roman"/>
          <w:color w:val="000000" w:themeColor="text1"/>
          <w:sz w:val="24"/>
          <w:szCs w:val="24"/>
          <w:lang w:val="uk-UA"/>
        </w:rPr>
        <w:t xml:space="preserve">19 листопада 2024 року </w:t>
      </w:r>
      <w:r w:rsidRPr="001D722D">
        <w:rPr>
          <w:rFonts w:ascii="Times New Roman" w:hAnsi="Times New Roman" w:cs="Times New Roman"/>
          <w:color w:val="000000" w:themeColor="text1"/>
          <w:sz w:val="24"/>
          <w:szCs w:val="24"/>
          <w:lang w:val="uk-UA"/>
        </w:rPr>
        <w:br/>
      </w:r>
      <w:r w:rsidRPr="001D722D">
        <w:rPr>
          <w:rStyle w:val="rvts44"/>
          <w:rFonts w:ascii="Times New Roman" w:hAnsi="Times New Roman" w:cs="Times New Roman"/>
          <w:color w:val="000000" w:themeColor="text1"/>
          <w:sz w:val="24"/>
          <w:szCs w:val="24"/>
          <w:lang w:val="uk-UA"/>
        </w:rPr>
        <w:t>№ 4059-</w:t>
      </w:r>
      <w:r w:rsidRPr="001D722D">
        <w:rPr>
          <w:rStyle w:val="rvts44"/>
          <w:rFonts w:ascii="Times New Roman" w:hAnsi="Times New Roman" w:cs="Times New Roman"/>
          <w:color w:val="000000" w:themeColor="text1"/>
          <w:sz w:val="24"/>
          <w:szCs w:val="24"/>
        </w:rPr>
        <w:t>IX</w:t>
      </w:r>
      <w:r w:rsidRPr="001D722D">
        <w:rPr>
          <w:rFonts w:ascii="Times New Roman" w:hAnsi="Times New Roman" w:cs="Times New Roman"/>
          <w:color w:val="000000" w:themeColor="text1"/>
          <w:sz w:val="24"/>
          <w:szCs w:val="24"/>
          <w:lang w:val="uk-UA" w:eastAsia="uk-UA"/>
        </w:rPr>
        <w:t xml:space="preserve"> </w:t>
      </w:r>
      <w:r w:rsidRPr="001D722D">
        <w:rPr>
          <w:rFonts w:ascii="Times New Roman" w:hAnsi="Times New Roman" w:cs="Times New Roman"/>
          <w:sz w:val="24"/>
          <w:szCs w:val="24"/>
          <w:lang w:val="uk-UA" w:eastAsia="uk-UA"/>
        </w:rPr>
        <w:t xml:space="preserve">«Про Державний бюджет України на 2025 рік», </w:t>
      </w:r>
      <w:r w:rsidRPr="001D722D">
        <w:rPr>
          <w:rFonts w:ascii="Times New Roman" w:hAnsi="Times New Roman" w:cs="Times New Roman"/>
          <w:sz w:val="24"/>
          <w:szCs w:val="24"/>
          <w:lang w:val="uk-UA"/>
        </w:rPr>
        <w:t xml:space="preserve">Бюджетної декларації на 2025 – 2027 роки, схваленої постановою Кабінету Міністрів України від 28 червня 2024 року № 751, Основних прогнозних макропоказників економічного і соціального розвитку України на 2025 – 2027 роки, схвалених постановою Кабінету Міністрів України від 28 червня 2024 року № 780, </w:t>
      </w:r>
      <w:r w:rsidRPr="001D722D">
        <w:rPr>
          <w:rFonts w:ascii="Times New Roman" w:hAnsi="Times New Roman" w:cs="Times New Roman"/>
          <w:sz w:val="24"/>
          <w:szCs w:val="24"/>
          <w:lang w:val="uk-UA" w:eastAsia="uk-UA"/>
        </w:rPr>
        <w:t>Особливостей складання проєктів місцевих бюджетів на 2025 рік, доведених листом Міністерства фінансів України від 30</w:t>
      </w:r>
      <w:r w:rsidRPr="001D722D">
        <w:rPr>
          <w:rFonts w:ascii="Times New Roman" w:hAnsi="Times New Roman" w:cs="Times New Roman"/>
          <w:sz w:val="24"/>
          <w:szCs w:val="24"/>
          <w:lang w:val="uk-UA"/>
        </w:rPr>
        <w:t xml:space="preserve">.08.2024 № 05110-08-6/25333, інших законодавчих актів, що стосуються місцевих бюджетів та міжбюджетних відносин, </w:t>
      </w:r>
      <w:r w:rsidRPr="001D722D">
        <w:rPr>
          <w:rFonts w:ascii="Times New Roman" w:hAnsi="Times New Roman" w:cs="Times New Roman"/>
          <w:sz w:val="24"/>
          <w:szCs w:val="24"/>
          <w:lang w:val="uk-UA" w:eastAsia="uk-UA"/>
        </w:rPr>
        <w:t>та міських цільових програм, затверджених рішенням</w:t>
      </w:r>
      <w:r>
        <w:rPr>
          <w:rFonts w:ascii="Times New Roman" w:hAnsi="Times New Roman" w:cs="Times New Roman"/>
          <w:sz w:val="24"/>
          <w:szCs w:val="24"/>
          <w:lang w:val="uk-UA" w:eastAsia="uk-UA"/>
        </w:rPr>
        <w:t xml:space="preserve">и Чорноморської міської ради Одеського району одеської області. </w:t>
      </w:r>
    </w:p>
    <w:p w14:paraId="2D1FAC37" w14:textId="77777777" w:rsidR="001D722D" w:rsidRPr="001D722D" w:rsidRDefault="001D722D" w:rsidP="001D722D">
      <w:pPr>
        <w:tabs>
          <w:tab w:val="left" w:pos="-5245"/>
        </w:tabs>
        <w:spacing w:after="0" w:line="240" w:lineRule="auto"/>
        <w:ind w:firstLine="709"/>
        <w:contextualSpacing/>
        <w:jc w:val="both"/>
        <w:rPr>
          <w:rFonts w:ascii="Times New Roman" w:hAnsi="Times New Roman" w:cs="Times New Roman"/>
          <w:sz w:val="24"/>
          <w:szCs w:val="24"/>
          <w:lang w:val="uk-UA" w:eastAsia="uk-UA"/>
        </w:rPr>
      </w:pPr>
    </w:p>
    <w:p w14:paraId="6459FAE6" w14:textId="77777777" w:rsidR="001D722D" w:rsidRDefault="001D722D" w:rsidP="001D722D">
      <w:pPr>
        <w:spacing w:after="0" w:line="240" w:lineRule="auto"/>
        <w:contextualSpacing/>
        <w:jc w:val="center"/>
        <w:rPr>
          <w:rFonts w:ascii="Times New Roman" w:hAnsi="Times New Roman" w:cs="Times New Roman"/>
          <w:b/>
          <w:sz w:val="28"/>
          <w:szCs w:val="28"/>
          <w:lang w:val="uk-UA"/>
        </w:rPr>
      </w:pPr>
      <w:r w:rsidRPr="001D722D">
        <w:rPr>
          <w:rFonts w:ascii="Times New Roman" w:hAnsi="Times New Roman" w:cs="Times New Roman"/>
          <w:b/>
          <w:sz w:val="28"/>
          <w:szCs w:val="28"/>
          <w:lang w:val="uk-UA"/>
        </w:rPr>
        <w:t xml:space="preserve">Особливості складання розрахунків </w:t>
      </w:r>
    </w:p>
    <w:p w14:paraId="7CB3923F" w14:textId="77777777" w:rsidR="001D722D" w:rsidRDefault="001D722D" w:rsidP="001D722D">
      <w:pPr>
        <w:spacing w:after="0" w:line="240" w:lineRule="auto"/>
        <w:contextualSpacing/>
        <w:jc w:val="center"/>
        <w:rPr>
          <w:rFonts w:ascii="Times New Roman" w:hAnsi="Times New Roman" w:cs="Times New Roman"/>
          <w:b/>
          <w:sz w:val="28"/>
          <w:szCs w:val="28"/>
          <w:lang w:val="uk-UA"/>
        </w:rPr>
      </w:pPr>
      <w:r w:rsidRPr="001D722D">
        <w:rPr>
          <w:rFonts w:ascii="Times New Roman" w:hAnsi="Times New Roman" w:cs="Times New Roman"/>
          <w:b/>
          <w:sz w:val="28"/>
          <w:szCs w:val="28"/>
          <w:lang w:val="uk-UA"/>
        </w:rPr>
        <w:t xml:space="preserve">під час формування проєкту бюджету </w:t>
      </w:r>
      <w:r>
        <w:rPr>
          <w:rFonts w:ascii="Times New Roman" w:hAnsi="Times New Roman" w:cs="Times New Roman"/>
          <w:b/>
          <w:sz w:val="28"/>
          <w:szCs w:val="28"/>
          <w:lang w:val="uk-UA"/>
        </w:rPr>
        <w:t xml:space="preserve">Чорноморської </w:t>
      </w:r>
      <w:r w:rsidRPr="001D722D">
        <w:rPr>
          <w:rFonts w:ascii="Times New Roman" w:hAnsi="Times New Roman" w:cs="Times New Roman"/>
          <w:b/>
          <w:sz w:val="28"/>
          <w:szCs w:val="28"/>
          <w:lang w:val="uk-UA"/>
        </w:rPr>
        <w:t>МТГ на 2025 рік</w:t>
      </w:r>
    </w:p>
    <w:p w14:paraId="331E81D6" w14:textId="0FFE83A2" w:rsidR="001D722D" w:rsidRPr="001D722D" w:rsidRDefault="001D722D" w:rsidP="001D722D">
      <w:pPr>
        <w:spacing w:after="0" w:line="240" w:lineRule="auto"/>
        <w:contextualSpacing/>
        <w:jc w:val="center"/>
        <w:rPr>
          <w:rFonts w:ascii="Times New Roman" w:hAnsi="Times New Roman" w:cs="Times New Roman"/>
          <w:b/>
          <w:sz w:val="28"/>
          <w:szCs w:val="28"/>
          <w:lang w:val="uk-UA"/>
        </w:rPr>
      </w:pPr>
      <w:r w:rsidRPr="001D722D">
        <w:rPr>
          <w:rFonts w:ascii="Times New Roman" w:hAnsi="Times New Roman" w:cs="Times New Roman"/>
          <w:b/>
          <w:sz w:val="28"/>
          <w:szCs w:val="28"/>
          <w:lang w:val="uk-UA"/>
        </w:rPr>
        <w:t xml:space="preserve"> </w:t>
      </w:r>
    </w:p>
    <w:p w14:paraId="3467D000" w14:textId="07ABC22A" w:rsidR="001D722D" w:rsidRPr="001D722D" w:rsidRDefault="001D722D" w:rsidP="001624B5">
      <w:pPr>
        <w:tabs>
          <w:tab w:val="left" w:pos="993"/>
        </w:tabs>
        <w:spacing w:after="0" w:line="240" w:lineRule="auto"/>
        <w:ind w:firstLine="567"/>
        <w:contextualSpacing/>
        <w:jc w:val="both"/>
        <w:outlineLvl w:val="2"/>
        <w:rPr>
          <w:rFonts w:ascii="Times New Roman" w:hAnsi="Times New Roman" w:cs="Times New Roman"/>
          <w:sz w:val="24"/>
          <w:szCs w:val="24"/>
          <w:lang w:val="uk-UA" w:eastAsia="uk-UA"/>
        </w:rPr>
      </w:pPr>
      <w:r w:rsidRPr="001D722D">
        <w:rPr>
          <w:rFonts w:ascii="Times New Roman" w:hAnsi="Times New Roman" w:cs="Times New Roman"/>
          <w:sz w:val="24"/>
          <w:szCs w:val="24"/>
          <w:lang w:val="uk-UA" w:eastAsia="uk-UA"/>
        </w:rPr>
        <w:t xml:space="preserve">1. Під час визначення показників проєкту бюджету </w:t>
      </w:r>
      <w:r>
        <w:rPr>
          <w:rFonts w:ascii="Times New Roman" w:hAnsi="Times New Roman" w:cs="Times New Roman"/>
          <w:sz w:val="24"/>
          <w:szCs w:val="24"/>
          <w:lang w:val="uk-UA" w:eastAsia="uk-UA"/>
        </w:rPr>
        <w:t xml:space="preserve">Чорноморської </w:t>
      </w:r>
      <w:r w:rsidRPr="001D722D">
        <w:rPr>
          <w:rFonts w:ascii="Times New Roman" w:hAnsi="Times New Roman" w:cs="Times New Roman"/>
          <w:sz w:val="24"/>
          <w:szCs w:val="24"/>
          <w:lang w:val="uk-UA" w:eastAsia="uk-UA"/>
        </w:rPr>
        <w:t>МТГ на 2025 рік враховані наступні показники, визначені</w:t>
      </w:r>
      <w:r>
        <w:rPr>
          <w:rFonts w:ascii="Times New Roman" w:hAnsi="Times New Roman" w:cs="Times New Roman"/>
          <w:sz w:val="24"/>
          <w:szCs w:val="24"/>
          <w:lang w:val="uk-UA" w:eastAsia="uk-UA"/>
        </w:rPr>
        <w:t xml:space="preserve"> </w:t>
      </w:r>
      <w:r w:rsidRPr="001D722D">
        <w:rPr>
          <w:rFonts w:ascii="Times New Roman" w:hAnsi="Times New Roman" w:cs="Times New Roman"/>
          <w:sz w:val="24"/>
          <w:szCs w:val="24"/>
          <w:lang w:val="uk-UA" w:eastAsia="uk-UA"/>
        </w:rPr>
        <w:t>Закон</w:t>
      </w:r>
      <w:r>
        <w:rPr>
          <w:rFonts w:ascii="Times New Roman" w:hAnsi="Times New Roman" w:cs="Times New Roman"/>
          <w:sz w:val="24"/>
          <w:szCs w:val="24"/>
          <w:lang w:val="uk-UA" w:eastAsia="uk-UA"/>
        </w:rPr>
        <w:t>ом України «Про Державний бюджет України на 2025 рік»</w:t>
      </w:r>
      <w:r w:rsidRPr="001D722D">
        <w:rPr>
          <w:rFonts w:ascii="Times New Roman" w:hAnsi="Times New Roman" w:cs="Times New Roman"/>
          <w:sz w:val="24"/>
          <w:szCs w:val="24"/>
          <w:lang w:val="uk-UA" w:eastAsia="uk-UA"/>
        </w:rPr>
        <w:t xml:space="preserve">, </w:t>
      </w:r>
      <w:r w:rsidRPr="001D722D">
        <w:rPr>
          <w:rFonts w:ascii="Times New Roman" w:hAnsi="Times New Roman" w:cs="Times New Roman"/>
          <w:sz w:val="24"/>
          <w:szCs w:val="24"/>
          <w:lang w:val="uk-UA"/>
        </w:rPr>
        <w:t xml:space="preserve">Бюджетною декларацією на 2025 – 2027 роки, схваленої постановою Кабінету Міністрів України від 28 червня 2024 року № 751, </w:t>
      </w:r>
      <w:r w:rsidRPr="001D722D">
        <w:rPr>
          <w:rFonts w:ascii="Times New Roman" w:hAnsi="Times New Roman" w:cs="Times New Roman"/>
          <w:sz w:val="24"/>
          <w:szCs w:val="24"/>
          <w:lang w:val="uk-UA" w:eastAsia="uk-UA"/>
        </w:rPr>
        <w:t>О</w:t>
      </w:r>
      <w:r w:rsidRPr="001D722D">
        <w:rPr>
          <w:rFonts w:ascii="Times New Roman" w:hAnsi="Times New Roman" w:cs="Times New Roman"/>
          <w:sz w:val="24"/>
          <w:szCs w:val="24"/>
          <w:lang w:val="uk-UA"/>
        </w:rPr>
        <w:t>сновними прогнозними макропоказниками економічного і соціального розвитку України на 2025 –2027 роки</w:t>
      </w:r>
      <w:r w:rsidRPr="001D722D">
        <w:rPr>
          <w:rFonts w:ascii="Times New Roman" w:hAnsi="Times New Roman" w:cs="Times New Roman"/>
          <w:sz w:val="24"/>
          <w:szCs w:val="24"/>
          <w:lang w:val="uk-UA" w:eastAsia="uk-UA"/>
        </w:rPr>
        <w:t xml:space="preserve">, </w:t>
      </w:r>
      <w:r w:rsidRPr="001D722D">
        <w:rPr>
          <w:rFonts w:ascii="Times New Roman" w:hAnsi="Times New Roman" w:cs="Times New Roman"/>
          <w:sz w:val="24"/>
          <w:szCs w:val="24"/>
          <w:lang w:val="uk-UA"/>
        </w:rPr>
        <w:t>схвалених постановою Кабінету Міністрів України від 28 червня 2024 року № 780</w:t>
      </w:r>
      <w:r w:rsidRPr="001D722D">
        <w:rPr>
          <w:rFonts w:ascii="Times New Roman" w:hAnsi="Times New Roman" w:cs="Times New Roman"/>
          <w:sz w:val="24"/>
          <w:szCs w:val="24"/>
          <w:lang w:val="uk-UA" w:eastAsia="uk-UA"/>
        </w:rPr>
        <w:t>:</w:t>
      </w:r>
    </w:p>
    <w:p w14:paraId="0DA36100" w14:textId="03E88616" w:rsidR="001D722D" w:rsidRPr="001D722D" w:rsidRDefault="001624B5" w:rsidP="001624B5">
      <w:pPr>
        <w:pStyle w:val="a4"/>
        <w:numPr>
          <w:ilvl w:val="0"/>
          <w:numId w:val="28"/>
        </w:numPr>
        <w:tabs>
          <w:tab w:val="left" w:pos="709"/>
          <w:tab w:val="left" w:pos="993"/>
        </w:tabs>
        <w:spacing w:after="0" w:line="240" w:lineRule="auto"/>
        <w:ind w:left="0" w:firstLine="567"/>
        <w:jc w:val="both"/>
        <w:outlineLvl w:val="2"/>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w:t>
      </w:r>
      <w:r w:rsidR="001D722D" w:rsidRPr="001D722D">
        <w:rPr>
          <w:rFonts w:ascii="Times New Roman" w:hAnsi="Times New Roman" w:cs="Times New Roman"/>
          <w:sz w:val="24"/>
          <w:szCs w:val="24"/>
          <w:lang w:val="uk-UA" w:eastAsia="uk-UA"/>
        </w:rPr>
        <w:t>Основні прогнозні макропоказники економічного і соціального розвитку України на 2025 рік – Індекс споживчих цін (грудень до грудня попереднього року) – 109,5 %;</w:t>
      </w:r>
    </w:p>
    <w:p w14:paraId="4FCCFE0A" w14:textId="77777777" w:rsidR="001D722D" w:rsidRPr="001D722D" w:rsidRDefault="001D722D" w:rsidP="001624B5">
      <w:pPr>
        <w:pStyle w:val="a4"/>
        <w:numPr>
          <w:ilvl w:val="0"/>
          <w:numId w:val="28"/>
        </w:numPr>
        <w:tabs>
          <w:tab w:val="left" w:pos="709"/>
          <w:tab w:val="left" w:pos="851"/>
          <w:tab w:val="left" w:pos="993"/>
        </w:tabs>
        <w:spacing w:after="0" w:line="240" w:lineRule="auto"/>
        <w:ind w:left="0" w:firstLine="567"/>
        <w:jc w:val="both"/>
        <w:rPr>
          <w:rFonts w:ascii="Times New Roman" w:hAnsi="Times New Roman" w:cs="Times New Roman"/>
          <w:sz w:val="24"/>
          <w:szCs w:val="24"/>
          <w:lang w:val="uk-UA" w:eastAsia="uk-UA"/>
        </w:rPr>
      </w:pPr>
      <w:r w:rsidRPr="001D722D">
        <w:rPr>
          <w:rFonts w:ascii="Times New Roman" w:hAnsi="Times New Roman" w:cs="Times New Roman"/>
          <w:sz w:val="24"/>
          <w:szCs w:val="24"/>
          <w:lang w:val="uk-UA" w:eastAsia="uk-UA"/>
        </w:rPr>
        <w:t>З 01 січня 2025 року прожитковий мінімум на одну особу в розрахунку на місяць становитиме 2 920 гривень; для основних соціальних і демографічних груп населення становитиме:</w:t>
      </w:r>
    </w:p>
    <w:p w14:paraId="063A9297" w14:textId="77777777" w:rsidR="001D722D" w:rsidRPr="001D722D" w:rsidRDefault="001D722D" w:rsidP="001624B5">
      <w:pPr>
        <w:spacing w:after="0" w:line="240" w:lineRule="auto"/>
        <w:ind w:firstLine="567"/>
        <w:contextualSpacing/>
        <w:rPr>
          <w:rFonts w:ascii="Times New Roman" w:hAnsi="Times New Roman" w:cs="Times New Roman"/>
          <w:sz w:val="24"/>
          <w:szCs w:val="24"/>
          <w:lang w:val="uk-UA" w:eastAsia="uk-UA"/>
        </w:rPr>
      </w:pPr>
      <w:r w:rsidRPr="001D722D">
        <w:rPr>
          <w:rFonts w:ascii="Times New Roman" w:hAnsi="Times New Roman" w:cs="Times New Roman"/>
          <w:sz w:val="24"/>
          <w:szCs w:val="24"/>
          <w:lang w:val="uk-UA" w:eastAsia="uk-UA"/>
        </w:rPr>
        <w:t>дітей віком до 6 років – 2 563 гривні;</w:t>
      </w:r>
    </w:p>
    <w:p w14:paraId="10164CE0" w14:textId="77777777" w:rsidR="001D722D" w:rsidRPr="001D722D" w:rsidRDefault="001D722D" w:rsidP="001624B5">
      <w:pPr>
        <w:spacing w:after="0" w:line="240" w:lineRule="auto"/>
        <w:ind w:firstLine="567"/>
        <w:contextualSpacing/>
        <w:rPr>
          <w:rFonts w:ascii="Times New Roman" w:hAnsi="Times New Roman" w:cs="Times New Roman"/>
          <w:sz w:val="24"/>
          <w:szCs w:val="24"/>
          <w:lang w:val="uk-UA" w:eastAsia="uk-UA"/>
        </w:rPr>
      </w:pPr>
      <w:r w:rsidRPr="001D722D">
        <w:rPr>
          <w:rFonts w:ascii="Times New Roman" w:hAnsi="Times New Roman" w:cs="Times New Roman"/>
          <w:sz w:val="24"/>
          <w:szCs w:val="24"/>
          <w:lang w:val="uk-UA" w:eastAsia="uk-UA"/>
        </w:rPr>
        <w:t xml:space="preserve">дітей віком від 6 до 18 років – 3 196 гривень; </w:t>
      </w:r>
    </w:p>
    <w:p w14:paraId="428FF2AF" w14:textId="77777777" w:rsidR="001D722D" w:rsidRPr="001D722D" w:rsidRDefault="001D722D" w:rsidP="001624B5">
      <w:pPr>
        <w:spacing w:after="0" w:line="240" w:lineRule="auto"/>
        <w:ind w:firstLine="567"/>
        <w:contextualSpacing/>
        <w:rPr>
          <w:rFonts w:ascii="Times New Roman" w:hAnsi="Times New Roman" w:cs="Times New Roman"/>
          <w:sz w:val="24"/>
          <w:szCs w:val="24"/>
          <w:lang w:val="uk-UA" w:eastAsia="uk-UA"/>
        </w:rPr>
      </w:pPr>
      <w:r w:rsidRPr="001D722D">
        <w:rPr>
          <w:rFonts w:ascii="Times New Roman" w:hAnsi="Times New Roman" w:cs="Times New Roman"/>
          <w:sz w:val="24"/>
          <w:szCs w:val="24"/>
          <w:lang w:val="uk-UA" w:eastAsia="uk-UA"/>
        </w:rPr>
        <w:t xml:space="preserve">працездатних осіб – 3 028 гривень; </w:t>
      </w:r>
    </w:p>
    <w:p w14:paraId="275DFE17" w14:textId="77777777" w:rsidR="001D722D" w:rsidRPr="001D722D" w:rsidRDefault="001D722D" w:rsidP="001624B5">
      <w:pPr>
        <w:spacing w:after="0" w:line="240" w:lineRule="auto"/>
        <w:ind w:firstLine="567"/>
        <w:contextualSpacing/>
        <w:rPr>
          <w:rFonts w:ascii="Times New Roman" w:hAnsi="Times New Roman" w:cs="Times New Roman"/>
          <w:sz w:val="24"/>
          <w:szCs w:val="24"/>
          <w:lang w:val="uk-UA" w:eastAsia="uk-UA"/>
        </w:rPr>
      </w:pPr>
      <w:r w:rsidRPr="001D722D">
        <w:rPr>
          <w:rFonts w:ascii="Times New Roman" w:hAnsi="Times New Roman" w:cs="Times New Roman"/>
          <w:sz w:val="24"/>
          <w:szCs w:val="24"/>
          <w:lang w:val="uk-UA" w:eastAsia="uk-UA"/>
        </w:rPr>
        <w:t xml:space="preserve">осіб, які втратили працездатність, – 2 361 гривня. </w:t>
      </w:r>
    </w:p>
    <w:p w14:paraId="5BE97C04" w14:textId="639C1671" w:rsidR="001D722D" w:rsidRPr="001D722D" w:rsidRDefault="001D722D" w:rsidP="001624B5">
      <w:pPr>
        <w:pStyle w:val="a4"/>
        <w:numPr>
          <w:ilvl w:val="0"/>
          <w:numId w:val="28"/>
        </w:numPr>
        <w:tabs>
          <w:tab w:val="left" w:pos="709"/>
          <w:tab w:val="left" w:pos="1000"/>
          <w:tab w:val="left" w:pos="1069"/>
          <w:tab w:val="left" w:pos="1418"/>
        </w:tabs>
        <w:spacing w:after="0" w:line="240" w:lineRule="auto"/>
        <w:ind w:left="0" w:firstLine="567"/>
        <w:jc w:val="both"/>
        <w:rPr>
          <w:rFonts w:ascii="Times New Roman" w:hAnsi="Times New Roman" w:cs="Times New Roman"/>
          <w:sz w:val="24"/>
          <w:szCs w:val="24"/>
          <w:lang w:val="uk-UA"/>
        </w:rPr>
      </w:pPr>
      <w:r w:rsidRPr="001D722D">
        <w:rPr>
          <w:rFonts w:ascii="Times New Roman" w:hAnsi="Times New Roman" w:cs="Times New Roman"/>
          <w:sz w:val="24"/>
          <w:szCs w:val="24"/>
          <w:lang w:val="uk-UA"/>
        </w:rPr>
        <w:t xml:space="preserve">З 01 січня 2025 року мінімальна заробітна плата (місячний розмір) становитиме </w:t>
      </w:r>
      <w:r w:rsidR="001624B5">
        <w:rPr>
          <w:rFonts w:ascii="Times New Roman" w:hAnsi="Times New Roman" w:cs="Times New Roman"/>
          <w:sz w:val="24"/>
          <w:szCs w:val="24"/>
          <w:lang w:val="uk-UA"/>
        </w:rPr>
        <w:t xml:space="preserve">                          </w:t>
      </w:r>
      <w:r w:rsidRPr="001D722D">
        <w:rPr>
          <w:rFonts w:ascii="Times New Roman" w:hAnsi="Times New Roman" w:cs="Times New Roman"/>
          <w:sz w:val="24"/>
          <w:szCs w:val="24"/>
          <w:lang w:val="uk-UA"/>
        </w:rPr>
        <w:t>8 000 грн.</w:t>
      </w:r>
    </w:p>
    <w:p w14:paraId="2747801E" w14:textId="77777777" w:rsidR="001D722D" w:rsidRPr="001D722D" w:rsidRDefault="001D722D" w:rsidP="001624B5">
      <w:pPr>
        <w:pStyle w:val="a4"/>
        <w:numPr>
          <w:ilvl w:val="0"/>
          <w:numId w:val="28"/>
        </w:numPr>
        <w:spacing w:after="0" w:line="240" w:lineRule="auto"/>
        <w:ind w:left="0" w:firstLine="567"/>
        <w:jc w:val="both"/>
        <w:rPr>
          <w:rFonts w:ascii="Times New Roman" w:hAnsi="Times New Roman" w:cs="Times New Roman"/>
          <w:sz w:val="24"/>
          <w:szCs w:val="24"/>
          <w:lang w:val="uk-UA"/>
        </w:rPr>
      </w:pPr>
      <w:r w:rsidRPr="001D722D">
        <w:rPr>
          <w:rFonts w:ascii="Times New Roman" w:hAnsi="Times New Roman" w:cs="Times New Roman"/>
          <w:sz w:val="24"/>
          <w:szCs w:val="24"/>
          <w:lang w:val="uk-UA"/>
        </w:rPr>
        <w:t>Обмінний курс гривні до долара США, в середньому за період (</w:t>
      </w:r>
      <w:r w:rsidRPr="001D722D">
        <w:rPr>
          <w:rFonts w:ascii="Times New Roman" w:hAnsi="Times New Roman" w:cs="Times New Roman"/>
          <w:i/>
          <w:iCs/>
          <w:sz w:val="24"/>
          <w:szCs w:val="24"/>
          <w:lang w:val="uk-UA"/>
        </w:rPr>
        <w:t>припущення прогнозу, визначене Бюджетною декларацією на 2025 – 2027 роки, схваленою постановою Кабінету Міністрів України від 28 червня 2024 року № 751</w:t>
      </w:r>
      <w:r w:rsidRPr="001D722D">
        <w:rPr>
          <w:rFonts w:ascii="Times New Roman" w:hAnsi="Times New Roman" w:cs="Times New Roman"/>
          <w:sz w:val="24"/>
          <w:szCs w:val="24"/>
          <w:lang w:val="uk-UA"/>
        </w:rPr>
        <w:t>) – 45,0 гривень за долар США.</w:t>
      </w:r>
    </w:p>
    <w:p w14:paraId="7D0AD07E" w14:textId="77777777" w:rsidR="001D722D" w:rsidRPr="001D722D" w:rsidRDefault="001D722D" w:rsidP="001624B5">
      <w:pPr>
        <w:pStyle w:val="a4"/>
        <w:numPr>
          <w:ilvl w:val="0"/>
          <w:numId w:val="29"/>
        </w:numPr>
        <w:tabs>
          <w:tab w:val="left" w:pos="709"/>
          <w:tab w:val="left" w:pos="851"/>
          <w:tab w:val="left" w:pos="993"/>
        </w:tabs>
        <w:spacing w:after="0" w:line="240" w:lineRule="auto"/>
        <w:ind w:left="0" w:firstLine="567"/>
        <w:jc w:val="both"/>
        <w:rPr>
          <w:rFonts w:ascii="Times New Roman" w:hAnsi="Times New Roman" w:cs="Times New Roman"/>
          <w:sz w:val="24"/>
          <w:szCs w:val="24"/>
          <w:lang w:val="uk-UA"/>
        </w:rPr>
      </w:pPr>
      <w:r w:rsidRPr="001D722D">
        <w:rPr>
          <w:rFonts w:ascii="Times New Roman" w:hAnsi="Times New Roman" w:cs="Times New Roman"/>
          <w:sz w:val="24"/>
          <w:szCs w:val="24"/>
          <w:lang w:val="uk-UA"/>
        </w:rPr>
        <w:t>Зобов’язання, які виражаються в євро, розраховуються в національній валюті, виходячи із розрахункового курсу гривні до євро, – 48,1 гривень за євро.</w:t>
      </w:r>
    </w:p>
    <w:p w14:paraId="22ED6A8F" w14:textId="6CE06769" w:rsidR="001D722D" w:rsidRPr="001D722D" w:rsidRDefault="001D722D" w:rsidP="001D722D">
      <w:pPr>
        <w:numPr>
          <w:ilvl w:val="0"/>
          <w:numId w:val="29"/>
        </w:numPr>
        <w:tabs>
          <w:tab w:val="left" w:pos="993"/>
          <w:tab w:val="left" w:pos="1134"/>
        </w:tabs>
        <w:spacing w:after="0" w:line="240" w:lineRule="auto"/>
        <w:ind w:left="0" w:firstLine="709"/>
        <w:contextualSpacing/>
        <w:jc w:val="both"/>
        <w:rPr>
          <w:rFonts w:ascii="Times New Roman" w:hAnsi="Times New Roman" w:cs="Times New Roman"/>
          <w:sz w:val="24"/>
          <w:szCs w:val="24"/>
          <w:lang w:val="uk-UA"/>
        </w:rPr>
      </w:pPr>
      <w:r w:rsidRPr="001D722D">
        <w:rPr>
          <w:rFonts w:ascii="Times New Roman" w:hAnsi="Times New Roman" w:cs="Times New Roman"/>
          <w:sz w:val="24"/>
          <w:szCs w:val="24"/>
          <w:lang w:val="uk-UA"/>
        </w:rPr>
        <w:t xml:space="preserve">У проєкті бюджету </w:t>
      </w:r>
      <w:r w:rsidR="001624B5">
        <w:rPr>
          <w:rFonts w:ascii="Times New Roman" w:hAnsi="Times New Roman" w:cs="Times New Roman"/>
          <w:sz w:val="24"/>
          <w:szCs w:val="24"/>
          <w:lang w:val="uk-UA"/>
        </w:rPr>
        <w:t xml:space="preserve">Чорноморської </w:t>
      </w:r>
      <w:r w:rsidRPr="001D722D">
        <w:rPr>
          <w:rFonts w:ascii="Times New Roman" w:hAnsi="Times New Roman" w:cs="Times New Roman"/>
          <w:sz w:val="24"/>
          <w:szCs w:val="24"/>
          <w:lang w:val="uk-UA"/>
        </w:rPr>
        <w:t>МТГ на 2025 рік враховано обсяг реверсної дотації на 2025 рік, визначений у</w:t>
      </w:r>
      <w:r w:rsidR="001624B5">
        <w:rPr>
          <w:rFonts w:ascii="Times New Roman" w:hAnsi="Times New Roman" w:cs="Times New Roman"/>
          <w:sz w:val="24"/>
          <w:szCs w:val="24"/>
          <w:lang w:val="uk-UA"/>
        </w:rPr>
        <w:t xml:space="preserve"> додатку 5 до </w:t>
      </w:r>
      <w:r w:rsidRPr="001D722D">
        <w:rPr>
          <w:rFonts w:ascii="Times New Roman" w:hAnsi="Times New Roman" w:cs="Times New Roman"/>
          <w:bCs/>
          <w:sz w:val="24"/>
          <w:szCs w:val="24"/>
          <w:lang w:val="uk-UA"/>
        </w:rPr>
        <w:t>Закону</w:t>
      </w:r>
      <w:r w:rsidR="001624B5">
        <w:rPr>
          <w:rFonts w:ascii="Times New Roman" w:hAnsi="Times New Roman" w:cs="Times New Roman"/>
          <w:bCs/>
          <w:sz w:val="24"/>
          <w:szCs w:val="24"/>
          <w:lang w:val="uk-UA"/>
        </w:rPr>
        <w:t xml:space="preserve"> України  </w:t>
      </w:r>
      <w:r w:rsidR="001624B5">
        <w:rPr>
          <w:rFonts w:ascii="Times New Roman" w:hAnsi="Times New Roman" w:cs="Times New Roman"/>
          <w:sz w:val="24"/>
          <w:szCs w:val="24"/>
          <w:lang w:val="uk-UA" w:eastAsia="uk-UA"/>
        </w:rPr>
        <w:t xml:space="preserve">Про Державний бюджет України на 2025 рік», </w:t>
      </w:r>
      <w:r w:rsidRPr="001D722D">
        <w:rPr>
          <w:rFonts w:ascii="Times New Roman" w:hAnsi="Times New Roman" w:cs="Times New Roman"/>
          <w:bCs/>
          <w:sz w:val="24"/>
          <w:szCs w:val="24"/>
          <w:lang w:val="uk-UA"/>
        </w:rPr>
        <w:t xml:space="preserve"> у сумі</w:t>
      </w:r>
      <w:r w:rsidRPr="001D722D">
        <w:rPr>
          <w:rFonts w:ascii="Times New Roman" w:hAnsi="Times New Roman" w:cs="Times New Roman"/>
          <w:sz w:val="24"/>
          <w:szCs w:val="24"/>
          <w:lang w:val="uk-UA"/>
        </w:rPr>
        <w:t xml:space="preserve"> </w:t>
      </w:r>
      <w:r w:rsidR="003C5DE9">
        <w:rPr>
          <w:rFonts w:ascii="Times New Roman" w:hAnsi="Times New Roman" w:cs="Times New Roman"/>
          <w:sz w:val="24"/>
          <w:szCs w:val="24"/>
          <w:lang w:val="uk-UA"/>
        </w:rPr>
        <w:t>63 874,8 тис.</w:t>
      </w:r>
      <w:r w:rsidRPr="001D722D">
        <w:rPr>
          <w:rFonts w:ascii="Times New Roman" w:hAnsi="Times New Roman" w:cs="Times New Roman"/>
          <w:sz w:val="24"/>
          <w:szCs w:val="24"/>
          <w:lang w:val="uk-UA"/>
        </w:rPr>
        <w:t> гривень.</w:t>
      </w:r>
    </w:p>
    <w:p w14:paraId="4D34A126" w14:textId="434D9B0F" w:rsidR="003C5DE9" w:rsidRPr="003C5DE9" w:rsidRDefault="003C5DE9" w:rsidP="001D722D">
      <w:pPr>
        <w:numPr>
          <w:ilvl w:val="0"/>
          <w:numId w:val="29"/>
        </w:numPr>
        <w:tabs>
          <w:tab w:val="left" w:pos="993"/>
          <w:tab w:val="left" w:pos="1134"/>
          <w:tab w:val="left" w:pos="9356"/>
        </w:tabs>
        <w:spacing w:after="0" w:line="240" w:lineRule="auto"/>
        <w:ind w:left="0" w:firstLine="709"/>
        <w:contextualSpacing/>
        <w:jc w:val="both"/>
        <w:rPr>
          <w:rStyle w:val="rvts23"/>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Постановою Кабінету Міністрів України від </w:t>
      </w:r>
      <w:r w:rsidRPr="003C5DE9">
        <w:rPr>
          <w:rStyle w:val="rvts9"/>
          <w:lang w:val="uk-UA"/>
        </w:rPr>
        <w:t xml:space="preserve"> </w:t>
      </w:r>
      <w:r w:rsidRPr="003C5DE9">
        <w:rPr>
          <w:rStyle w:val="rvts9"/>
          <w:rFonts w:ascii="Times New Roman" w:hAnsi="Times New Roman" w:cs="Times New Roman"/>
          <w:color w:val="000000" w:themeColor="text1"/>
          <w:sz w:val="24"/>
          <w:szCs w:val="24"/>
          <w:lang w:val="uk-UA"/>
        </w:rPr>
        <w:t>5 грудня 2024 р. № 1394</w:t>
      </w:r>
      <w:r w:rsidRPr="003C5DE9">
        <w:rPr>
          <w:rStyle w:val="rvts9"/>
          <w:color w:val="000000" w:themeColor="text1"/>
          <w:lang w:val="uk-UA"/>
        </w:rPr>
        <w:t xml:space="preserve"> </w:t>
      </w:r>
      <w:r w:rsidRPr="003C5DE9">
        <w:rPr>
          <w:rStyle w:val="rvts9"/>
          <w:rFonts w:ascii="Times New Roman" w:hAnsi="Times New Roman" w:cs="Times New Roman"/>
          <w:color w:val="000000" w:themeColor="text1"/>
          <w:sz w:val="24"/>
          <w:szCs w:val="24"/>
          <w:lang w:val="uk-UA"/>
        </w:rPr>
        <w:t>«</w:t>
      </w:r>
      <w:r w:rsidRPr="003C5DE9">
        <w:rPr>
          <w:rStyle w:val="rvts23"/>
          <w:rFonts w:ascii="Times New Roman" w:hAnsi="Times New Roman" w:cs="Times New Roman"/>
          <w:sz w:val="24"/>
          <w:szCs w:val="24"/>
          <w:lang w:val="uk-UA"/>
        </w:rPr>
        <w:t>Деякі питання розподілу освітньої субвенції на 2025 рік»</w:t>
      </w:r>
      <w:r>
        <w:rPr>
          <w:rStyle w:val="rvts23"/>
          <w:lang w:val="uk-UA"/>
        </w:rPr>
        <w:t xml:space="preserve"> </w:t>
      </w:r>
      <w:r w:rsidRPr="003C5DE9">
        <w:rPr>
          <w:rStyle w:val="rvts0"/>
          <w:rFonts w:ascii="Times New Roman" w:hAnsi="Times New Roman" w:cs="Times New Roman"/>
          <w:color w:val="000000" w:themeColor="text1"/>
          <w:sz w:val="24"/>
          <w:szCs w:val="24"/>
          <w:lang w:val="uk-UA"/>
        </w:rPr>
        <w:t>здійсн</w:t>
      </w:r>
      <w:r>
        <w:rPr>
          <w:rStyle w:val="rvts0"/>
          <w:rFonts w:ascii="Times New Roman" w:hAnsi="Times New Roman" w:cs="Times New Roman"/>
          <w:color w:val="000000" w:themeColor="text1"/>
          <w:sz w:val="24"/>
          <w:szCs w:val="24"/>
          <w:lang w:val="uk-UA"/>
        </w:rPr>
        <w:t xml:space="preserve">ено </w:t>
      </w:r>
      <w:hyperlink r:id="rId10" w:anchor="n12" w:history="1">
        <w:r w:rsidRPr="003C5DE9">
          <w:rPr>
            <w:rStyle w:val="ab"/>
            <w:rFonts w:ascii="Times New Roman" w:hAnsi="Times New Roman" w:cs="Times New Roman"/>
            <w:color w:val="000000" w:themeColor="text1"/>
            <w:sz w:val="24"/>
            <w:szCs w:val="24"/>
            <w:u w:val="none"/>
            <w:lang w:val="uk-UA"/>
          </w:rPr>
          <w:t>розподіл освітньої субвенції з державного бюджету місцевим бюджетам на січень - серпень 2025 р.</w:t>
        </w:r>
      </w:hyperlink>
      <w:r>
        <w:rPr>
          <w:rStyle w:val="rvts0"/>
          <w:rFonts w:ascii="Times New Roman" w:hAnsi="Times New Roman" w:cs="Times New Roman"/>
          <w:color w:val="000000" w:themeColor="text1"/>
          <w:sz w:val="24"/>
          <w:szCs w:val="24"/>
          <w:lang w:val="uk-UA"/>
        </w:rPr>
        <w:t xml:space="preserve"> Відповідно в проєкті бюджету Чорноморської МТГ на 2025 рік враховані кошти освітньої субвенції у сумі 103 011,5 тис. гривень.</w:t>
      </w:r>
    </w:p>
    <w:p w14:paraId="459AD405" w14:textId="77777777" w:rsidR="001D722D" w:rsidRPr="007620A2" w:rsidRDefault="001D722D" w:rsidP="000B04B1">
      <w:pPr>
        <w:spacing w:after="0" w:line="240" w:lineRule="auto"/>
        <w:jc w:val="center"/>
        <w:rPr>
          <w:rFonts w:ascii="Times New Roman" w:hAnsi="Times New Roman" w:cs="Times New Roman"/>
          <w:b/>
          <w:sz w:val="32"/>
          <w:szCs w:val="32"/>
          <w:lang w:val="uk-UA"/>
        </w:rPr>
      </w:pPr>
    </w:p>
    <w:p w14:paraId="574B587E" w14:textId="77777777" w:rsidR="000B04B1" w:rsidRPr="007620A2" w:rsidRDefault="000B04B1" w:rsidP="000B04B1">
      <w:pPr>
        <w:numPr>
          <w:ilvl w:val="0"/>
          <w:numId w:val="9"/>
        </w:numPr>
        <w:tabs>
          <w:tab w:val="left" w:pos="-5245"/>
        </w:tabs>
        <w:spacing w:after="0" w:line="240" w:lineRule="auto"/>
        <w:ind w:right="-2"/>
        <w:contextualSpacing/>
        <w:jc w:val="center"/>
        <w:rPr>
          <w:rFonts w:ascii="Times New Roman" w:eastAsia="Calibri" w:hAnsi="Times New Roman" w:cs="Times New Roman"/>
          <w:b/>
          <w:bCs/>
          <w:color w:val="000000"/>
          <w:sz w:val="28"/>
          <w:szCs w:val="28"/>
          <w:lang w:val="uk-UA"/>
        </w:rPr>
      </w:pPr>
      <w:r w:rsidRPr="007620A2">
        <w:rPr>
          <w:rFonts w:ascii="Times New Roman" w:eastAsia="Calibri" w:hAnsi="Times New Roman" w:cs="Times New Roman"/>
          <w:b/>
          <w:bCs/>
          <w:color w:val="000000"/>
          <w:sz w:val="28"/>
          <w:szCs w:val="28"/>
          <w:lang w:val="uk-UA"/>
        </w:rPr>
        <w:t>Інформація про соціально - економічний стан Чорноморської міської територіальної громади в 2024 році  і прогноз її  розвитку на 2025 рік</w:t>
      </w:r>
    </w:p>
    <w:p w14:paraId="008EC513" w14:textId="77777777" w:rsidR="000B04B1" w:rsidRPr="007620A2" w:rsidRDefault="000B04B1" w:rsidP="000B04B1">
      <w:pPr>
        <w:tabs>
          <w:tab w:val="left" w:pos="-5245"/>
          <w:tab w:val="left" w:pos="142"/>
          <w:tab w:val="left" w:pos="426"/>
          <w:tab w:val="left" w:pos="709"/>
          <w:tab w:val="left" w:pos="851"/>
        </w:tabs>
        <w:spacing w:after="0" w:line="240" w:lineRule="auto"/>
        <w:ind w:left="720" w:right="-2"/>
        <w:contextualSpacing/>
        <w:jc w:val="center"/>
        <w:rPr>
          <w:rFonts w:ascii="Times New Roman" w:eastAsia="Times New Roman" w:hAnsi="Times New Roman" w:cs="Times New Roman"/>
          <w:i/>
          <w:color w:val="000000"/>
          <w:sz w:val="24"/>
          <w:szCs w:val="24"/>
          <w:lang w:val="uk-UA" w:eastAsia="ru-RU"/>
        </w:rPr>
      </w:pPr>
      <w:r w:rsidRPr="007620A2">
        <w:rPr>
          <w:rFonts w:ascii="Times New Roman" w:eastAsia="Times New Roman" w:hAnsi="Times New Roman" w:cs="Times New Roman"/>
          <w:i/>
          <w:color w:val="000000"/>
          <w:sz w:val="24"/>
          <w:szCs w:val="24"/>
          <w:lang w:val="uk-UA" w:eastAsia="ru-RU"/>
        </w:rPr>
        <w:t>(підпункт а пункту 1 частини 1 статті 76 Бюджетного кодексу України)</w:t>
      </w:r>
    </w:p>
    <w:p w14:paraId="002B2194" w14:textId="77777777" w:rsidR="000B04B1" w:rsidRPr="007620A2" w:rsidRDefault="000B04B1" w:rsidP="000B04B1">
      <w:pPr>
        <w:tabs>
          <w:tab w:val="left" w:pos="-5245"/>
          <w:tab w:val="left" w:pos="142"/>
          <w:tab w:val="left" w:pos="426"/>
          <w:tab w:val="left" w:pos="709"/>
          <w:tab w:val="left" w:pos="851"/>
        </w:tabs>
        <w:spacing w:after="0" w:line="240" w:lineRule="auto"/>
        <w:ind w:left="720" w:right="-2"/>
        <w:contextualSpacing/>
        <w:jc w:val="center"/>
        <w:rPr>
          <w:rFonts w:ascii="Times New Roman" w:eastAsia="Times New Roman" w:hAnsi="Times New Roman" w:cs="Times New Roman"/>
          <w:i/>
          <w:color w:val="000000"/>
          <w:sz w:val="24"/>
          <w:szCs w:val="24"/>
          <w:lang w:val="uk-UA" w:eastAsia="ru-RU"/>
        </w:rPr>
      </w:pPr>
    </w:p>
    <w:p w14:paraId="1294DE26" w14:textId="77777777" w:rsidR="00B42846" w:rsidRPr="001B1A3B" w:rsidRDefault="00B42846" w:rsidP="00B42846">
      <w:pPr>
        <w:spacing w:after="0" w:line="240" w:lineRule="auto"/>
        <w:ind w:firstLine="567"/>
        <w:contextualSpacing/>
        <w:jc w:val="both"/>
        <w:rPr>
          <w:rFonts w:ascii="Times New Roman" w:hAnsi="Times New Roman" w:cs="Times New Roman"/>
          <w:color w:val="000000" w:themeColor="text1"/>
          <w:sz w:val="24"/>
          <w:szCs w:val="24"/>
          <w:lang w:val="uk-UA"/>
        </w:rPr>
      </w:pPr>
      <w:r w:rsidRPr="001B1A3B">
        <w:rPr>
          <w:rFonts w:ascii="Times New Roman" w:hAnsi="Times New Roman" w:cs="Times New Roman"/>
          <w:color w:val="000000" w:themeColor="text1"/>
          <w:sz w:val="24"/>
          <w:szCs w:val="24"/>
          <w:lang w:val="uk-UA"/>
        </w:rPr>
        <w:t>Економіка України демонструє високий потенціал адаптивності до нових умов, спричинених повномасштабним вторгненням Російської Федерації. Незважаючи на безпрецедентні руйнування інфраструктури, енергетичну кризу, логістичні обмеження та значні міграційні процеси, економіка країни зберігає тенденцію до відновлення. Це пояснюється збереженням макрофінансової стабільності, забезпеченої скоординованими діями Уряду та значною підтримкою міжнародних партнерів.</w:t>
      </w:r>
    </w:p>
    <w:p w14:paraId="741B22F4" w14:textId="77777777" w:rsidR="00B42846" w:rsidRPr="001B1A3B" w:rsidRDefault="00B42846" w:rsidP="00B42846">
      <w:pPr>
        <w:spacing w:after="0" w:line="240" w:lineRule="auto"/>
        <w:ind w:firstLine="567"/>
        <w:contextualSpacing/>
        <w:jc w:val="both"/>
        <w:rPr>
          <w:rFonts w:ascii="Times New Roman" w:hAnsi="Times New Roman" w:cs="Times New Roman"/>
          <w:color w:val="000000" w:themeColor="text1"/>
          <w:sz w:val="24"/>
          <w:szCs w:val="24"/>
          <w:lang w:val="uk-UA"/>
        </w:rPr>
      </w:pPr>
      <w:r w:rsidRPr="001B1A3B">
        <w:rPr>
          <w:rFonts w:ascii="Times New Roman" w:hAnsi="Times New Roman" w:cs="Times New Roman"/>
          <w:color w:val="000000" w:themeColor="text1"/>
          <w:sz w:val="24"/>
          <w:szCs w:val="24"/>
          <w:lang w:val="uk-UA"/>
        </w:rPr>
        <w:t xml:space="preserve">Однак, масштаби руйнувань та глибина системних трансформацій, що відбуваються внаслідок війни, суттєво ускладнюють прогнозування темпів економічного зростання навіть в короткостроковій та середньостроковій перспективі. </w:t>
      </w:r>
    </w:p>
    <w:p w14:paraId="5018F1F6" w14:textId="1F6AF84C" w:rsidR="00B42846" w:rsidRPr="00B42846" w:rsidRDefault="00B42846" w:rsidP="00B42846">
      <w:pPr>
        <w:spacing w:after="0" w:line="240" w:lineRule="auto"/>
        <w:ind w:firstLine="567"/>
        <w:contextualSpacing/>
        <w:jc w:val="both"/>
        <w:rPr>
          <w:rFonts w:ascii="Times New Roman" w:hAnsi="Times New Roman" w:cs="Times New Roman"/>
          <w:sz w:val="24"/>
          <w:szCs w:val="24"/>
          <w:lang w:val="uk-UA"/>
        </w:rPr>
      </w:pPr>
      <w:r w:rsidRPr="001B1A3B">
        <w:rPr>
          <w:rFonts w:ascii="Times New Roman" w:hAnsi="Times New Roman" w:cs="Times New Roman"/>
          <w:color w:val="000000" w:themeColor="text1"/>
          <w:sz w:val="24"/>
          <w:szCs w:val="24"/>
          <w:lang w:val="uk-UA"/>
        </w:rPr>
        <w:t>Чорноморськ – місто-супутник ключового торг</w:t>
      </w:r>
      <w:r w:rsidR="003702C1">
        <w:rPr>
          <w:rFonts w:ascii="Times New Roman" w:hAnsi="Times New Roman" w:cs="Times New Roman"/>
          <w:color w:val="000000" w:themeColor="text1"/>
          <w:sz w:val="24"/>
          <w:szCs w:val="24"/>
          <w:lang w:val="uk-UA"/>
        </w:rPr>
        <w:t>і</w:t>
      </w:r>
      <w:r w:rsidRPr="001B1A3B">
        <w:rPr>
          <w:rFonts w:ascii="Times New Roman" w:hAnsi="Times New Roman" w:cs="Times New Roman"/>
          <w:color w:val="000000" w:themeColor="text1"/>
          <w:sz w:val="24"/>
          <w:szCs w:val="24"/>
          <w:lang w:val="uk-UA"/>
        </w:rPr>
        <w:t xml:space="preserve">вельного та промислового центру України – міста </w:t>
      </w:r>
      <w:r w:rsidR="001B1A3B">
        <w:rPr>
          <w:rFonts w:ascii="Times New Roman" w:hAnsi="Times New Roman" w:cs="Times New Roman"/>
          <w:color w:val="000000" w:themeColor="text1"/>
          <w:sz w:val="24"/>
          <w:szCs w:val="24"/>
          <w:lang w:val="uk-UA"/>
        </w:rPr>
        <w:t>Одеси</w:t>
      </w:r>
      <w:r w:rsidR="00165F14">
        <w:rPr>
          <w:rFonts w:ascii="Times New Roman" w:hAnsi="Times New Roman" w:cs="Times New Roman"/>
          <w:color w:val="000000" w:themeColor="text1"/>
          <w:sz w:val="24"/>
          <w:szCs w:val="24"/>
          <w:lang w:val="uk-UA"/>
        </w:rPr>
        <w:t>, в умовах воєнного стану</w:t>
      </w:r>
      <w:r w:rsidR="003C5DE9">
        <w:rPr>
          <w:rFonts w:ascii="Times New Roman" w:hAnsi="Times New Roman" w:cs="Times New Roman"/>
          <w:color w:val="000000" w:themeColor="text1"/>
          <w:sz w:val="24"/>
          <w:szCs w:val="24"/>
          <w:lang w:val="uk-UA"/>
        </w:rPr>
        <w:t>, як і інші міста держави,</w:t>
      </w:r>
      <w:r w:rsidRPr="001B1A3B">
        <w:rPr>
          <w:rFonts w:ascii="Times New Roman" w:hAnsi="Times New Roman" w:cs="Times New Roman"/>
          <w:color w:val="000000" w:themeColor="text1"/>
          <w:sz w:val="24"/>
          <w:szCs w:val="24"/>
          <w:lang w:val="uk-UA"/>
        </w:rPr>
        <w:t xml:space="preserve"> зазна</w:t>
      </w:r>
      <w:r w:rsidR="00165F14">
        <w:rPr>
          <w:rFonts w:ascii="Times New Roman" w:hAnsi="Times New Roman" w:cs="Times New Roman"/>
          <w:color w:val="000000" w:themeColor="text1"/>
          <w:sz w:val="24"/>
          <w:szCs w:val="24"/>
          <w:lang w:val="uk-UA"/>
        </w:rPr>
        <w:t>є</w:t>
      </w:r>
      <w:r w:rsidRPr="001B1A3B">
        <w:rPr>
          <w:rFonts w:ascii="Times New Roman" w:hAnsi="Times New Roman" w:cs="Times New Roman"/>
          <w:color w:val="000000" w:themeColor="text1"/>
          <w:sz w:val="24"/>
          <w:szCs w:val="24"/>
          <w:lang w:val="uk-UA"/>
        </w:rPr>
        <w:t xml:space="preserve"> серйозних випробувань, пов'язаних з руйнуваннями інфраструктури, логістичними проблемами та загальною нестабільністю</w:t>
      </w:r>
      <w:r w:rsidRPr="00B42846">
        <w:rPr>
          <w:rFonts w:ascii="Times New Roman" w:hAnsi="Times New Roman" w:cs="Times New Roman"/>
          <w:sz w:val="24"/>
          <w:szCs w:val="24"/>
          <w:lang w:val="uk-UA"/>
        </w:rPr>
        <w:t xml:space="preserve">. </w:t>
      </w:r>
    </w:p>
    <w:p w14:paraId="68074601" w14:textId="421A43CE" w:rsidR="00B42846" w:rsidRPr="00B42846" w:rsidRDefault="00B42846" w:rsidP="00B42846">
      <w:pPr>
        <w:spacing w:after="0" w:line="240" w:lineRule="auto"/>
        <w:ind w:firstLine="567"/>
        <w:contextualSpacing/>
        <w:jc w:val="both"/>
        <w:rPr>
          <w:rFonts w:ascii="Times New Roman" w:hAnsi="Times New Roman" w:cs="Times New Roman"/>
          <w:sz w:val="24"/>
          <w:szCs w:val="24"/>
          <w:lang w:val="uk-UA"/>
        </w:rPr>
      </w:pPr>
      <w:r w:rsidRPr="00B42846">
        <w:rPr>
          <w:rFonts w:ascii="Times New Roman" w:hAnsi="Times New Roman" w:cs="Times New Roman"/>
          <w:sz w:val="24"/>
          <w:szCs w:val="24"/>
          <w:lang w:val="uk-UA"/>
        </w:rPr>
        <w:t xml:space="preserve">Економіка </w:t>
      </w:r>
      <w:r w:rsidR="00165F14">
        <w:rPr>
          <w:rFonts w:ascii="Times New Roman" w:hAnsi="Times New Roman" w:cs="Times New Roman"/>
          <w:sz w:val="24"/>
          <w:szCs w:val="24"/>
          <w:lang w:val="uk-UA"/>
        </w:rPr>
        <w:t xml:space="preserve">Чорноморської міської територіальної громади </w:t>
      </w:r>
      <w:r w:rsidRPr="00B42846">
        <w:rPr>
          <w:rFonts w:ascii="Times New Roman" w:hAnsi="Times New Roman" w:cs="Times New Roman"/>
          <w:sz w:val="24"/>
          <w:szCs w:val="24"/>
          <w:lang w:val="uk-UA"/>
        </w:rPr>
        <w:t xml:space="preserve"> у 2024 році функціонувала в частковому режимі графіків «віялових» відключень електроенергії через її дефіцит, що ускладнювало економічну активність підприємств, як на фоні зростання витрат, так і споживачів товарів і послуг.</w:t>
      </w:r>
    </w:p>
    <w:p w14:paraId="7A1573D2" w14:textId="2A4E9E7E" w:rsidR="00B42846" w:rsidRPr="00B42846" w:rsidRDefault="00B42846" w:rsidP="00B42846">
      <w:pPr>
        <w:spacing w:after="0" w:line="240" w:lineRule="auto"/>
        <w:ind w:firstLine="567"/>
        <w:contextualSpacing/>
        <w:jc w:val="both"/>
        <w:rPr>
          <w:rFonts w:ascii="Times New Roman" w:hAnsi="Times New Roman" w:cs="Times New Roman"/>
          <w:sz w:val="24"/>
          <w:szCs w:val="24"/>
          <w:lang w:val="uk-UA"/>
        </w:rPr>
      </w:pPr>
      <w:r w:rsidRPr="00B42846">
        <w:rPr>
          <w:rFonts w:ascii="Times New Roman" w:hAnsi="Times New Roman" w:cs="Times New Roman"/>
          <w:sz w:val="24"/>
          <w:szCs w:val="24"/>
          <w:lang w:val="uk-UA"/>
        </w:rPr>
        <w:t xml:space="preserve">Незважаючи на значні виклики, </w:t>
      </w:r>
      <w:r w:rsidR="00165F14">
        <w:rPr>
          <w:rFonts w:ascii="Times New Roman" w:hAnsi="Times New Roman" w:cs="Times New Roman"/>
          <w:sz w:val="24"/>
          <w:szCs w:val="24"/>
          <w:lang w:val="uk-UA"/>
        </w:rPr>
        <w:t xml:space="preserve">Чорноморська міська територіальна громада </w:t>
      </w:r>
      <w:r w:rsidRPr="00B42846">
        <w:rPr>
          <w:rFonts w:ascii="Times New Roman" w:hAnsi="Times New Roman" w:cs="Times New Roman"/>
          <w:sz w:val="24"/>
          <w:szCs w:val="24"/>
          <w:lang w:val="uk-UA"/>
        </w:rPr>
        <w:t xml:space="preserve"> демонструє стійкість та прагне до відновлення економічної активності. </w:t>
      </w:r>
      <w:r w:rsidR="00165F14">
        <w:rPr>
          <w:rFonts w:ascii="Times New Roman" w:hAnsi="Times New Roman" w:cs="Times New Roman"/>
          <w:sz w:val="24"/>
          <w:szCs w:val="24"/>
          <w:lang w:val="uk-UA"/>
        </w:rPr>
        <w:t xml:space="preserve">Міська громада </w:t>
      </w:r>
      <w:r w:rsidRPr="00B42846">
        <w:rPr>
          <w:rFonts w:ascii="Times New Roman" w:hAnsi="Times New Roman" w:cs="Times New Roman"/>
          <w:sz w:val="24"/>
          <w:szCs w:val="24"/>
          <w:lang w:val="uk-UA"/>
        </w:rPr>
        <w:t xml:space="preserve"> активно залучає гуманітарну та благодійну допомогу, реалізує проєкти з пошуку альтернативних джерел енергії, підвищення енергоефективності, шукає </w:t>
      </w:r>
      <w:r w:rsidR="00165F14">
        <w:rPr>
          <w:rFonts w:ascii="Times New Roman" w:hAnsi="Times New Roman" w:cs="Times New Roman"/>
          <w:sz w:val="24"/>
          <w:szCs w:val="24"/>
          <w:lang w:val="uk-UA"/>
        </w:rPr>
        <w:t xml:space="preserve">розв’язання проблем </w:t>
      </w:r>
      <w:r w:rsidR="00C6709B">
        <w:rPr>
          <w:rFonts w:ascii="Times New Roman" w:hAnsi="Times New Roman" w:cs="Times New Roman"/>
          <w:sz w:val="24"/>
          <w:szCs w:val="24"/>
          <w:lang w:val="uk-UA"/>
        </w:rPr>
        <w:t xml:space="preserve">у сфері </w:t>
      </w:r>
      <w:r w:rsidR="00165F14">
        <w:rPr>
          <w:rFonts w:ascii="Times New Roman" w:hAnsi="Times New Roman" w:cs="Times New Roman"/>
          <w:sz w:val="24"/>
          <w:szCs w:val="24"/>
          <w:lang w:val="uk-UA"/>
        </w:rPr>
        <w:t>транс</w:t>
      </w:r>
      <w:r w:rsidR="00C6709B">
        <w:rPr>
          <w:rFonts w:ascii="Times New Roman" w:hAnsi="Times New Roman" w:cs="Times New Roman"/>
          <w:sz w:val="24"/>
          <w:szCs w:val="24"/>
          <w:lang w:val="uk-UA"/>
        </w:rPr>
        <w:t xml:space="preserve">портної </w:t>
      </w:r>
      <w:r w:rsidRPr="00B42846">
        <w:rPr>
          <w:rFonts w:ascii="Times New Roman" w:hAnsi="Times New Roman" w:cs="Times New Roman"/>
          <w:sz w:val="24"/>
          <w:szCs w:val="24"/>
          <w:lang w:val="uk-UA"/>
        </w:rPr>
        <w:t>логісти</w:t>
      </w:r>
      <w:r w:rsidR="00C6709B">
        <w:rPr>
          <w:rFonts w:ascii="Times New Roman" w:hAnsi="Times New Roman" w:cs="Times New Roman"/>
          <w:sz w:val="24"/>
          <w:szCs w:val="24"/>
          <w:lang w:val="uk-UA"/>
        </w:rPr>
        <w:t xml:space="preserve">ки. </w:t>
      </w:r>
    </w:p>
    <w:p w14:paraId="18B31BB3" w14:textId="77777777" w:rsidR="00BB1108" w:rsidRDefault="00BB1108" w:rsidP="0062142C">
      <w:pPr>
        <w:spacing w:after="0" w:line="240" w:lineRule="auto"/>
        <w:jc w:val="center"/>
        <w:rPr>
          <w:rFonts w:ascii="Times New Roman" w:hAnsi="Times New Roman" w:cs="Times New Roman"/>
          <w:b/>
          <w:color w:val="000000" w:themeColor="text1"/>
          <w:sz w:val="24"/>
          <w:szCs w:val="24"/>
          <w:lang w:val="uk-UA"/>
        </w:rPr>
      </w:pPr>
    </w:p>
    <w:p w14:paraId="239741AA" w14:textId="09663305" w:rsidR="009A6829" w:rsidRPr="006C7AB6" w:rsidRDefault="000B04B1" w:rsidP="0062142C">
      <w:pPr>
        <w:spacing w:after="0" w:line="240" w:lineRule="auto"/>
        <w:jc w:val="center"/>
        <w:rPr>
          <w:rFonts w:ascii="Times New Roman" w:hAnsi="Times New Roman" w:cs="Times New Roman"/>
          <w:b/>
          <w:color w:val="000000" w:themeColor="text1"/>
          <w:sz w:val="24"/>
          <w:szCs w:val="24"/>
          <w:lang w:val="uk-UA"/>
        </w:rPr>
      </w:pPr>
      <w:r w:rsidRPr="006C7AB6">
        <w:rPr>
          <w:rFonts w:ascii="Times New Roman" w:hAnsi="Times New Roman" w:cs="Times New Roman"/>
          <w:b/>
          <w:color w:val="000000" w:themeColor="text1"/>
          <w:sz w:val="24"/>
          <w:szCs w:val="24"/>
          <w:lang w:val="uk-UA"/>
        </w:rPr>
        <w:t>Демографічна  ситуація.</w:t>
      </w:r>
    </w:p>
    <w:p w14:paraId="04A800B1" w14:textId="77777777" w:rsidR="003C5DE9" w:rsidRDefault="000B04B1" w:rsidP="0062142C">
      <w:pPr>
        <w:spacing w:after="0" w:line="240" w:lineRule="auto"/>
        <w:jc w:val="center"/>
        <w:rPr>
          <w:rFonts w:ascii="Times New Roman" w:hAnsi="Times New Roman" w:cs="Times New Roman"/>
          <w:b/>
          <w:color w:val="000000" w:themeColor="text1"/>
          <w:sz w:val="24"/>
          <w:szCs w:val="24"/>
          <w:lang w:val="uk-UA"/>
        </w:rPr>
      </w:pPr>
      <w:r w:rsidRPr="006C7AB6">
        <w:rPr>
          <w:rFonts w:ascii="Times New Roman" w:hAnsi="Times New Roman" w:cs="Times New Roman"/>
          <w:b/>
          <w:color w:val="000000" w:themeColor="text1"/>
          <w:sz w:val="24"/>
          <w:szCs w:val="24"/>
          <w:lang w:val="uk-UA"/>
        </w:rPr>
        <w:t xml:space="preserve">Кількість наявного населення Чорноморської міської територіальної громади, </w:t>
      </w:r>
    </w:p>
    <w:p w14:paraId="38A29B7A" w14:textId="3C2F4B63" w:rsidR="0062142C" w:rsidRPr="006C7AB6" w:rsidRDefault="000B04B1" w:rsidP="0062142C">
      <w:pPr>
        <w:spacing w:after="0" w:line="240" w:lineRule="auto"/>
        <w:jc w:val="center"/>
        <w:rPr>
          <w:rFonts w:ascii="Times New Roman" w:hAnsi="Times New Roman" w:cs="Times New Roman"/>
          <w:b/>
          <w:color w:val="000000" w:themeColor="text1"/>
          <w:sz w:val="24"/>
          <w:szCs w:val="24"/>
          <w:lang w:val="uk-UA"/>
        </w:rPr>
      </w:pPr>
      <w:r w:rsidRPr="006C7AB6">
        <w:rPr>
          <w:rFonts w:ascii="Times New Roman" w:hAnsi="Times New Roman" w:cs="Times New Roman"/>
          <w:b/>
          <w:color w:val="000000" w:themeColor="text1"/>
          <w:sz w:val="24"/>
          <w:szCs w:val="24"/>
          <w:lang w:val="uk-UA"/>
        </w:rPr>
        <w:t>тис. осіб.</w:t>
      </w:r>
    </w:p>
    <w:tbl>
      <w:tblPr>
        <w:tblStyle w:val="13"/>
        <w:tblW w:w="8886" w:type="dxa"/>
        <w:tblInd w:w="599" w:type="dxa"/>
        <w:tblLook w:val="04A0" w:firstRow="1" w:lastRow="0" w:firstColumn="1" w:lastColumn="0" w:noHBand="0" w:noVBand="1"/>
      </w:tblPr>
      <w:tblGrid>
        <w:gridCol w:w="1253"/>
        <w:gridCol w:w="1253"/>
        <w:gridCol w:w="1253"/>
        <w:gridCol w:w="1253"/>
        <w:gridCol w:w="1253"/>
        <w:gridCol w:w="1253"/>
        <w:gridCol w:w="1368"/>
      </w:tblGrid>
      <w:tr w:rsidR="0062142C" w:rsidRPr="006C7AB6" w14:paraId="38165088" w14:textId="77777777" w:rsidTr="00820F8D">
        <w:tc>
          <w:tcPr>
            <w:tcW w:w="1253" w:type="dxa"/>
            <w:vAlign w:val="center"/>
          </w:tcPr>
          <w:p w14:paraId="513361E0" w14:textId="77777777" w:rsidR="0062142C" w:rsidRPr="006C7AB6" w:rsidRDefault="0062142C" w:rsidP="00F92ED4">
            <w:pPr>
              <w:jc w:val="center"/>
              <w:rPr>
                <w:rFonts w:ascii="Times New Roman" w:hAnsi="Times New Roman"/>
                <w:b/>
                <w:color w:val="000000"/>
                <w:sz w:val="24"/>
                <w:szCs w:val="24"/>
                <w:lang w:val="uk-UA"/>
              </w:rPr>
            </w:pPr>
            <w:r w:rsidRPr="006C7AB6">
              <w:rPr>
                <w:rFonts w:ascii="Times New Roman" w:hAnsi="Times New Roman"/>
                <w:b/>
                <w:color w:val="000000"/>
                <w:sz w:val="24"/>
                <w:szCs w:val="24"/>
                <w:lang w:val="uk-UA"/>
              </w:rPr>
              <w:t>01.01.2016</w:t>
            </w:r>
          </w:p>
        </w:tc>
        <w:tc>
          <w:tcPr>
            <w:tcW w:w="1253" w:type="dxa"/>
            <w:vAlign w:val="center"/>
          </w:tcPr>
          <w:p w14:paraId="3B3E9DF3" w14:textId="77777777" w:rsidR="0062142C" w:rsidRPr="006C7AB6" w:rsidRDefault="0062142C" w:rsidP="00F92ED4">
            <w:pPr>
              <w:jc w:val="center"/>
              <w:rPr>
                <w:rFonts w:ascii="Times New Roman" w:hAnsi="Times New Roman"/>
                <w:b/>
                <w:color w:val="000000"/>
                <w:sz w:val="24"/>
                <w:szCs w:val="24"/>
                <w:lang w:val="uk-UA"/>
              </w:rPr>
            </w:pPr>
            <w:r w:rsidRPr="006C7AB6">
              <w:rPr>
                <w:rFonts w:ascii="Times New Roman" w:hAnsi="Times New Roman"/>
                <w:b/>
                <w:color w:val="000000"/>
                <w:sz w:val="24"/>
                <w:szCs w:val="24"/>
                <w:lang w:val="uk-UA"/>
              </w:rPr>
              <w:t>01.01.2017</w:t>
            </w:r>
          </w:p>
        </w:tc>
        <w:tc>
          <w:tcPr>
            <w:tcW w:w="1253" w:type="dxa"/>
            <w:vAlign w:val="center"/>
          </w:tcPr>
          <w:p w14:paraId="6C3E495E" w14:textId="77777777" w:rsidR="0062142C" w:rsidRPr="006C7AB6" w:rsidRDefault="0062142C" w:rsidP="00F92ED4">
            <w:pPr>
              <w:jc w:val="center"/>
              <w:rPr>
                <w:rFonts w:ascii="Times New Roman" w:hAnsi="Times New Roman"/>
                <w:b/>
                <w:color w:val="000000"/>
                <w:sz w:val="24"/>
                <w:szCs w:val="24"/>
                <w:lang w:val="uk-UA"/>
              </w:rPr>
            </w:pPr>
            <w:r w:rsidRPr="006C7AB6">
              <w:rPr>
                <w:rFonts w:ascii="Times New Roman" w:hAnsi="Times New Roman"/>
                <w:b/>
                <w:color w:val="000000"/>
                <w:sz w:val="24"/>
                <w:szCs w:val="24"/>
                <w:lang w:val="uk-UA"/>
              </w:rPr>
              <w:t>01.01.2018</w:t>
            </w:r>
          </w:p>
        </w:tc>
        <w:tc>
          <w:tcPr>
            <w:tcW w:w="1253" w:type="dxa"/>
            <w:vAlign w:val="center"/>
          </w:tcPr>
          <w:p w14:paraId="2C91900A" w14:textId="77777777" w:rsidR="0062142C" w:rsidRPr="006C7AB6" w:rsidRDefault="0062142C" w:rsidP="00F92ED4">
            <w:pPr>
              <w:jc w:val="center"/>
              <w:rPr>
                <w:rFonts w:ascii="Times New Roman" w:hAnsi="Times New Roman"/>
                <w:b/>
                <w:color w:val="000000"/>
                <w:sz w:val="24"/>
                <w:szCs w:val="24"/>
                <w:lang w:val="uk-UA"/>
              </w:rPr>
            </w:pPr>
            <w:r w:rsidRPr="006C7AB6">
              <w:rPr>
                <w:rFonts w:ascii="Times New Roman" w:hAnsi="Times New Roman"/>
                <w:b/>
                <w:color w:val="000000"/>
                <w:sz w:val="24"/>
                <w:szCs w:val="24"/>
                <w:lang w:val="uk-UA"/>
              </w:rPr>
              <w:t>01.01.2019</w:t>
            </w:r>
          </w:p>
        </w:tc>
        <w:tc>
          <w:tcPr>
            <w:tcW w:w="1253" w:type="dxa"/>
            <w:vAlign w:val="center"/>
          </w:tcPr>
          <w:p w14:paraId="674F90E5" w14:textId="77777777" w:rsidR="0062142C" w:rsidRPr="006C7AB6" w:rsidRDefault="0062142C" w:rsidP="00F92ED4">
            <w:pPr>
              <w:jc w:val="center"/>
              <w:rPr>
                <w:rFonts w:ascii="Times New Roman" w:hAnsi="Times New Roman"/>
                <w:b/>
                <w:color w:val="000000"/>
                <w:sz w:val="24"/>
                <w:szCs w:val="24"/>
                <w:lang w:val="uk-UA"/>
              </w:rPr>
            </w:pPr>
            <w:r w:rsidRPr="006C7AB6">
              <w:rPr>
                <w:rFonts w:ascii="Times New Roman" w:hAnsi="Times New Roman"/>
                <w:b/>
                <w:color w:val="000000"/>
                <w:sz w:val="24"/>
                <w:szCs w:val="24"/>
                <w:lang w:val="uk-UA"/>
              </w:rPr>
              <w:t>01.01.2020</w:t>
            </w:r>
          </w:p>
        </w:tc>
        <w:tc>
          <w:tcPr>
            <w:tcW w:w="1253" w:type="dxa"/>
            <w:vAlign w:val="center"/>
          </w:tcPr>
          <w:p w14:paraId="7276830C" w14:textId="77777777" w:rsidR="0062142C" w:rsidRPr="006C7AB6" w:rsidRDefault="0062142C" w:rsidP="00F92ED4">
            <w:pPr>
              <w:jc w:val="center"/>
              <w:rPr>
                <w:rFonts w:ascii="Times New Roman" w:hAnsi="Times New Roman"/>
                <w:b/>
                <w:color w:val="000000"/>
                <w:sz w:val="24"/>
                <w:szCs w:val="24"/>
                <w:lang w:val="uk-UA"/>
              </w:rPr>
            </w:pPr>
            <w:r w:rsidRPr="006C7AB6">
              <w:rPr>
                <w:rFonts w:ascii="Times New Roman" w:hAnsi="Times New Roman"/>
                <w:b/>
                <w:color w:val="000000"/>
                <w:sz w:val="24"/>
                <w:szCs w:val="24"/>
                <w:lang w:val="uk-UA"/>
              </w:rPr>
              <w:t>01.01.2021</w:t>
            </w:r>
          </w:p>
        </w:tc>
        <w:tc>
          <w:tcPr>
            <w:tcW w:w="1368" w:type="dxa"/>
            <w:vAlign w:val="center"/>
          </w:tcPr>
          <w:p w14:paraId="478E45BD" w14:textId="77777777" w:rsidR="0062142C" w:rsidRPr="006C7AB6" w:rsidRDefault="0062142C" w:rsidP="00F92ED4">
            <w:pPr>
              <w:jc w:val="center"/>
              <w:rPr>
                <w:rFonts w:ascii="Times New Roman" w:hAnsi="Times New Roman"/>
                <w:b/>
                <w:color w:val="000000"/>
                <w:sz w:val="24"/>
                <w:szCs w:val="24"/>
                <w:lang w:val="uk-UA"/>
              </w:rPr>
            </w:pPr>
            <w:r w:rsidRPr="006C7AB6">
              <w:rPr>
                <w:rFonts w:ascii="Times New Roman" w:hAnsi="Times New Roman"/>
                <w:b/>
                <w:color w:val="000000"/>
                <w:sz w:val="24"/>
                <w:szCs w:val="24"/>
                <w:lang w:val="uk-UA"/>
              </w:rPr>
              <w:t>01.01.2022*</w:t>
            </w:r>
          </w:p>
        </w:tc>
      </w:tr>
      <w:tr w:rsidR="0062142C" w:rsidRPr="006C7AB6" w14:paraId="05977294" w14:textId="77777777" w:rsidTr="00820F8D">
        <w:tc>
          <w:tcPr>
            <w:tcW w:w="1253" w:type="dxa"/>
            <w:vAlign w:val="center"/>
          </w:tcPr>
          <w:p w14:paraId="4B1C4853" w14:textId="77777777" w:rsidR="0062142C" w:rsidRPr="006C7AB6" w:rsidRDefault="0062142C" w:rsidP="00F92ED4">
            <w:pPr>
              <w:ind w:firstLine="34"/>
              <w:jc w:val="center"/>
              <w:rPr>
                <w:rFonts w:ascii="Times New Roman" w:hAnsi="Times New Roman"/>
                <w:color w:val="000000"/>
                <w:sz w:val="24"/>
                <w:szCs w:val="24"/>
                <w:lang w:val="uk-UA"/>
              </w:rPr>
            </w:pPr>
            <w:r w:rsidRPr="006C7AB6">
              <w:rPr>
                <w:rFonts w:ascii="Times New Roman" w:hAnsi="Times New Roman"/>
                <w:color w:val="000000"/>
                <w:sz w:val="24"/>
                <w:szCs w:val="24"/>
                <w:lang w:val="uk-UA"/>
              </w:rPr>
              <w:t>72,6</w:t>
            </w:r>
          </w:p>
        </w:tc>
        <w:tc>
          <w:tcPr>
            <w:tcW w:w="1253" w:type="dxa"/>
            <w:vAlign w:val="center"/>
          </w:tcPr>
          <w:p w14:paraId="170F669B" w14:textId="77777777" w:rsidR="0062142C" w:rsidRPr="006C7AB6" w:rsidRDefault="0062142C" w:rsidP="00F92ED4">
            <w:pPr>
              <w:ind w:firstLine="34"/>
              <w:jc w:val="center"/>
              <w:rPr>
                <w:rFonts w:ascii="Times New Roman" w:hAnsi="Times New Roman"/>
                <w:color w:val="000000"/>
                <w:sz w:val="24"/>
                <w:szCs w:val="24"/>
                <w:lang w:val="uk-UA"/>
              </w:rPr>
            </w:pPr>
            <w:r w:rsidRPr="006C7AB6">
              <w:rPr>
                <w:rFonts w:ascii="Times New Roman" w:hAnsi="Times New Roman"/>
                <w:color w:val="000000"/>
                <w:sz w:val="24"/>
                <w:szCs w:val="24"/>
                <w:lang w:val="uk-UA"/>
              </w:rPr>
              <w:t>72,5</w:t>
            </w:r>
          </w:p>
        </w:tc>
        <w:tc>
          <w:tcPr>
            <w:tcW w:w="1253" w:type="dxa"/>
            <w:vAlign w:val="center"/>
          </w:tcPr>
          <w:p w14:paraId="44E0029A" w14:textId="77777777" w:rsidR="0062142C" w:rsidRPr="006C7AB6" w:rsidRDefault="0062142C" w:rsidP="00F92ED4">
            <w:pPr>
              <w:ind w:firstLine="34"/>
              <w:jc w:val="center"/>
              <w:rPr>
                <w:rFonts w:ascii="Times New Roman" w:hAnsi="Times New Roman"/>
                <w:color w:val="000000"/>
                <w:sz w:val="24"/>
                <w:szCs w:val="24"/>
                <w:lang w:val="uk-UA"/>
              </w:rPr>
            </w:pPr>
            <w:r w:rsidRPr="006C7AB6">
              <w:rPr>
                <w:rFonts w:ascii="Times New Roman" w:hAnsi="Times New Roman"/>
                <w:color w:val="000000"/>
                <w:sz w:val="24"/>
                <w:szCs w:val="24"/>
                <w:lang w:val="uk-UA"/>
              </w:rPr>
              <w:t>72,3</w:t>
            </w:r>
          </w:p>
        </w:tc>
        <w:tc>
          <w:tcPr>
            <w:tcW w:w="1253" w:type="dxa"/>
            <w:vAlign w:val="center"/>
          </w:tcPr>
          <w:p w14:paraId="60D0B3EC" w14:textId="77777777" w:rsidR="0062142C" w:rsidRPr="006C7AB6" w:rsidRDefault="0062142C" w:rsidP="00F92ED4">
            <w:pPr>
              <w:ind w:firstLine="34"/>
              <w:jc w:val="center"/>
              <w:rPr>
                <w:rFonts w:ascii="Times New Roman" w:hAnsi="Times New Roman"/>
                <w:color w:val="000000"/>
                <w:sz w:val="24"/>
                <w:szCs w:val="24"/>
                <w:lang w:val="uk-UA"/>
              </w:rPr>
            </w:pPr>
            <w:r w:rsidRPr="006C7AB6">
              <w:rPr>
                <w:rFonts w:ascii="Times New Roman" w:hAnsi="Times New Roman"/>
                <w:color w:val="000000"/>
                <w:sz w:val="24"/>
                <w:szCs w:val="24"/>
                <w:lang w:val="uk-UA"/>
              </w:rPr>
              <w:t>72,0</w:t>
            </w:r>
          </w:p>
        </w:tc>
        <w:tc>
          <w:tcPr>
            <w:tcW w:w="1253" w:type="dxa"/>
            <w:vAlign w:val="center"/>
          </w:tcPr>
          <w:p w14:paraId="419346BE" w14:textId="77777777" w:rsidR="0062142C" w:rsidRPr="006C7AB6" w:rsidRDefault="0062142C" w:rsidP="00F92ED4">
            <w:pPr>
              <w:ind w:firstLine="34"/>
              <w:jc w:val="center"/>
              <w:rPr>
                <w:rFonts w:ascii="Times New Roman" w:hAnsi="Times New Roman"/>
                <w:color w:val="000000"/>
                <w:sz w:val="24"/>
                <w:szCs w:val="24"/>
                <w:lang w:val="uk-UA"/>
              </w:rPr>
            </w:pPr>
            <w:r w:rsidRPr="006C7AB6">
              <w:rPr>
                <w:rFonts w:ascii="Times New Roman" w:hAnsi="Times New Roman"/>
                <w:color w:val="000000"/>
                <w:sz w:val="24"/>
                <w:szCs w:val="24"/>
                <w:lang w:val="uk-UA"/>
              </w:rPr>
              <w:t>71,7</w:t>
            </w:r>
          </w:p>
        </w:tc>
        <w:tc>
          <w:tcPr>
            <w:tcW w:w="1253" w:type="dxa"/>
            <w:vAlign w:val="center"/>
          </w:tcPr>
          <w:p w14:paraId="4A0DB0FA" w14:textId="77777777" w:rsidR="0062142C" w:rsidRPr="006C7AB6" w:rsidRDefault="0062142C" w:rsidP="00F92ED4">
            <w:pPr>
              <w:ind w:firstLine="34"/>
              <w:jc w:val="center"/>
              <w:rPr>
                <w:rFonts w:ascii="Times New Roman" w:hAnsi="Times New Roman"/>
                <w:color w:val="000000"/>
                <w:sz w:val="24"/>
                <w:szCs w:val="24"/>
                <w:lang w:val="uk-UA"/>
              </w:rPr>
            </w:pPr>
            <w:r w:rsidRPr="006C7AB6">
              <w:rPr>
                <w:rFonts w:ascii="Times New Roman" w:hAnsi="Times New Roman"/>
                <w:color w:val="000000"/>
                <w:sz w:val="24"/>
                <w:szCs w:val="24"/>
                <w:lang w:val="uk-UA"/>
              </w:rPr>
              <w:t>70,8</w:t>
            </w:r>
          </w:p>
        </w:tc>
        <w:tc>
          <w:tcPr>
            <w:tcW w:w="1368" w:type="dxa"/>
            <w:vAlign w:val="center"/>
          </w:tcPr>
          <w:p w14:paraId="0A4B4B61" w14:textId="77777777" w:rsidR="0062142C" w:rsidRPr="006C7AB6" w:rsidRDefault="0062142C" w:rsidP="00F92ED4">
            <w:pPr>
              <w:ind w:firstLine="34"/>
              <w:jc w:val="center"/>
              <w:rPr>
                <w:rFonts w:ascii="Times New Roman" w:hAnsi="Times New Roman"/>
                <w:color w:val="000000"/>
                <w:sz w:val="24"/>
                <w:szCs w:val="24"/>
                <w:lang w:val="uk-UA"/>
              </w:rPr>
            </w:pPr>
            <w:r w:rsidRPr="006C7AB6">
              <w:rPr>
                <w:rFonts w:ascii="Times New Roman" w:hAnsi="Times New Roman"/>
                <w:color w:val="000000"/>
                <w:sz w:val="24"/>
                <w:szCs w:val="24"/>
                <w:lang w:val="uk-UA"/>
              </w:rPr>
              <w:t>70,723</w:t>
            </w:r>
          </w:p>
        </w:tc>
      </w:tr>
    </w:tbl>
    <w:p w14:paraId="1E133CEF" w14:textId="08BCB3EE" w:rsidR="0062142C" w:rsidRPr="006C7AB6" w:rsidRDefault="0062142C" w:rsidP="00F92ED4">
      <w:pPr>
        <w:pStyle w:val="a4"/>
        <w:spacing w:line="240" w:lineRule="auto"/>
        <w:ind w:left="0" w:firstLine="567"/>
        <w:jc w:val="both"/>
        <w:rPr>
          <w:rFonts w:ascii="Times New Roman" w:hAnsi="Times New Roman" w:cs="Times New Roman"/>
          <w:bCs/>
          <w:i/>
          <w:color w:val="000000" w:themeColor="text1"/>
          <w:sz w:val="24"/>
          <w:szCs w:val="24"/>
          <w:lang w:val="uk-UA"/>
        </w:rPr>
      </w:pPr>
      <w:r w:rsidRPr="006C7AB6">
        <w:rPr>
          <w:rFonts w:ascii="Times New Roman" w:hAnsi="Times New Roman" w:cs="Times New Roman"/>
          <w:bCs/>
          <w:color w:val="000000" w:themeColor="text1"/>
          <w:sz w:val="24"/>
          <w:szCs w:val="24"/>
          <w:lang w:val="uk-UA"/>
        </w:rPr>
        <w:t xml:space="preserve">* - </w:t>
      </w:r>
      <w:r w:rsidRPr="006C7AB6">
        <w:rPr>
          <w:rFonts w:ascii="Times New Roman" w:hAnsi="Times New Roman" w:cs="Times New Roman"/>
          <w:bCs/>
          <w:i/>
          <w:color w:val="000000" w:themeColor="text1"/>
          <w:sz w:val="24"/>
          <w:szCs w:val="24"/>
          <w:lang w:val="uk-UA"/>
        </w:rPr>
        <w:t>Міністерство фінансів України своїм  листом від 23.07.2024 № 05210-09-10/21699 від 23.07.2024 проінформувало, що Держстат листом від 11.04.2023 № 10.4-15/71-23 поінформував Мінфін, що зважаючи на ситуацію, яка склалася  у зв’язку із військовою агресією російської федерації проти України, з урахуванням дії положень Закону України «Про захист інтересів суб’єктів подання звітності та інших документів у період дії воєнного стану або стану війни», згідно з постановою Кабінету Міністрів України від 28.02.2022 № 165 «Про зупинення строків надання адміністративних послуг та видачі документів дозвільного характеру», отримання територіальними органами Держстату відповідних адміністративних даних у повному обсязі наразі не є можливим. Оцінка чисельності населення в усіх розрізах здійснюватися не може.</w:t>
      </w:r>
    </w:p>
    <w:p w14:paraId="542BE138" w14:textId="77777777" w:rsidR="006C7AB6" w:rsidRDefault="0062142C" w:rsidP="00F92ED4">
      <w:pPr>
        <w:pStyle w:val="a4"/>
        <w:spacing w:line="240" w:lineRule="auto"/>
        <w:ind w:left="0" w:firstLine="567"/>
        <w:jc w:val="both"/>
        <w:rPr>
          <w:bCs/>
          <w:i/>
          <w:color w:val="000000" w:themeColor="text1"/>
          <w:sz w:val="24"/>
          <w:szCs w:val="24"/>
          <w:lang w:val="uk-UA"/>
        </w:rPr>
      </w:pPr>
      <w:r w:rsidRPr="006C7AB6">
        <w:rPr>
          <w:rFonts w:ascii="Times New Roman" w:hAnsi="Times New Roman" w:cs="Times New Roman"/>
          <w:bCs/>
          <w:i/>
          <w:color w:val="000000" w:themeColor="text1"/>
          <w:sz w:val="24"/>
          <w:szCs w:val="24"/>
          <w:lang w:val="uk-UA"/>
        </w:rPr>
        <w:t>Згідно з останніми даними Держстату наразі наявна офіційна інформація щодо чисельності наявного населення станом на 1 січня 2022 року.</w:t>
      </w:r>
      <w:r w:rsidRPr="006C7AB6">
        <w:rPr>
          <w:bCs/>
          <w:i/>
          <w:color w:val="000000" w:themeColor="text1"/>
          <w:sz w:val="24"/>
          <w:szCs w:val="24"/>
          <w:lang w:val="uk-UA"/>
        </w:rPr>
        <w:t xml:space="preserve">   </w:t>
      </w:r>
    </w:p>
    <w:p w14:paraId="5619FED6" w14:textId="7C274447" w:rsidR="0062142C" w:rsidRPr="006C7AB6" w:rsidRDefault="0062142C" w:rsidP="00F92ED4">
      <w:pPr>
        <w:pStyle w:val="a4"/>
        <w:spacing w:after="0" w:line="240" w:lineRule="auto"/>
        <w:ind w:left="0" w:firstLine="567"/>
        <w:jc w:val="both"/>
        <w:rPr>
          <w:rFonts w:ascii="Times New Roman" w:hAnsi="Times New Roman" w:cs="Times New Roman"/>
          <w:bCs/>
          <w:color w:val="000000"/>
          <w:sz w:val="24"/>
          <w:szCs w:val="24"/>
          <w:lang w:val="uk-UA"/>
        </w:rPr>
      </w:pPr>
      <w:r w:rsidRPr="006C7AB6">
        <w:rPr>
          <w:rFonts w:ascii="Times New Roman" w:hAnsi="Times New Roman" w:cs="Times New Roman"/>
          <w:bCs/>
          <w:color w:val="000000"/>
          <w:sz w:val="24"/>
          <w:szCs w:val="24"/>
          <w:lang w:val="uk-UA"/>
        </w:rPr>
        <w:t>Чисельність населення (наявна) на території Чорноморської міської територіальної громади станом на 01.01.2022р. становить 70</w:t>
      </w:r>
      <w:r w:rsidR="006C7AB6">
        <w:rPr>
          <w:rFonts w:ascii="Times New Roman" w:hAnsi="Times New Roman" w:cs="Times New Roman"/>
          <w:bCs/>
          <w:color w:val="000000"/>
          <w:sz w:val="24"/>
          <w:szCs w:val="24"/>
          <w:lang w:val="uk-UA"/>
        </w:rPr>
        <w:t> </w:t>
      </w:r>
      <w:r w:rsidRPr="006C7AB6">
        <w:rPr>
          <w:rFonts w:ascii="Times New Roman" w:hAnsi="Times New Roman" w:cs="Times New Roman"/>
          <w:bCs/>
          <w:color w:val="000000"/>
          <w:sz w:val="24"/>
          <w:szCs w:val="24"/>
          <w:lang w:val="uk-UA"/>
        </w:rPr>
        <w:t>723</w:t>
      </w:r>
      <w:r w:rsidR="006C7AB6">
        <w:rPr>
          <w:rFonts w:ascii="Times New Roman" w:hAnsi="Times New Roman" w:cs="Times New Roman"/>
          <w:bCs/>
          <w:color w:val="000000"/>
          <w:sz w:val="24"/>
          <w:szCs w:val="24"/>
          <w:lang w:val="uk-UA"/>
        </w:rPr>
        <w:t xml:space="preserve"> </w:t>
      </w:r>
      <w:r w:rsidRPr="006C7AB6">
        <w:rPr>
          <w:rFonts w:ascii="Times New Roman" w:hAnsi="Times New Roman" w:cs="Times New Roman"/>
          <w:bCs/>
          <w:color w:val="000000"/>
          <w:sz w:val="24"/>
          <w:szCs w:val="24"/>
          <w:lang w:val="uk-UA"/>
        </w:rPr>
        <w:t>осіб, в тому числі:</w:t>
      </w:r>
    </w:p>
    <w:p w14:paraId="3E523A46" w14:textId="77777777" w:rsidR="0062142C" w:rsidRPr="006C7AB6" w:rsidRDefault="0062142C" w:rsidP="00F92ED4">
      <w:pPr>
        <w:spacing w:line="240" w:lineRule="auto"/>
        <w:ind w:firstLine="567"/>
        <w:contextualSpacing/>
        <w:rPr>
          <w:rFonts w:ascii="Times New Roman" w:hAnsi="Times New Roman" w:cs="Times New Roman"/>
          <w:bCs/>
          <w:color w:val="000000"/>
          <w:sz w:val="24"/>
          <w:szCs w:val="24"/>
          <w:lang w:val="uk-UA"/>
        </w:rPr>
      </w:pPr>
      <w:r w:rsidRPr="006C7AB6">
        <w:rPr>
          <w:rFonts w:ascii="Times New Roman" w:hAnsi="Times New Roman" w:cs="Times New Roman"/>
          <w:bCs/>
          <w:color w:val="000000"/>
          <w:sz w:val="24"/>
          <w:szCs w:val="24"/>
          <w:lang w:val="uk-UA"/>
        </w:rPr>
        <w:t>- м. Чорноморськ – 58 087 осіб;</w:t>
      </w:r>
    </w:p>
    <w:p w14:paraId="739263CC" w14:textId="587E999C" w:rsidR="0062142C" w:rsidRPr="006C7AB6" w:rsidRDefault="0062142C" w:rsidP="00F92ED4">
      <w:pPr>
        <w:spacing w:line="240" w:lineRule="auto"/>
        <w:ind w:firstLine="567"/>
        <w:contextualSpacing/>
        <w:rPr>
          <w:rFonts w:ascii="Times New Roman" w:hAnsi="Times New Roman" w:cs="Times New Roman"/>
          <w:bCs/>
          <w:color w:val="000000"/>
          <w:sz w:val="24"/>
          <w:szCs w:val="24"/>
          <w:lang w:val="uk-UA"/>
        </w:rPr>
      </w:pPr>
      <w:r w:rsidRPr="006C7AB6">
        <w:rPr>
          <w:rFonts w:ascii="Times New Roman" w:hAnsi="Times New Roman" w:cs="Times New Roman"/>
          <w:bCs/>
          <w:color w:val="000000"/>
          <w:sz w:val="24"/>
          <w:szCs w:val="24"/>
          <w:lang w:val="uk-UA"/>
        </w:rPr>
        <w:t>- сел</w:t>
      </w:r>
      <w:r w:rsidR="0009781E">
        <w:rPr>
          <w:rFonts w:ascii="Times New Roman" w:hAnsi="Times New Roman" w:cs="Times New Roman"/>
          <w:bCs/>
          <w:color w:val="000000"/>
          <w:sz w:val="24"/>
          <w:szCs w:val="24"/>
          <w:lang w:val="uk-UA"/>
        </w:rPr>
        <w:t>.</w:t>
      </w:r>
      <w:r w:rsidRPr="006C7AB6">
        <w:rPr>
          <w:rFonts w:ascii="Times New Roman" w:hAnsi="Times New Roman" w:cs="Times New Roman"/>
          <w:bCs/>
          <w:color w:val="000000"/>
          <w:sz w:val="24"/>
          <w:szCs w:val="24"/>
          <w:lang w:val="uk-UA"/>
        </w:rPr>
        <w:t xml:space="preserve"> Олександрівка - 7 495 осіб;</w:t>
      </w:r>
    </w:p>
    <w:p w14:paraId="520B772E" w14:textId="77777777" w:rsidR="0062142C" w:rsidRPr="006C7AB6" w:rsidRDefault="0062142C" w:rsidP="00F92ED4">
      <w:pPr>
        <w:spacing w:line="240" w:lineRule="auto"/>
        <w:ind w:firstLine="567"/>
        <w:contextualSpacing/>
        <w:rPr>
          <w:rFonts w:ascii="Times New Roman" w:hAnsi="Times New Roman" w:cs="Times New Roman"/>
          <w:bCs/>
          <w:color w:val="000000"/>
          <w:sz w:val="24"/>
          <w:szCs w:val="24"/>
          <w:lang w:val="uk-UA"/>
        </w:rPr>
      </w:pPr>
      <w:r w:rsidRPr="006C7AB6">
        <w:rPr>
          <w:rFonts w:ascii="Times New Roman" w:hAnsi="Times New Roman" w:cs="Times New Roman"/>
          <w:bCs/>
          <w:color w:val="000000"/>
          <w:sz w:val="24"/>
          <w:szCs w:val="24"/>
          <w:lang w:val="uk-UA"/>
        </w:rPr>
        <w:t>- сільське населення:  с. Малодолинське, с. Бурлача Балка – 5 141 осіб.</w:t>
      </w:r>
    </w:p>
    <w:p w14:paraId="1E752581" w14:textId="44F9E424" w:rsidR="000B04B1" w:rsidRDefault="000B04B1" w:rsidP="00F92ED4">
      <w:pPr>
        <w:spacing w:after="0" w:line="240" w:lineRule="auto"/>
        <w:ind w:firstLine="567"/>
        <w:jc w:val="both"/>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Cs/>
          <w:color w:val="000000"/>
          <w:sz w:val="24"/>
          <w:szCs w:val="24"/>
          <w:lang w:val="uk-UA" w:eastAsia="ru-RU"/>
        </w:rPr>
        <w:t>Станом на 01.01.2024 року на території Чорноморської міської територіальної громади зареєстровано 6</w:t>
      </w:r>
      <w:r w:rsidR="009A6829">
        <w:rPr>
          <w:rFonts w:ascii="Times New Roman" w:eastAsia="Times New Roman" w:hAnsi="Times New Roman" w:cs="Times New Roman"/>
          <w:bCs/>
          <w:color w:val="000000"/>
          <w:sz w:val="24"/>
          <w:szCs w:val="24"/>
          <w:lang w:val="uk-UA" w:eastAsia="ru-RU"/>
        </w:rPr>
        <w:t> </w:t>
      </w:r>
      <w:r w:rsidRPr="007620A2">
        <w:rPr>
          <w:rFonts w:ascii="Times New Roman" w:eastAsia="Times New Roman" w:hAnsi="Times New Roman" w:cs="Times New Roman"/>
          <w:bCs/>
          <w:color w:val="000000"/>
          <w:sz w:val="24"/>
          <w:szCs w:val="24"/>
          <w:lang w:val="uk-UA" w:eastAsia="ru-RU"/>
        </w:rPr>
        <w:t>605  суб’єктів господарювання, у т. ч. 2</w:t>
      </w:r>
      <w:r w:rsidR="009A6829">
        <w:rPr>
          <w:rFonts w:ascii="Times New Roman" w:eastAsia="Times New Roman" w:hAnsi="Times New Roman" w:cs="Times New Roman"/>
          <w:bCs/>
          <w:color w:val="000000"/>
          <w:sz w:val="24"/>
          <w:szCs w:val="24"/>
          <w:lang w:val="uk-UA" w:eastAsia="ru-RU"/>
        </w:rPr>
        <w:t> </w:t>
      </w:r>
      <w:r w:rsidRPr="007620A2">
        <w:rPr>
          <w:rFonts w:ascii="Times New Roman" w:eastAsia="Times New Roman" w:hAnsi="Times New Roman" w:cs="Times New Roman"/>
          <w:bCs/>
          <w:color w:val="000000"/>
          <w:sz w:val="24"/>
          <w:szCs w:val="24"/>
          <w:lang w:val="uk-UA" w:eastAsia="ru-RU"/>
        </w:rPr>
        <w:t>575 – юридичних осіб</w:t>
      </w:r>
      <w:r w:rsidR="00D97E25">
        <w:rPr>
          <w:rFonts w:ascii="Times New Roman" w:eastAsia="Times New Roman" w:hAnsi="Times New Roman" w:cs="Times New Roman"/>
          <w:bCs/>
          <w:color w:val="000000"/>
          <w:sz w:val="24"/>
          <w:szCs w:val="24"/>
          <w:lang w:val="uk-UA" w:eastAsia="ru-RU"/>
        </w:rPr>
        <w:t xml:space="preserve"> та </w:t>
      </w:r>
      <w:r w:rsidRPr="007620A2">
        <w:rPr>
          <w:rFonts w:ascii="Times New Roman" w:eastAsia="Times New Roman" w:hAnsi="Times New Roman" w:cs="Times New Roman"/>
          <w:bCs/>
          <w:color w:val="000000"/>
          <w:sz w:val="24"/>
          <w:szCs w:val="24"/>
          <w:lang w:val="uk-UA" w:eastAsia="ru-RU"/>
        </w:rPr>
        <w:t>4</w:t>
      </w:r>
      <w:r w:rsidR="009A6829">
        <w:rPr>
          <w:rFonts w:ascii="Times New Roman" w:eastAsia="Times New Roman" w:hAnsi="Times New Roman" w:cs="Times New Roman"/>
          <w:bCs/>
          <w:color w:val="000000"/>
          <w:sz w:val="24"/>
          <w:szCs w:val="24"/>
          <w:lang w:val="uk-UA" w:eastAsia="ru-RU"/>
        </w:rPr>
        <w:t xml:space="preserve"> </w:t>
      </w:r>
      <w:r w:rsidRPr="007620A2">
        <w:rPr>
          <w:rFonts w:ascii="Times New Roman" w:eastAsia="Times New Roman" w:hAnsi="Times New Roman" w:cs="Times New Roman"/>
          <w:bCs/>
          <w:color w:val="000000"/>
          <w:sz w:val="24"/>
          <w:szCs w:val="24"/>
          <w:lang w:val="uk-UA" w:eastAsia="ru-RU"/>
        </w:rPr>
        <w:t>030 – фізичних осіб – підприємців.</w:t>
      </w:r>
      <w:r w:rsidR="00BB1108">
        <w:rPr>
          <w:rFonts w:ascii="Times New Roman" w:eastAsia="Times New Roman" w:hAnsi="Times New Roman" w:cs="Times New Roman"/>
          <w:bCs/>
          <w:color w:val="000000"/>
          <w:sz w:val="24"/>
          <w:szCs w:val="24"/>
          <w:lang w:val="uk-UA" w:eastAsia="ru-RU"/>
        </w:rPr>
        <w:t xml:space="preserve"> Порівняно з довоєнним періодом (01.01.2022) кількість зареєстрованих суб’єктів господарювання зменшилась на 421 суб’єкт, при цьому </w:t>
      </w:r>
      <w:r w:rsidR="00A626D3">
        <w:rPr>
          <w:rFonts w:ascii="Times New Roman" w:eastAsia="Times New Roman" w:hAnsi="Times New Roman" w:cs="Times New Roman"/>
          <w:bCs/>
          <w:color w:val="000000"/>
          <w:sz w:val="24"/>
          <w:szCs w:val="24"/>
          <w:lang w:val="uk-UA" w:eastAsia="ru-RU"/>
        </w:rPr>
        <w:t>кількість фізичних осіб – підприємців збільшилась на 73 підприємці, а юридичних осіб зменшилась   на 494 суб’єкт</w:t>
      </w:r>
      <w:r w:rsidR="003702C1">
        <w:rPr>
          <w:rFonts w:ascii="Times New Roman" w:eastAsia="Times New Roman" w:hAnsi="Times New Roman" w:cs="Times New Roman"/>
          <w:bCs/>
          <w:color w:val="000000"/>
          <w:sz w:val="24"/>
          <w:szCs w:val="24"/>
          <w:lang w:val="uk-UA" w:eastAsia="ru-RU"/>
        </w:rPr>
        <w:t>ів</w:t>
      </w:r>
      <w:r w:rsidR="00A626D3">
        <w:rPr>
          <w:rFonts w:ascii="Times New Roman" w:eastAsia="Times New Roman" w:hAnsi="Times New Roman" w:cs="Times New Roman"/>
          <w:bCs/>
          <w:color w:val="000000"/>
          <w:sz w:val="24"/>
          <w:szCs w:val="24"/>
          <w:lang w:val="uk-UA" w:eastAsia="ru-RU"/>
        </w:rPr>
        <w:t xml:space="preserve"> господарювання.</w:t>
      </w:r>
    </w:p>
    <w:p w14:paraId="4CE1763F" w14:textId="77777777" w:rsidR="00D97E25" w:rsidRPr="007620A2" w:rsidRDefault="00D97E25" w:rsidP="00D97E25">
      <w:pPr>
        <w:spacing w:after="0" w:line="240" w:lineRule="auto"/>
        <w:ind w:firstLine="567"/>
        <w:jc w:val="both"/>
        <w:rPr>
          <w:rFonts w:ascii="Times New Roman" w:hAnsi="Times New Roman" w:cs="Times New Roman"/>
          <w:bCs/>
          <w:color w:val="000000"/>
          <w:sz w:val="24"/>
          <w:szCs w:val="24"/>
          <w:lang w:val="uk-UA"/>
        </w:rPr>
      </w:pPr>
      <w:r w:rsidRPr="007620A2">
        <w:rPr>
          <w:rFonts w:ascii="Times New Roman" w:hAnsi="Times New Roman" w:cs="Times New Roman"/>
          <w:bCs/>
          <w:color w:val="000000"/>
          <w:sz w:val="24"/>
          <w:szCs w:val="24"/>
          <w:lang w:val="uk-UA"/>
        </w:rPr>
        <w:t xml:space="preserve">Станом на 01.10.2024 року на території </w:t>
      </w:r>
      <w:r>
        <w:rPr>
          <w:rFonts w:ascii="Times New Roman" w:hAnsi="Times New Roman" w:cs="Times New Roman"/>
          <w:bCs/>
          <w:color w:val="000000"/>
          <w:sz w:val="24"/>
          <w:szCs w:val="24"/>
          <w:lang w:val="uk-UA"/>
        </w:rPr>
        <w:t xml:space="preserve">Чорноморської міської територіальної </w:t>
      </w:r>
      <w:r w:rsidRPr="007620A2">
        <w:rPr>
          <w:rFonts w:ascii="Times New Roman" w:hAnsi="Times New Roman" w:cs="Times New Roman"/>
          <w:bCs/>
          <w:color w:val="000000"/>
          <w:sz w:val="24"/>
          <w:szCs w:val="24"/>
          <w:lang w:val="uk-UA"/>
        </w:rPr>
        <w:t>громади зареєстровано 6</w:t>
      </w:r>
      <w:r>
        <w:rPr>
          <w:rFonts w:ascii="Times New Roman" w:hAnsi="Times New Roman" w:cs="Times New Roman"/>
          <w:bCs/>
          <w:color w:val="000000"/>
          <w:sz w:val="24"/>
          <w:szCs w:val="24"/>
          <w:lang w:val="uk-UA"/>
        </w:rPr>
        <w:t> </w:t>
      </w:r>
      <w:r w:rsidRPr="007620A2">
        <w:rPr>
          <w:rFonts w:ascii="Times New Roman" w:hAnsi="Times New Roman" w:cs="Times New Roman"/>
          <w:bCs/>
          <w:color w:val="000000"/>
          <w:sz w:val="24"/>
          <w:szCs w:val="24"/>
          <w:lang w:val="uk-UA"/>
        </w:rPr>
        <w:t>905 внутрішньо переміщених осіб.</w:t>
      </w:r>
    </w:p>
    <w:p w14:paraId="105832C8" w14:textId="70EC7174" w:rsidR="000B04B1" w:rsidRPr="007620A2" w:rsidRDefault="000B04B1" w:rsidP="009A6829">
      <w:pPr>
        <w:spacing w:after="0"/>
        <w:jc w:val="center"/>
        <w:rPr>
          <w:rFonts w:ascii="Times New Roman" w:eastAsia="Calibri" w:hAnsi="Times New Roman" w:cs="Times New Roman"/>
          <w:color w:val="000000"/>
          <w:sz w:val="24"/>
          <w:szCs w:val="24"/>
          <w:lang w:val="uk-UA"/>
        </w:rPr>
      </w:pPr>
      <w:r w:rsidRPr="007620A2">
        <w:rPr>
          <w:rFonts w:ascii="Times New Roman" w:eastAsia="Calibri" w:hAnsi="Times New Roman" w:cs="Times New Roman"/>
          <w:b/>
          <w:color w:val="000000"/>
          <w:sz w:val="24"/>
          <w:szCs w:val="24"/>
          <w:lang w:val="uk-UA"/>
        </w:rPr>
        <w:t xml:space="preserve">Динаміка середньомісячної заробітної плати,  грн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929"/>
        <w:gridCol w:w="937"/>
        <w:gridCol w:w="937"/>
        <w:gridCol w:w="937"/>
        <w:gridCol w:w="938"/>
        <w:gridCol w:w="942"/>
        <w:gridCol w:w="944"/>
        <w:gridCol w:w="1093"/>
      </w:tblGrid>
      <w:tr w:rsidR="000B04B1" w:rsidRPr="007620A2" w14:paraId="0F33C82E" w14:textId="77777777" w:rsidTr="00D97E25">
        <w:trPr>
          <w:trHeight w:val="679"/>
          <w:jc w:val="center"/>
        </w:trPr>
        <w:tc>
          <w:tcPr>
            <w:tcW w:w="1694" w:type="dxa"/>
            <w:shd w:val="clear" w:color="auto" w:fill="auto"/>
          </w:tcPr>
          <w:p w14:paraId="22A0E711" w14:textId="77777777" w:rsidR="000B04B1" w:rsidRPr="007620A2" w:rsidRDefault="000B04B1" w:rsidP="000B04B1">
            <w:pPr>
              <w:spacing w:after="0"/>
              <w:ind w:left="-822"/>
              <w:jc w:val="both"/>
              <w:rPr>
                <w:rFonts w:ascii="Calibri" w:eastAsia="Calibri" w:hAnsi="Calibri" w:cs="Times New Roman"/>
                <w:color w:val="000000"/>
                <w:lang w:val="uk-UA"/>
              </w:rPr>
            </w:pPr>
          </w:p>
        </w:tc>
        <w:tc>
          <w:tcPr>
            <w:tcW w:w="929" w:type="dxa"/>
            <w:shd w:val="clear" w:color="auto" w:fill="auto"/>
            <w:vAlign w:val="center"/>
          </w:tcPr>
          <w:p w14:paraId="11CD4ACD"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2017</w:t>
            </w:r>
          </w:p>
          <w:p w14:paraId="0BBB42DD"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рік</w:t>
            </w:r>
          </w:p>
        </w:tc>
        <w:tc>
          <w:tcPr>
            <w:tcW w:w="937" w:type="dxa"/>
            <w:shd w:val="clear" w:color="auto" w:fill="auto"/>
            <w:vAlign w:val="center"/>
          </w:tcPr>
          <w:p w14:paraId="2A00C817"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2018</w:t>
            </w:r>
          </w:p>
          <w:p w14:paraId="7B08EFD8"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рік</w:t>
            </w:r>
          </w:p>
        </w:tc>
        <w:tc>
          <w:tcPr>
            <w:tcW w:w="937" w:type="dxa"/>
            <w:shd w:val="clear" w:color="auto" w:fill="auto"/>
            <w:vAlign w:val="center"/>
          </w:tcPr>
          <w:p w14:paraId="20E63B57"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2019</w:t>
            </w:r>
          </w:p>
          <w:p w14:paraId="3B7F3479"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рік</w:t>
            </w:r>
          </w:p>
        </w:tc>
        <w:tc>
          <w:tcPr>
            <w:tcW w:w="937" w:type="dxa"/>
            <w:shd w:val="clear" w:color="auto" w:fill="auto"/>
            <w:vAlign w:val="center"/>
          </w:tcPr>
          <w:p w14:paraId="1A0CE4D2"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2020</w:t>
            </w:r>
          </w:p>
          <w:p w14:paraId="7BB2FE1D"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рік</w:t>
            </w:r>
          </w:p>
        </w:tc>
        <w:tc>
          <w:tcPr>
            <w:tcW w:w="938" w:type="dxa"/>
            <w:shd w:val="clear" w:color="auto" w:fill="auto"/>
            <w:vAlign w:val="center"/>
          </w:tcPr>
          <w:p w14:paraId="1CCB96B9"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2021</w:t>
            </w:r>
          </w:p>
          <w:p w14:paraId="4961F82B"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рік</w:t>
            </w:r>
          </w:p>
        </w:tc>
        <w:tc>
          <w:tcPr>
            <w:tcW w:w="942" w:type="dxa"/>
            <w:shd w:val="clear" w:color="auto" w:fill="auto"/>
            <w:vAlign w:val="center"/>
          </w:tcPr>
          <w:p w14:paraId="4E7A75F8"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2022 рік</w:t>
            </w:r>
          </w:p>
        </w:tc>
        <w:tc>
          <w:tcPr>
            <w:tcW w:w="944" w:type="dxa"/>
            <w:vAlign w:val="center"/>
          </w:tcPr>
          <w:p w14:paraId="4B0C7798"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2023 рік</w:t>
            </w:r>
          </w:p>
        </w:tc>
        <w:tc>
          <w:tcPr>
            <w:tcW w:w="1093" w:type="dxa"/>
            <w:vAlign w:val="center"/>
          </w:tcPr>
          <w:p w14:paraId="3854ED84"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І півріччя</w:t>
            </w:r>
          </w:p>
          <w:p w14:paraId="2D28BEFD" w14:textId="77777777" w:rsidR="000B04B1" w:rsidRPr="007620A2" w:rsidRDefault="000B04B1" w:rsidP="000B04B1">
            <w:pPr>
              <w:spacing w:after="0" w:line="240" w:lineRule="auto"/>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2024 року</w:t>
            </w:r>
          </w:p>
        </w:tc>
      </w:tr>
      <w:tr w:rsidR="000B04B1" w:rsidRPr="007620A2" w14:paraId="1ACCD4D5" w14:textId="77777777" w:rsidTr="00820F8D">
        <w:trPr>
          <w:cantSplit/>
          <w:trHeight w:val="219"/>
          <w:jc w:val="center"/>
        </w:trPr>
        <w:tc>
          <w:tcPr>
            <w:tcW w:w="1694" w:type="dxa"/>
            <w:shd w:val="clear" w:color="auto" w:fill="auto"/>
            <w:vAlign w:val="center"/>
          </w:tcPr>
          <w:p w14:paraId="50933F23" w14:textId="77777777" w:rsidR="000B04B1" w:rsidRPr="007620A2" w:rsidRDefault="000B04B1" w:rsidP="000B04B1">
            <w:pPr>
              <w:ind w:right="-108"/>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м. Чорноморськ</w:t>
            </w:r>
          </w:p>
        </w:tc>
        <w:tc>
          <w:tcPr>
            <w:tcW w:w="929" w:type="dxa"/>
            <w:shd w:val="clear" w:color="auto" w:fill="auto"/>
            <w:vAlign w:val="center"/>
          </w:tcPr>
          <w:p w14:paraId="3BEA04EC"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8 477</w:t>
            </w:r>
          </w:p>
        </w:tc>
        <w:tc>
          <w:tcPr>
            <w:tcW w:w="937" w:type="dxa"/>
            <w:shd w:val="clear" w:color="auto" w:fill="auto"/>
            <w:vAlign w:val="center"/>
          </w:tcPr>
          <w:p w14:paraId="1BCB9818"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10 219</w:t>
            </w:r>
          </w:p>
        </w:tc>
        <w:tc>
          <w:tcPr>
            <w:tcW w:w="937" w:type="dxa"/>
            <w:shd w:val="clear" w:color="auto" w:fill="auto"/>
            <w:vAlign w:val="center"/>
          </w:tcPr>
          <w:p w14:paraId="6C9699B2"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11 372</w:t>
            </w:r>
          </w:p>
        </w:tc>
        <w:tc>
          <w:tcPr>
            <w:tcW w:w="937" w:type="dxa"/>
            <w:shd w:val="clear" w:color="auto" w:fill="auto"/>
            <w:vAlign w:val="center"/>
          </w:tcPr>
          <w:p w14:paraId="68933EB8"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11 789</w:t>
            </w:r>
          </w:p>
        </w:tc>
        <w:tc>
          <w:tcPr>
            <w:tcW w:w="938" w:type="dxa"/>
            <w:shd w:val="clear" w:color="auto" w:fill="auto"/>
            <w:vAlign w:val="center"/>
          </w:tcPr>
          <w:p w14:paraId="73D9F8D3"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12 857</w:t>
            </w:r>
          </w:p>
        </w:tc>
        <w:tc>
          <w:tcPr>
            <w:tcW w:w="942" w:type="dxa"/>
            <w:shd w:val="clear" w:color="auto" w:fill="auto"/>
            <w:vAlign w:val="center"/>
          </w:tcPr>
          <w:p w14:paraId="0C2BAAA5"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12 911*</w:t>
            </w:r>
          </w:p>
        </w:tc>
        <w:tc>
          <w:tcPr>
            <w:tcW w:w="944" w:type="dxa"/>
            <w:vAlign w:val="center"/>
          </w:tcPr>
          <w:p w14:paraId="023E3651"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15 792*</w:t>
            </w:r>
          </w:p>
        </w:tc>
        <w:tc>
          <w:tcPr>
            <w:tcW w:w="1093" w:type="dxa"/>
            <w:vAlign w:val="center"/>
          </w:tcPr>
          <w:p w14:paraId="27B661A6"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21 930*</w:t>
            </w:r>
          </w:p>
        </w:tc>
      </w:tr>
      <w:tr w:rsidR="000B04B1" w:rsidRPr="007620A2" w14:paraId="0FAA56C5" w14:textId="77777777" w:rsidTr="00820F8D">
        <w:trPr>
          <w:cantSplit/>
          <w:trHeight w:val="312"/>
          <w:jc w:val="center"/>
        </w:trPr>
        <w:tc>
          <w:tcPr>
            <w:tcW w:w="1694" w:type="dxa"/>
            <w:shd w:val="clear" w:color="auto" w:fill="auto"/>
            <w:vAlign w:val="center"/>
          </w:tcPr>
          <w:p w14:paraId="3F0DAA59" w14:textId="77777777" w:rsidR="000B04B1" w:rsidRPr="007620A2" w:rsidRDefault="000B04B1" w:rsidP="000B04B1">
            <w:pPr>
              <w:ind w:right="-108"/>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Одеська область</w:t>
            </w:r>
          </w:p>
        </w:tc>
        <w:tc>
          <w:tcPr>
            <w:tcW w:w="929" w:type="dxa"/>
            <w:shd w:val="clear" w:color="auto" w:fill="auto"/>
            <w:vAlign w:val="center"/>
          </w:tcPr>
          <w:p w14:paraId="0A4CF04D"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6 542</w:t>
            </w:r>
          </w:p>
        </w:tc>
        <w:tc>
          <w:tcPr>
            <w:tcW w:w="937" w:type="dxa"/>
            <w:shd w:val="clear" w:color="auto" w:fill="auto"/>
            <w:vAlign w:val="center"/>
          </w:tcPr>
          <w:p w14:paraId="44AB76E4"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8 011</w:t>
            </w:r>
          </w:p>
        </w:tc>
        <w:tc>
          <w:tcPr>
            <w:tcW w:w="937" w:type="dxa"/>
            <w:shd w:val="clear" w:color="auto" w:fill="auto"/>
            <w:vAlign w:val="center"/>
          </w:tcPr>
          <w:p w14:paraId="00FCD629"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9 167</w:t>
            </w:r>
          </w:p>
        </w:tc>
        <w:tc>
          <w:tcPr>
            <w:tcW w:w="937" w:type="dxa"/>
            <w:shd w:val="clear" w:color="auto" w:fill="auto"/>
            <w:vAlign w:val="center"/>
          </w:tcPr>
          <w:p w14:paraId="7EB08163"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10 336</w:t>
            </w:r>
          </w:p>
        </w:tc>
        <w:tc>
          <w:tcPr>
            <w:tcW w:w="938" w:type="dxa"/>
            <w:shd w:val="clear" w:color="auto" w:fill="auto"/>
            <w:vAlign w:val="center"/>
          </w:tcPr>
          <w:p w14:paraId="5460B065"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12 326</w:t>
            </w:r>
          </w:p>
        </w:tc>
        <w:tc>
          <w:tcPr>
            <w:tcW w:w="2979" w:type="dxa"/>
            <w:gridSpan w:val="3"/>
            <w:shd w:val="clear" w:color="auto" w:fill="auto"/>
            <w:vAlign w:val="center"/>
          </w:tcPr>
          <w:p w14:paraId="1C5BFA9F"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дані відсутні</w:t>
            </w:r>
          </w:p>
        </w:tc>
      </w:tr>
      <w:tr w:rsidR="000B04B1" w:rsidRPr="007620A2" w14:paraId="00E7F2AF" w14:textId="77777777" w:rsidTr="00820F8D">
        <w:trPr>
          <w:cantSplit/>
          <w:trHeight w:val="262"/>
          <w:jc w:val="center"/>
        </w:trPr>
        <w:tc>
          <w:tcPr>
            <w:tcW w:w="1694" w:type="dxa"/>
            <w:shd w:val="clear" w:color="auto" w:fill="auto"/>
            <w:vAlign w:val="center"/>
          </w:tcPr>
          <w:p w14:paraId="14CF6F1A" w14:textId="77777777" w:rsidR="000B04B1" w:rsidRPr="007620A2" w:rsidRDefault="000B04B1" w:rsidP="000B04B1">
            <w:pPr>
              <w:ind w:right="-108"/>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Україна</w:t>
            </w:r>
          </w:p>
        </w:tc>
        <w:tc>
          <w:tcPr>
            <w:tcW w:w="929" w:type="dxa"/>
            <w:shd w:val="clear" w:color="auto" w:fill="auto"/>
            <w:vAlign w:val="center"/>
          </w:tcPr>
          <w:p w14:paraId="74E60060"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7 104</w:t>
            </w:r>
          </w:p>
        </w:tc>
        <w:tc>
          <w:tcPr>
            <w:tcW w:w="937" w:type="dxa"/>
            <w:shd w:val="clear" w:color="auto" w:fill="auto"/>
            <w:vAlign w:val="center"/>
          </w:tcPr>
          <w:p w14:paraId="36A94B1A"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8 865</w:t>
            </w:r>
          </w:p>
        </w:tc>
        <w:tc>
          <w:tcPr>
            <w:tcW w:w="937" w:type="dxa"/>
            <w:shd w:val="clear" w:color="auto" w:fill="auto"/>
            <w:vAlign w:val="center"/>
          </w:tcPr>
          <w:p w14:paraId="17B2F166"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10 340</w:t>
            </w:r>
          </w:p>
        </w:tc>
        <w:tc>
          <w:tcPr>
            <w:tcW w:w="937" w:type="dxa"/>
            <w:shd w:val="clear" w:color="auto" w:fill="auto"/>
            <w:vAlign w:val="center"/>
          </w:tcPr>
          <w:p w14:paraId="46E39E6F"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11 591</w:t>
            </w:r>
          </w:p>
        </w:tc>
        <w:tc>
          <w:tcPr>
            <w:tcW w:w="938" w:type="dxa"/>
            <w:shd w:val="clear" w:color="auto" w:fill="auto"/>
            <w:vAlign w:val="center"/>
          </w:tcPr>
          <w:p w14:paraId="2541F400"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14 018</w:t>
            </w:r>
          </w:p>
        </w:tc>
        <w:tc>
          <w:tcPr>
            <w:tcW w:w="942" w:type="dxa"/>
            <w:shd w:val="clear" w:color="auto" w:fill="auto"/>
            <w:vAlign w:val="center"/>
          </w:tcPr>
          <w:p w14:paraId="6E3A5826"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13 376*</w:t>
            </w:r>
          </w:p>
        </w:tc>
        <w:tc>
          <w:tcPr>
            <w:tcW w:w="944" w:type="dxa"/>
            <w:shd w:val="clear" w:color="auto" w:fill="auto"/>
            <w:vAlign w:val="center"/>
          </w:tcPr>
          <w:p w14:paraId="4F5493D4"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14 308*</w:t>
            </w:r>
          </w:p>
        </w:tc>
        <w:tc>
          <w:tcPr>
            <w:tcW w:w="1093" w:type="dxa"/>
            <w:shd w:val="clear" w:color="auto" w:fill="auto"/>
            <w:vAlign w:val="center"/>
          </w:tcPr>
          <w:p w14:paraId="7AB806C0" w14:textId="77777777" w:rsidR="000B04B1" w:rsidRPr="007620A2" w:rsidRDefault="000B04B1" w:rsidP="000B04B1">
            <w:pPr>
              <w:jc w:val="center"/>
              <w:rPr>
                <w:rFonts w:ascii="Times New Roman" w:eastAsia="Calibri" w:hAnsi="Times New Roman" w:cs="Times New Roman"/>
                <w:color w:val="000000"/>
                <w:sz w:val="20"/>
                <w:szCs w:val="20"/>
                <w:lang w:val="uk-UA"/>
              </w:rPr>
            </w:pPr>
            <w:r w:rsidRPr="007620A2">
              <w:rPr>
                <w:rFonts w:ascii="Times New Roman" w:eastAsia="Calibri" w:hAnsi="Times New Roman" w:cs="Times New Roman"/>
                <w:color w:val="000000"/>
                <w:sz w:val="20"/>
                <w:szCs w:val="20"/>
                <w:lang w:val="uk-UA"/>
              </w:rPr>
              <w:t>16 418*</w:t>
            </w:r>
          </w:p>
        </w:tc>
      </w:tr>
    </w:tbl>
    <w:p w14:paraId="5D55CBA9" w14:textId="17BD823C" w:rsidR="000B04B1" w:rsidRPr="00B2271E" w:rsidRDefault="000B04B1" w:rsidP="000B04B1">
      <w:pPr>
        <w:spacing w:after="0" w:line="240" w:lineRule="auto"/>
        <w:ind w:firstLine="567"/>
        <w:jc w:val="both"/>
        <w:rPr>
          <w:rFonts w:ascii="Times New Roman" w:eastAsia="Calibri" w:hAnsi="Times New Roman" w:cs="Times New Roman"/>
          <w:b/>
          <w:i/>
          <w:color w:val="000000"/>
          <w:sz w:val="24"/>
          <w:szCs w:val="24"/>
          <w:lang w:val="uk-UA"/>
        </w:rPr>
      </w:pPr>
      <w:r w:rsidRPr="00B2271E">
        <w:rPr>
          <w:rFonts w:ascii="Times New Roman" w:eastAsia="Times New Roman" w:hAnsi="Times New Roman" w:cs="Times New Roman"/>
          <w:bCs/>
          <w:i/>
          <w:color w:val="000000"/>
          <w:sz w:val="24"/>
          <w:szCs w:val="24"/>
          <w:lang w:val="uk-UA" w:eastAsia="ru-RU"/>
        </w:rPr>
        <w:t xml:space="preserve">* - </w:t>
      </w:r>
      <w:r w:rsidR="00B2271E">
        <w:rPr>
          <w:rFonts w:ascii="Times New Roman" w:eastAsia="Times New Roman" w:hAnsi="Times New Roman" w:cs="Times New Roman"/>
          <w:bCs/>
          <w:i/>
          <w:color w:val="000000"/>
          <w:sz w:val="24"/>
          <w:szCs w:val="24"/>
          <w:lang w:val="uk-UA" w:eastAsia="ru-RU"/>
        </w:rPr>
        <w:t>р</w:t>
      </w:r>
      <w:r w:rsidRPr="00B2271E">
        <w:rPr>
          <w:rFonts w:ascii="Times New Roman" w:eastAsia="Times New Roman" w:hAnsi="Times New Roman" w:cs="Times New Roman"/>
          <w:bCs/>
          <w:i/>
          <w:color w:val="000000"/>
          <w:sz w:val="24"/>
          <w:szCs w:val="24"/>
          <w:lang w:val="uk-UA" w:eastAsia="ru-RU"/>
        </w:rPr>
        <w:t>озрахунок показників середньої заробітної плати (доходу), з якої сплачено страхові внески та яка відповідно до Закону України “Про загальнообов’язкове державне пенсійне страхування” враховується для обчислення пенсії, здійснюється Пенсійним фондом України за інформацією Державної податкової служби України.</w:t>
      </w:r>
    </w:p>
    <w:p w14:paraId="3F72F30E" w14:textId="77777777" w:rsidR="000B04B1" w:rsidRPr="007620A2" w:rsidRDefault="000B04B1" w:rsidP="000B04B1">
      <w:pPr>
        <w:spacing w:after="0" w:line="240" w:lineRule="auto"/>
        <w:ind w:firstLine="567"/>
        <w:jc w:val="both"/>
        <w:rPr>
          <w:rFonts w:ascii="Times New Roman" w:hAnsi="Times New Roman" w:cs="Times New Roman"/>
          <w:b/>
          <w:color w:val="000000" w:themeColor="text1"/>
          <w:sz w:val="24"/>
          <w:szCs w:val="24"/>
          <w:lang w:val="uk-UA"/>
        </w:rPr>
      </w:pPr>
      <w:r w:rsidRPr="007620A2">
        <w:rPr>
          <w:rFonts w:ascii="Times New Roman" w:eastAsia="Calibri" w:hAnsi="Times New Roman" w:cs="Times New Roman"/>
          <w:bCs/>
          <w:color w:val="000000"/>
          <w:sz w:val="24"/>
          <w:szCs w:val="24"/>
          <w:lang w:val="uk-UA"/>
        </w:rPr>
        <w:t>Очікуваний розмір середньомісячної заробітної плати в громаді за 2024 рік – 22 588 грн, прогнозний показник на 2025 рік – 25 095 грн.</w:t>
      </w:r>
    </w:p>
    <w:p w14:paraId="37E32B2A" w14:textId="71930038" w:rsidR="000B04B1" w:rsidRPr="007620A2" w:rsidRDefault="000B04B1" w:rsidP="000B04B1">
      <w:pPr>
        <w:spacing w:after="0" w:line="240" w:lineRule="auto"/>
        <w:ind w:firstLine="567"/>
        <w:jc w:val="both"/>
        <w:rPr>
          <w:rFonts w:ascii="Times New Roman" w:eastAsia="Calibri" w:hAnsi="Times New Roman" w:cs="Times New Roman"/>
          <w:b/>
          <w:color w:val="000000"/>
          <w:sz w:val="24"/>
          <w:szCs w:val="24"/>
          <w:lang w:val="uk-UA"/>
        </w:rPr>
      </w:pPr>
      <w:r w:rsidRPr="007620A2">
        <w:rPr>
          <w:rFonts w:ascii="Times New Roman" w:eastAsia="Calibri" w:hAnsi="Times New Roman" w:cs="Times New Roman"/>
          <w:b/>
          <w:color w:val="000000"/>
          <w:sz w:val="24"/>
          <w:szCs w:val="24"/>
          <w:lang w:val="uk-UA"/>
        </w:rPr>
        <w:t>Промисловість громади.</w:t>
      </w:r>
    </w:p>
    <w:p w14:paraId="20FBC440" w14:textId="7762198F" w:rsidR="000B04B1" w:rsidRPr="007620A2" w:rsidRDefault="000B04B1" w:rsidP="000B04B1">
      <w:pPr>
        <w:spacing w:after="0" w:line="240" w:lineRule="auto"/>
        <w:ind w:firstLine="567"/>
        <w:jc w:val="both"/>
        <w:rPr>
          <w:rFonts w:ascii="Times New Roman" w:eastAsia="Calibri" w:hAnsi="Times New Roman" w:cs="Times New Roman"/>
          <w:color w:val="000000"/>
          <w:sz w:val="24"/>
          <w:szCs w:val="24"/>
          <w:lang w:val="uk-UA"/>
        </w:rPr>
      </w:pPr>
      <w:r w:rsidRPr="007620A2">
        <w:rPr>
          <w:rFonts w:ascii="Times New Roman" w:eastAsia="Calibri" w:hAnsi="Times New Roman" w:cs="Times New Roman"/>
          <w:color w:val="000000"/>
          <w:sz w:val="24"/>
          <w:szCs w:val="24"/>
          <w:lang w:val="uk-UA"/>
        </w:rPr>
        <w:t xml:space="preserve">Промисловий комплекс Чорноморської міської територіальної громади займає важливе місце у місцевій економіці як з </w:t>
      </w:r>
      <w:r w:rsidR="003702C1">
        <w:rPr>
          <w:rFonts w:ascii="Times New Roman" w:eastAsia="Calibri" w:hAnsi="Times New Roman" w:cs="Times New Roman"/>
          <w:color w:val="000000"/>
          <w:sz w:val="24"/>
          <w:szCs w:val="24"/>
          <w:lang w:val="uk-UA"/>
        </w:rPr>
        <w:t>погляду</w:t>
      </w:r>
      <w:r w:rsidRPr="007620A2">
        <w:rPr>
          <w:rFonts w:ascii="Times New Roman" w:eastAsia="Calibri" w:hAnsi="Times New Roman" w:cs="Times New Roman"/>
          <w:color w:val="000000"/>
          <w:sz w:val="24"/>
          <w:szCs w:val="24"/>
          <w:lang w:val="uk-UA"/>
        </w:rPr>
        <w:t xml:space="preserve"> формування та розвитку ринку праці, так і наповнення бюджетів усіх рівнів шляхом сплати податкових платежів. Чорноморська міська територіальна громада входить до числа промислово розвинених громад регіону.</w:t>
      </w:r>
    </w:p>
    <w:p w14:paraId="75A4847E" w14:textId="77777777" w:rsidR="000B04B1" w:rsidRPr="007620A2" w:rsidRDefault="000B04B1" w:rsidP="000B04B1">
      <w:pPr>
        <w:spacing w:after="0" w:line="240" w:lineRule="auto"/>
        <w:ind w:firstLine="567"/>
        <w:jc w:val="both"/>
        <w:rPr>
          <w:rFonts w:ascii="Times New Roman" w:eastAsia="Times New Roman" w:hAnsi="Times New Roman" w:cs="Times New Roman"/>
          <w:bCs/>
          <w:color w:val="000000"/>
          <w:sz w:val="24"/>
          <w:szCs w:val="24"/>
          <w:lang w:val="uk-UA" w:eastAsia="ru-RU"/>
        </w:rPr>
      </w:pPr>
      <w:r w:rsidRPr="007620A2">
        <w:rPr>
          <w:rFonts w:ascii="Times New Roman" w:eastAsia="Calibri" w:hAnsi="Times New Roman" w:cs="Times New Roman"/>
          <w:color w:val="000000"/>
          <w:sz w:val="24"/>
          <w:szCs w:val="24"/>
          <w:lang w:val="uk-UA"/>
        </w:rPr>
        <w:t>Громада розвиває традиційні для себе галузі харчової промисловості (виробництво рибної продукції, борошна, крупи, хлібобулочних виробів та олійної продукції), машинобудування (виробництво електричної апаратури, кабельної продукції, контейнерів, ремонт суден), інші галузі.</w:t>
      </w:r>
    </w:p>
    <w:p w14:paraId="437BCD49" w14:textId="15CF83F8" w:rsidR="000B04B1" w:rsidRPr="007620A2" w:rsidRDefault="000B04B1" w:rsidP="000B04B1">
      <w:pPr>
        <w:spacing w:after="0" w:line="240" w:lineRule="auto"/>
        <w:ind w:firstLine="567"/>
        <w:jc w:val="both"/>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Cs/>
          <w:color w:val="000000"/>
          <w:sz w:val="24"/>
          <w:szCs w:val="24"/>
          <w:lang w:val="uk-UA" w:eastAsia="ru-RU"/>
        </w:rPr>
        <w:t>За січень</w:t>
      </w:r>
      <w:r w:rsidR="009A6829">
        <w:rPr>
          <w:rFonts w:ascii="Times New Roman" w:eastAsia="Times New Roman" w:hAnsi="Times New Roman" w:cs="Times New Roman"/>
          <w:bCs/>
          <w:color w:val="000000"/>
          <w:sz w:val="24"/>
          <w:szCs w:val="24"/>
          <w:lang w:val="uk-UA" w:eastAsia="ru-RU"/>
        </w:rPr>
        <w:t xml:space="preserve"> </w:t>
      </w:r>
      <w:r w:rsidRPr="007620A2">
        <w:rPr>
          <w:rFonts w:ascii="Times New Roman" w:eastAsia="Times New Roman" w:hAnsi="Times New Roman" w:cs="Times New Roman"/>
          <w:bCs/>
          <w:color w:val="000000"/>
          <w:sz w:val="24"/>
          <w:szCs w:val="24"/>
          <w:lang w:val="uk-UA" w:eastAsia="ru-RU"/>
        </w:rPr>
        <w:t>–</w:t>
      </w:r>
      <w:r w:rsidR="009A6829">
        <w:rPr>
          <w:rFonts w:ascii="Times New Roman" w:eastAsia="Times New Roman" w:hAnsi="Times New Roman" w:cs="Times New Roman"/>
          <w:bCs/>
          <w:color w:val="000000"/>
          <w:sz w:val="24"/>
          <w:szCs w:val="24"/>
          <w:lang w:val="uk-UA" w:eastAsia="ru-RU"/>
        </w:rPr>
        <w:t xml:space="preserve"> </w:t>
      </w:r>
      <w:r w:rsidRPr="007620A2">
        <w:rPr>
          <w:rFonts w:ascii="Times New Roman" w:eastAsia="Times New Roman" w:hAnsi="Times New Roman" w:cs="Times New Roman"/>
          <w:bCs/>
          <w:color w:val="000000"/>
          <w:sz w:val="24"/>
          <w:szCs w:val="24"/>
          <w:lang w:val="uk-UA" w:eastAsia="ru-RU"/>
        </w:rPr>
        <w:t>червень  2024 року промисловими підприємствами територіальної громади реалізовано продукції на 2 618,4 млн грн, що на 52,8% більше ніж в аналогічному періоді минулого року (за січень -</w:t>
      </w:r>
      <w:r w:rsidR="009A6829">
        <w:rPr>
          <w:rFonts w:ascii="Times New Roman" w:eastAsia="Times New Roman" w:hAnsi="Times New Roman" w:cs="Times New Roman"/>
          <w:bCs/>
          <w:color w:val="000000"/>
          <w:sz w:val="24"/>
          <w:szCs w:val="24"/>
          <w:lang w:val="uk-UA" w:eastAsia="ru-RU"/>
        </w:rPr>
        <w:t xml:space="preserve"> </w:t>
      </w:r>
      <w:r w:rsidR="00B2271E">
        <w:rPr>
          <w:rFonts w:ascii="Times New Roman" w:eastAsia="Times New Roman" w:hAnsi="Times New Roman" w:cs="Times New Roman"/>
          <w:bCs/>
          <w:color w:val="000000"/>
          <w:sz w:val="24"/>
          <w:szCs w:val="24"/>
          <w:lang w:val="uk-UA" w:eastAsia="ru-RU"/>
        </w:rPr>
        <w:t>червень 2023 – 1 713,53 млн</w:t>
      </w:r>
      <w:r w:rsidRPr="007620A2">
        <w:rPr>
          <w:rFonts w:ascii="Times New Roman" w:eastAsia="Times New Roman" w:hAnsi="Times New Roman" w:cs="Times New Roman"/>
          <w:bCs/>
          <w:color w:val="000000"/>
          <w:sz w:val="24"/>
          <w:szCs w:val="24"/>
          <w:lang w:val="uk-UA" w:eastAsia="ru-RU"/>
        </w:rPr>
        <w:t xml:space="preserve"> гривень).  </w:t>
      </w:r>
    </w:p>
    <w:p w14:paraId="7F7F3891" w14:textId="77777777" w:rsidR="000B04B1" w:rsidRPr="007620A2" w:rsidRDefault="000B04B1" w:rsidP="000B04B1">
      <w:pPr>
        <w:spacing w:after="0" w:line="240" w:lineRule="auto"/>
        <w:ind w:firstLine="567"/>
        <w:jc w:val="both"/>
        <w:rPr>
          <w:rFonts w:ascii="Times New Roman" w:eastAsia="Times New Roman" w:hAnsi="Times New Roman" w:cs="Times New Roman"/>
          <w:color w:val="000000"/>
          <w:sz w:val="24"/>
          <w:szCs w:val="24"/>
          <w:lang w:val="uk-UA" w:eastAsia="ru-RU"/>
        </w:rPr>
      </w:pPr>
      <w:r w:rsidRPr="007620A2">
        <w:rPr>
          <w:rFonts w:ascii="Times New Roman" w:eastAsia="Times New Roman" w:hAnsi="Times New Roman" w:cs="Times New Roman"/>
          <w:bCs/>
          <w:color w:val="000000"/>
          <w:sz w:val="24"/>
          <w:szCs w:val="24"/>
          <w:lang w:val="uk-UA" w:eastAsia="ru-RU"/>
        </w:rPr>
        <w:t xml:space="preserve">У структурному складі по видах промислового виробництва, традиційно більша частина обсягів припала на підприємства переробної промисловості (88%). </w:t>
      </w:r>
    </w:p>
    <w:p w14:paraId="6B83CC00" w14:textId="77777777" w:rsidR="000B04B1" w:rsidRPr="007620A2" w:rsidRDefault="000B04B1" w:rsidP="000B04B1">
      <w:pPr>
        <w:spacing w:after="0" w:line="240" w:lineRule="auto"/>
        <w:jc w:val="center"/>
        <w:rPr>
          <w:rFonts w:ascii="Times New Roman" w:eastAsia="Times New Roman" w:hAnsi="Times New Roman" w:cs="Times New Roman"/>
          <w:b/>
          <w:bCs/>
          <w:color w:val="000000"/>
          <w:sz w:val="24"/>
          <w:szCs w:val="24"/>
          <w:lang w:val="uk-UA" w:eastAsia="ru-RU"/>
        </w:rPr>
      </w:pPr>
      <w:bookmarkStart w:id="0" w:name="_Hlk140493618"/>
      <w:r w:rsidRPr="007620A2">
        <w:rPr>
          <w:rFonts w:ascii="Times New Roman" w:eastAsia="Times New Roman" w:hAnsi="Times New Roman" w:cs="Times New Roman"/>
          <w:b/>
          <w:bCs/>
          <w:color w:val="000000"/>
          <w:sz w:val="24"/>
          <w:szCs w:val="24"/>
          <w:lang w:val="uk-UA" w:eastAsia="ru-RU"/>
        </w:rPr>
        <w:t>Обсяг реалізованої промислової продукції</w:t>
      </w:r>
    </w:p>
    <w:p w14:paraId="3A360EF1" w14:textId="77777777" w:rsidR="000B04B1" w:rsidRPr="007620A2" w:rsidRDefault="000B04B1" w:rsidP="000B04B1">
      <w:pPr>
        <w:spacing w:after="0" w:line="240" w:lineRule="auto"/>
        <w:jc w:val="center"/>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
          <w:bCs/>
          <w:color w:val="000000"/>
          <w:sz w:val="24"/>
          <w:szCs w:val="24"/>
          <w:lang w:val="uk-UA" w:eastAsia="ru-RU"/>
        </w:rPr>
        <w:t>за січень–червень 2024 року</w:t>
      </w:r>
      <w:bookmarkEnd w:id="0"/>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1706"/>
        <w:gridCol w:w="2903"/>
      </w:tblGrid>
      <w:tr w:rsidR="000B04B1" w:rsidRPr="007620A2" w14:paraId="5DBDF93E" w14:textId="77777777" w:rsidTr="00820F8D">
        <w:trPr>
          <w:trHeight w:val="852"/>
        </w:trPr>
        <w:tc>
          <w:tcPr>
            <w:tcW w:w="2590" w:type="pct"/>
            <w:vMerge w:val="restart"/>
            <w:vAlign w:val="center"/>
            <w:hideMark/>
          </w:tcPr>
          <w:p w14:paraId="46E7FF9A" w14:textId="77777777" w:rsidR="000B04B1" w:rsidRPr="00820F8D" w:rsidRDefault="000B04B1" w:rsidP="000B04B1">
            <w:pPr>
              <w:spacing w:after="0" w:line="320" w:lineRule="exact"/>
              <w:jc w:val="center"/>
              <w:rPr>
                <w:rFonts w:ascii="Times New Roman" w:eastAsia="Times New Roman" w:hAnsi="Times New Roman" w:cs="Times New Roman"/>
                <w:bCs/>
                <w:color w:val="000000"/>
                <w:lang w:val="uk-UA" w:eastAsia="ru-RU"/>
              </w:rPr>
            </w:pPr>
            <w:r w:rsidRPr="00820F8D">
              <w:rPr>
                <w:rFonts w:ascii="Times New Roman" w:eastAsia="Times New Roman" w:hAnsi="Times New Roman" w:cs="Times New Roman"/>
                <w:bCs/>
                <w:color w:val="000000"/>
                <w:lang w:val="uk-UA" w:eastAsia="ru-RU"/>
              </w:rPr>
              <w:t>Показники</w:t>
            </w:r>
          </w:p>
        </w:tc>
        <w:tc>
          <w:tcPr>
            <w:tcW w:w="2410" w:type="pct"/>
            <w:gridSpan w:val="2"/>
            <w:vAlign w:val="center"/>
            <w:hideMark/>
          </w:tcPr>
          <w:p w14:paraId="4D459ECC" w14:textId="77777777" w:rsidR="000B04B1" w:rsidRPr="00820F8D" w:rsidRDefault="000B04B1" w:rsidP="000B04B1">
            <w:pPr>
              <w:tabs>
                <w:tab w:val="left" w:pos="928"/>
              </w:tabs>
              <w:spacing w:after="0" w:line="320" w:lineRule="exact"/>
              <w:jc w:val="center"/>
              <w:rPr>
                <w:rFonts w:ascii="Times New Roman" w:eastAsia="Times New Roman" w:hAnsi="Times New Roman" w:cs="Times New Roman"/>
                <w:color w:val="000000"/>
                <w:lang w:val="uk-UA" w:eastAsia="ru-RU"/>
              </w:rPr>
            </w:pPr>
            <w:r w:rsidRPr="00820F8D">
              <w:rPr>
                <w:rFonts w:ascii="Times New Roman" w:eastAsia="Times New Roman" w:hAnsi="Times New Roman" w:cs="Times New Roman"/>
                <w:color w:val="000000"/>
                <w:lang w:val="uk-UA" w:eastAsia="ru-RU"/>
              </w:rPr>
              <w:t>Обсяг реалізованої промислової продукції (товарів, послуг)</w:t>
            </w:r>
          </w:p>
          <w:p w14:paraId="02E9C883" w14:textId="77777777" w:rsidR="000B04B1" w:rsidRPr="00820F8D" w:rsidRDefault="000B04B1" w:rsidP="000B04B1">
            <w:pPr>
              <w:tabs>
                <w:tab w:val="left" w:pos="928"/>
              </w:tabs>
              <w:spacing w:after="0" w:line="320" w:lineRule="exact"/>
              <w:jc w:val="center"/>
              <w:rPr>
                <w:rFonts w:ascii="Times New Roman" w:eastAsia="Times New Roman" w:hAnsi="Times New Roman" w:cs="Times New Roman"/>
                <w:color w:val="000000"/>
                <w:lang w:val="uk-UA" w:eastAsia="ru-RU"/>
              </w:rPr>
            </w:pPr>
            <w:r w:rsidRPr="00820F8D">
              <w:rPr>
                <w:rFonts w:ascii="Times New Roman" w:eastAsia="Times New Roman" w:hAnsi="Times New Roman" w:cs="Times New Roman"/>
                <w:color w:val="000000"/>
                <w:lang w:val="uk-UA" w:eastAsia="ru-RU"/>
              </w:rPr>
              <w:t xml:space="preserve"> без ПДВ та акцизу</w:t>
            </w:r>
          </w:p>
        </w:tc>
      </w:tr>
      <w:tr w:rsidR="000B04B1" w:rsidRPr="007620A2" w14:paraId="4847D531" w14:textId="77777777" w:rsidTr="00820F8D">
        <w:trPr>
          <w:trHeight w:val="413"/>
        </w:trPr>
        <w:tc>
          <w:tcPr>
            <w:tcW w:w="2590" w:type="pct"/>
            <w:vMerge/>
            <w:vAlign w:val="center"/>
            <w:hideMark/>
          </w:tcPr>
          <w:p w14:paraId="5C0FAD72" w14:textId="77777777" w:rsidR="000B04B1" w:rsidRPr="00820F8D" w:rsidRDefault="000B04B1" w:rsidP="000B04B1">
            <w:pPr>
              <w:spacing w:after="0" w:line="320" w:lineRule="exact"/>
              <w:rPr>
                <w:rFonts w:ascii="Times New Roman" w:eastAsia="Times New Roman" w:hAnsi="Times New Roman" w:cs="Times New Roman"/>
                <w:bCs/>
                <w:color w:val="000000"/>
                <w:lang w:val="uk-UA" w:eastAsia="ru-RU"/>
              </w:rPr>
            </w:pPr>
          </w:p>
        </w:tc>
        <w:tc>
          <w:tcPr>
            <w:tcW w:w="892" w:type="pct"/>
            <w:vAlign w:val="center"/>
            <w:hideMark/>
          </w:tcPr>
          <w:p w14:paraId="607DCACD" w14:textId="77777777" w:rsidR="000B04B1" w:rsidRPr="00820F8D" w:rsidRDefault="000B04B1" w:rsidP="000B04B1">
            <w:pPr>
              <w:spacing w:after="0" w:line="320" w:lineRule="exact"/>
              <w:ind w:right="-62"/>
              <w:jc w:val="center"/>
              <w:rPr>
                <w:rFonts w:ascii="Times New Roman" w:eastAsia="Times New Roman" w:hAnsi="Times New Roman" w:cs="Times New Roman"/>
                <w:color w:val="000000"/>
                <w:lang w:val="uk-UA" w:eastAsia="ru-RU"/>
              </w:rPr>
            </w:pPr>
            <w:r w:rsidRPr="00820F8D">
              <w:rPr>
                <w:rFonts w:ascii="Times New Roman" w:eastAsia="Times New Roman" w:hAnsi="Times New Roman" w:cs="Times New Roman"/>
                <w:color w:val="000000"/>
                <w:lang w:val="uk-UA" w:eastAsia="ru-RU"/>
              </w:rPr>
              <w:t>тис. грн</w:t>
            </w:r>
          </w:p>
        </w:tc>
        <w:tc>
          <w:tcPr>
            <w:tcW w:w="1518" w:type="pct"/>
            <w:vAlign w:val="center"/>
            <w:hideMark/>
          </w:tcPr>
          <w:p w14:paraId="54D9F2E3" w14:textId="77777777" w:rsidR="000B04B1" w:rsidRPr="00820F8D" w:rsidRDefault="000B04B1" w:rsidP="000B04B1">
            <w:pPr>
              <w:spacing w:after="0" w:line="320" w:lineRule="exact"/>
              <w:ind w:right="-62"/>
              <w:jc w:val="center"/>
              <w:rPr>
                <w:rFonts w:ascii="Times New Roman" w:eastAsia="Times New Roman" w:hAnsi="Times New Roman" w:cs="Times New Roman"/>
                <w:color w:val="000000"/>
                <w:lang w:val="uk-UA" w:eastAsia="ru-RU"/>
              </w:rPr>
            </w:pPr>
            <w:r w:rsidRPr="00820F8D">
              <w:rPr>
                <w:rFonts w:ascii="Times New Roman" w:eastAsia="Times New Roman" w:hAnsi="Times New Roman" w:cs="Times New Roman"/>
                <w:color w:val="000000"/>
                <w:lang w:val="uk-UA" w:eastAsia="ru-RU"/>
              </w:rPr>
              <w:t>у % до всієї реалізованої продукції</w:t>
            </w:r>
          </w:p>
        </w:tc>
      </w:tr>
      <w:tr w:rsidR="000B04B1" w:rsidRPr="007620A2" w14:paraId="7956EBD7" w14:textId="77777777" w:rsidTr="00820F8D">
        <w:trPr>
          <w:trHeight w:val="300"/>
        </w:trPr>
        <w:tc>
          <w:tcPr>
            <w:tcW w:w="2590" w:type="pct"/>
            <w:vAlign w:val="bottom"/>
            <w:hideMark/>
          </w:tcPr>
          <w:p w14:paraId="06CA93C4" w14:textId="77777777" w:rsidR="000B04B1" w:rsidRPr="00820F8D" w:rsidRDefault="000B04B1" w:rsidP="000B04B1">
            <w:pPr>
              <w:spacing w:after="0" w:line="340" w:lineRule="exact"/>
              <w:rPr>
                <w:rFonts w:ascii="Times New Roman" w:eastAsia="Times New Roman" w:hAnsi="Times New Roman" w:cs="Times New Roman"/>
                <w:b/>
                <w:color w:val="000000"/>
                <w:lang w:val="uk-UA" w:eastAsia="ru-RU"/>
              </w:rPr>
            </w:pPr>
            <w:r w:rsidRPr="00820F8D">
              <w:rPr>
                <w:rFonts w:ascii="Times New Roman" w:eastAsia="Times New Roman" w:hAnsi="Times New Roman" w:cs="Times New Roman"/>
                <w:b/>
                <w:color w:val="000000"/>
                <w:lang w:val="uk-UA" w:eastAsia="ru-RU"/>
              </w:rPr>
              <w:t>Промисловість</w:t>
            </w:r>
          </w:p>
        </w:tc>
        <w:tc>
          <w:tcPr>
            <w:tcW w:w="892" w:type="pct"/>
            <w:hideMark/>
          </w:tcPr>
          <w:p w14:paraId="24938D50" w14:textId="77777777" w:rsidR="000B04B1" w:rsidRPr="00820F8D" w:rsidRDefault="000B04B1" w:rsidP="000B04B1">
            <w:pPr>
              <w:spacing w:after="0" w:line="240" w:lineRule="auto"/>
              <w:jc w:val="right"/>
              <w:rPr>
                <w:rFonts w:ascii="Times New Roman" w:eastAsia="Times New Roman" w:hAnsi="Times New Roman" w:cs="Times New Roman"/>
                <w:b/>
                <w:bCs/>
                <w:color w:val="000000"/>
                <w:lang w:val="uk-UA" w:eastAsia="uk-UA"/>
              </w:rPr>
            </w:pPr>
            <w:r w:rsidRPr="00820F8D">
              <w:rPr>
                <w:rFonts w:ascii="Times New Roman" w:eastAsia="Times New Roman" w:hAnsi="Times New Roman" w:cs="Times New Roman"/>
                <w:color w:val="000000"/>
                <w:lang w:val="uk-UA" w:eastAsia="ru-RU"/>
              </w:rPr>
              <w:t>2 618 379,6</w:t>
            </w:r>
          </w:p>
        </w:tc>
        <w:tc>
          <w:tcPr>
            <w:tcW w:w="1518" w:type="pct"/>
            <w:hideMark/>
          </w:tcPr>
          <w:p w14:paraId="4BA0F800" w14:textId="77777777" w:rsidR="000B04B1" w:rsidRPr="00820F8D" w:rsidRDefault="000B04B1" w:rsidP="000B04B1">
            <w:pPr>
              <w:spacing w:after="0" w:line="340" w:lineRule="exact"/>
              <w:jc w:val="right"/>
              <w:rPr>
                <w:rFonts w:ascii="Times New Roman" w:eastAsia="Times New Roman" w:hAnsi="Times New Roman" w:cs="Times New Roman"/>
                <w:b/>
                <w:bCs/>
                <w:color w:val="000000"/>
                <w:lang w:val="uk-UA" w:eastAsia="uk-UA"/>
              </w:rPr>
            </w:pPr>
            <w:r w:rsidRPr="00820F8D">
              <w:rPr>
                <w:rFonts w:ascii="Times New Roman" w:eastAsia="Times New Roman" w:hAnsi="Times New Roman" w:cs="Times New Roman"/>
                <w:color w:val="000000"/>
                <w:lang w:val="uk-UA" w:eastAsia="ru-RU"/>
              </w:rPr>
              <w:t>100,0</w:t>
            </w:r>
          </w:p>
        </w:tc>
      </w:tr>
      <w:tr w:rsidR="000B04B1" w:rsidRPr="007620A2" w14:paraId="4446C6A3" w14:textId="77777777" w:rsidTr="00820F8D">
        <w:trPr>
          <w:trHeight w:val="272"/>
        </w:trPr>
        <w:tc>
          <w:tcPr>
            <w:tcW w:w="2590" w:type="pct"/>
            <w:vAlign w:val="bottom"/>
            <w:hideMark/>
          </w:tcPr>
          <w:p w14:paraId="16A2A120" w14:textId="3324C950" w:rsidR="000B04B1" w:rsidRPr="00820F8D" w:rsidRDefault="000B04B1" w:rsidP="000B04B1">
            <w:pPr>
              <w:spacing w:after="0" w:line="340" w:lineRule="exact"/>
              <w:rPr>
                <w:rFonts w:ascii="Times New Roman" w:eastAsia="Times New Roman" w:hAnsi="Times New Roman" w:cs="Times New Roman"/>
                <w:color w:val="000000"/>
                <w:lang w:val="uk-UA" w:eastAsia="ru-RU"/>
              </w:rPr>
            </w:pPr>
            <w:r w:rsidRPr="00820F8D">
              <w:rPr>
                <w:rFonts w:ascii="Times New Roman" w:eastAsia="Times New Roman" w:hAnsi="Times New Roman" w:cs="Times New Roman"/>
                <w:color w:val="000000"/>
                <w:lang w:val="uk-UA" w:eastAsia="ru-RU"/>
              </w:rPr>
              <w:t>Переробна промисловість, в т.</w:t>
            </w:r>
            <w:r w:rsidR="00323BBD" w:rsidRPr="00820F8D">
              <w:rPr>
                <w:rFonts w:ascii="Times New Roman" w:eastAsia="Times New Roman" w:hAnsi="Times New Roman" w:cs="Times New Roman"/>
                <w:color w:val="000000"/>
                <w:lang w:val="uk-UA" w:eastAsia="ru-RU"/>
              </w:rPr>
              <w:t xml:space="preserve"> </w:t>
            </w:r>
            <w:r w:rsidRPr="00820F8D">
              <w:rPr>
                <w:rFonts w:ascii="Times New Roman" w:eastAsia="Times New Roman" w:hAnsi="Times New Roman" w:cs="Times New Roman"/>
                <w:color w:val="000000"/>
                <w:lang w:val="uk-UA" w:eastAsia="ru-RU"/>
              </w:rPr>
              <w:t>ч.</w:t>
            </w:r>
          </w:p>
        </w:tc>
        <w:tc>
          <w:tcPr>
            <w:tcW w:w="892" w:type="pct"/>
          </w:tcPr>
          <w:p w14:paraId="780C1293" w14:textId="77777777" w:rsidR="000B04B1" w:rsidRPr="00820F8D" w:rsidRDefault="000B04B1" w:rsidP="000B04B1">
            <w:pPr>
              <w:spacing w:after="0" w:line="240" w:lineRule="auto"/>
              <w:jc w:val="right"/>
              <w:rPr>
                <w:rFonts w:ascii="Times New Roman" w:eastAsia="Times New Roman" w:hAnsi="Times New Roman" w:cs="Times New Roman"/>
                <w:bCs/>
                <w:color w:val="000000"/>
                <w:lang w:val="uk-UA" w:eastAsia="ru-RU"/>
              </w:rPr>
            </w:pPr>
            <w:r w:rsidRPr="00820F8D">
              <w:rPr>
                <w:rFonts w:ascii="Times New Roman" w:eastAsia="Calibri" w:hAnsi="Times New Roman" w:cs="Times New Roman"/>
                <w:lang w:val="uk-UA"/>
              </w:rPr>
              <w:t>2 304 069,7</w:t>
            </w:r>
          </w:p>
        </w:tc>
        <w:tc>
          <w:tcPr>
            <w:tcW w:w="1518" w:type="pct"/>
          </w:tcPr>
          <w:p w14:paraId="02319C53" w14:textId="77777777" w:rsidR="000B04B1" w:rsidRPr="00820F8D" w:rsidRDefault="000B04B1" w:rsidP="000B04B1">
            <w:pPr>
              <w:spacing w:after="0" w:line="340" w:lineRule="exact"/>
              <w:jc w:val="right"/>
              <w:rPr>
                <w:rFonts w:ascii="Times New Roman" w:eastAsia="Times New Roman" w:hAnsi="Times New Roman" w:cs="Times New Roman"/>
                <w:bCs/>
                <w:color w:val="000000"/>
                <w:lang w:val="uk-UA" w:eastAsia="ru-RU"/>
              </w:rPr>
            </w:pPr>
            <w:r w:rsidRPr="00820F8D">
              <w:rPr>
                <w:rFonts w:ascii="Times New Roman" w:eastAsia="Calibri" w:hAnsi="Times New Roman" w:cs="Times New Roman"/>
                <w:lang w:val="uk-UA"/>
              </w:rPr>
              <w:t>88,0</w:t>
            </w:r>
          </w:p>
        </w:tc>
      </w:tr>
      <w:tr w:rsidR="000B04B1" w:rsidRPr="007620A2" w14:paraId="5B59A04B" w14:textId="77777777" w:rsidTr="00820F8D">
        <w:trPr>
          <w:trHeight w:val="488"/>
        </w:trPr>
        <w:tc>
          <w:tcPr>
            <w:tcW w:w="2590" w:type="pct"/>
            <w:vAlign w:val="bottom"/>
            <w:hideMark/>
          </w:tcPr>
          <w:p w14:paraId="6A3F34AE" w14:textId="77777777" w:rsidR="000B04B1" w:rsidRPr="00820F8D" w:rsidRDefault="000B04B1" w:rsidP="000B04B1">
            <w:pPr>
              <w:spacing w:after="0" w:line="340" w:lineRule="exact"/>
              <w:ind w:left="142"/>
              <w:rPr>
                <w:rFonts w:ascii="Times New Roman" w:eastAsia="Times New Roman" w:hAnsi="Times New Roman" w:cs="Times New Roman"/>
                <w:bCs/>
                <w:color w:val="000000"/>
                <w:lang w:val="uk-UA" w:eastAsia="ru-RU"/>
              </w:rPr>
            </w:pPr>
            <w:r w:rsidRPr="00820F8D">
              <w:rPr>
                <w:rFonts w:ascii="Times New Roman" w:eastAsia="Times New Roman" w:hAnsi="Times New Roman" w:cs="Times New Roman"/>
                <w:bCs/>
                <w:color w:val="000000"/>
                <w:lang w:val="uk-UA" w:eastAsia="ru-RU"/>
              </w:rPr>
              <w:t>виробництво харчових продуктів, напоїв та тютюнових виробів</w:t>
            </w:r>
          </w:p>
        </w:tc>
        <w:tc>
          <w:tcPr>
            <w:tcW w:w="892" w:type="pct"/>
          </w:tcPr>
          <w:p w14:paraId="15D4E369" w14:textId="77777777" w:rsidR="000B04B1" w:rsidRPr="00820F8D" w:rsidRDefault="000B04B1" w:rsidP="000B04B1">
            <w:pPr>
              <w:spacing w:after="0" w:line="240" w:lineRule="auto"/>
              <w:jc w:val="right"/>
              <w:rPr>
                <w:rFonts w:ascii="Times New Roman" w:eastAsia="Times New Roman" w:hAnsi="Times New Roman" w:cs="Times New Roman"/>
                <w:bCs/>
                <w:color w:val="000000"/>
                <w:lang w:val="uk-UA" w:eastAsia="ru-RU"/>
              </w:rPr>
            </w:pPr>
            <w:r w:rsidRPr="00820F8D">
              <w:rPr>
                <w:rFonts w:ascii="Times New Roman" w:eastAsia="Calibri" w:hAnsi="Times New Roman" w:cs="Times New Roman"/>
                <w:lang w:val="uk-UA"/>
              </w:rPr>
              <w:t>1 955 440,1</w:t>
            </w:r>
          </w:p>
        </w:tc>
        <w:tc>
          <w:tcPr>
            <w:tcW w:w="1518" w:type="pct"/>
          </w:tcPr>
          <w:p w14:paraId="2324F1B6" w14:textId="77777777" w:rsidR="000B04B1" w:rsidRPr="00820F8D" w:rsidRDefault="000B04B1" w:rsidP="000B04B1">
            <w:pPr>
              <w:spacing w:after="0" w:line="340" w:lineRule="exact"/>
              <w:jc w:val="right"/>
              <w:rPr>
                <w:rFonts w:ascii="Times New Roman" w:eastAsia="Times New Roman" w:hAnsi="Times New Roman" w:cs="Times New Roman"/>
                <w:bCs/>
                <w:color w:val="000000"/>
                <w:lang w:val="uk-UA" w:eastAsia="ru-RU"/>
              </w:rPr>
            </w:pPr>
            <w:r w:rsidRPr="00820F8D">
              <w:rPr>
                <w:rFonts w:ascii="Times New Roman" w:eastAsia="Calibri" w:hAnsi="Times New Roman" w:cs="Times New Roman"/>
                <w:lang w:val="uk-UA"/>
              </w:rPr>
              <w:t>74,7</w:t>
            </w:r>
          </w:p>
        </w:tc>
      </w:tr>
      <w:tr w:rsidR="000B04B1" w:rsidRPr="007620A2" w14:paraId="7A12E85B" w14:textId="77777777" w:rsidTr="00820F8D">
        <w:trPr>
          <w:trHeight w:val="161"/>
        </w:trPr>
        <w:tc>
          <w:tcPr>
            <w:tcW w:w="2590" w:type="pct"/>
            <w:vAlign w:val="bottom"/>
            <w:hideMark/>
          </w:tcPr>
          <w:p w14:paraId="18673A89" w14:textId="77777777" w:rsidR="000B04B1" w:rsidRPr="00820F8D" w:rsidRDefault="000B04B1" w:rsidP="000B04B1">
            <w:pPr>
              <w:spacing w:after="0" w:line="340" w:lineRule="exact"/>
              <w:ind w:left="284"/>
              <w:outlineLvl w:val="0"/>
              <w:rPr>
                <w:rFonts w:ascii="Times New Roman" w:eastAsia="Times New Roman" w:hAnsi="Times New Roman" w:cs="Times New Roman"/>
                <w:color w:val="000000"/>
                <w:lang w:val="uk-UA" w:eastAsia="ru-RU"/>
              </w:rPr>
            </w:pPr>
            <w:r w:rsidRPr="00820F8D">
              <w:rPr>
                <w:rFonts w:ascii="Times New Roman" w:eastAsia="Times New Roman" w:hAnsi="Times New Roman" w:cs="Times New Roman"/>
                <w:color w:val="000000"/>
                <w:lang w:val="uk-UA" w:eastAsia="ru-RU"/>
              </w:rPr>
              <w:t xml:space="preserve">Інші види промисловості </w:t>
            </w:r>
          </w:p>
        </w:tc>
        <w:tc>
          <w:tcPr>
            <w:tcW w:w="892" w:type="pct"/>
            <w:vAlign w:val="bottom"/>
          </w:tcPr>
          <w:p w14:paraId="4B3D52B7" w14:textId="77777777" w:rsidR="000B04B1" w:rsidRPr="00820F8D" w:rsidRDefault="000B04B1" w:rsidP="000B04B1">
            <w:pPr>
              <w:spacing w:after="0" w:line="340" w:lineRule="exact"/>
              <w:jc w:val="right"/>
              <w:rPr>
                <w:rFonts w:ascii="Times New Roman" w:eastAsia="Times New Roman" w:hAnsi="Times New Roman" w:cs="Times New Roman"/>
                <w:bCs/>
                <w:color w:val="000000"/>
                <w:lang w:val="uk-UA" w:eastAsia="ru-RU"/>
              </w:rPr>
            </w:pPr>
            <w:r w:rsidRPr="00820F8D">
              <w:rPr>
                <w:rFonts w:ascii="Times New Roman" w:eastAsia="Times New Roman" w:hAnsi="Times New Roman" w:cs="Times New Roman"/>
                <w:bCs/>
                <w:color w:val="000000"/>
                <w:lang w:val="uk-UA" w:eastAsia="ru-RU"/>
              </w:rPr>
              <w:t>314 309,9</w:t>
            </w:r>
          </w:p>
        </w:tc>
        <w:tc>
          <w:tcPr>
            <w:tcW w:w="1518" w:type="pct"/>
            <w:vAlign w:val="bottom"/>
          </w:tcPr>
          <w:p w14:paraId="0A9B121F" w14:textId="77777777" w:rsidR="000B04B1" w:rsidRPr="00820F8D" w:rsidRDefault="000B04B1" w:rsidP="000B04B1">
            <w:pPr>
              <w:spacing w:after="0" w:line="340" w:lineRule="exact"/>
              <w:jc w:val="right"/>
              <w:rPr>
                <w:rFonts w:ascii="Times New Roman" w:eastAsia="Times New Roman" w:hAnsi="Times New Roman" w:cs="Times New Roman"/>
                <w:bCs/>
                <w:color w:val="000000"/>
                <w:lang w:val="uk-UA" w:eastAsia="ru-RU"/>
              </w:rPr>
            </w:pPr>
            <w:r w:rsidRPr="00820F8D">
              <w:rPr>
                <w:rFonts w:ascii="Times New Roman" w:eastAsia="Times New Roman" w:hAnsi="Times New Roman" w:cs="Times New Roman"/>
                <w:bCs/>
                <w:color w:val="000000"/>
                <w:lang w:val="uk-UA" w:eastAsia="ru-RU"/>
              </w:rPr>
              <w:t>12,0</w:t>
            </w:r>
          </w:p>
        </w:tc>
      </w:tr>
    </w:tbl>
    <w:p w14:paraId="4268D4A2" w14:textId="77777777" w:rsidR="000B04B1" w:rsidRPr="007620A2" w:rsidRDefault="000B04B1" w:rsidP="000B04B1">
      <w:pPr>
        <w:spacing w:after="0" w:line="230" w:lineRule="exact"/>
        <w:jc w:val="both"/>
        <w:rPr>
          <w:rFonts w:ascii="Verdana" w:eastAsia="Times New Roman" w:hAnsi="Verdana" w:cs="Times New Roman"/>
          <w:color w:val="000000" w:themeColor="text1"/>
          <w:sz w:val="24"/>
          <w:szCs w:val="24"/>
          <w:lang w:val="uk-UA" w:eastAsia="uk-UA"/>
        </w:rPr>
      </w:pPr>
    </w:p>
    <w:p w14:paraId="4AB22225" w14:textId="18C13F10" w:rsidR="000B04B1" w:rsidRPr="007620A2" w:rsidRDefault="000B04B1" w:rsidP="000B04B1">
      <w:pPr>
        <w:spacing w:before="120" w:after="120" w:line="240" w:lineRule="auto"/>
        <w:ind w:firstLine="567"/>
        <w:contextualSpacing/>
        <w:jc w:val="both"/>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Cs/>
          <w:color w:val="000000"/>
          <w:sz w:val="24"/>
          <w:szCs w:val="24"/>
          <w:lang w:val="uk-UA" w:eastAsia="ru-RU"/>
        </w:rPr>
        <w:t>Серед галузей переробної промисловості найбільшу питому вагу в загальних обсягах реалізованої промислової продукції утримує харчова промисловість. До переліку основних підприємств харчової галузі Чорноморської міської територіальної громади                               входять: ТОВ «Аквафрост» (виробництво високоякісної харчової продукції під торговою маркою «Водний світ»), ПрАТ «АДМ Іллічівськ» (виробництво рослинної олії), ТОВ «Українська Чорноморська  індустрія» (виробництво рослинної олії), ТОВ ФІРМА «ЛІМАН» (вилов та перероб</w:t>
      </w:r>
      <w:r w:rsidR="003702C1">
        <w:rPr>
          <w:rFonts w:ascii="Times New Roman" w:eastAsia="Times New Roman" w:hAnsi="Times New Roman" w:cs="Times New Roman"/>
          <w:bCs/>
          <w:color w:val="000000"/>
          <w:sz w:val="24"/>
          <w:szCs w:val="24"/>
          <w:lang w:val="uk-UA" w:eastAsia="ru-RU"/>
        </w:rPr>
        <w:t>лення</w:t>
      </w:r>
      <w:r w:rsidRPr="007620A2">
        <w:rPr>
          <w:rFonts w:ascii="Times New Roman" w:eastAsia="Times New Roman" w:hAnsi="Times New Roman" w:cs="Times New Roman"/>
          <w:bCs/>
          <w:color w:val="000000"/>
          <w:sz w:val="24"/>
          <w:szCs w:val="24"/>
          <w:lang w:val="uk-UA" w:eastAsia="ru-RU"/>
        </w:rPr>
        <w:t xml:space="preserve"> риби).</w:t>
      </w:r>
    </w:p>
    <w:p w14:paraId="2ED4B05F" w14:textId="489D0880" w:rsidR="000B04B1" w:rsidRPr="007620A2" w:rsidRDefault="000B04B1" w:rsidP="000B04B1">
      <w:pPr>
        <w:spacing w:before="120" w:after="120" w:line="240" w:lineRule="auto"/>
        <w:ind w:firstLine="567"/>
        <w:contextualSpacing/>
        <w:jc w:val="both"/>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Cs/>
          <w:color w:val="000000"/>
          <w:sz w:val="24"/>
          <w:szCs w:val="24"/>
          <w:lang w:val="uk-UA" w:eastAsia="ru-RU"/>
        </w:rPr>
        <w:t>Всі ці підприємства</w:t>
      </w:r>
      <w:r w:rsidR="003702C1">
        <w:rPr>
          <w:rFonts w:ascii="Times New Roman" w:eastAsia="Times New Roman" w:hAnsi="Times New Roman" w:cs="Times New Roman"/>
          <w:bCs/>
          <w:color w:val="000000"/>
          <w:sz w:val="24"/>
          <w:szCs w:val="24"/>
          <w:lang w:val="uk-UA" w:eastAsia="ru-RU"/>
        </w:rPr>
        <w:t>,</w:t>
      </w:r>
      <w:r w:rsidRPr="007620A2">
        <w:rPr>
          <w:rFonts w:ascii="Times New Roman" w:eastAsia="Times New Roman" w:hAnsi="Times New Roman" w:cs="Times New Roman"/>
          <w:bCs/>
          <w:color w:val="000000"/>
          <w:sz w:val="24"/>
          <w:szCs w:val="24"/>
          <w:lang w:val="uk-UA" w:eastAsia="ru-RU"/>
        </w:rPr>
        <w:t xml:space="preserve">  за винятком ТОВ ФІРМА «ЛІМАН»</w:t>
      </w:r>
      <w:r w:rsidR="00323BBD">
        <w:rPr>
          <w:rFonts w:ascii="Times New Roman" w:eastAsia="Times New Roman" w:hAnsi="Times New Roman" w:cs="Times New Roman"/>
          <w:bCs/>
          <w:color w:val="000000"/>
          <w:sz w:val="24"/>
          <w:szCs w:val="24"/>
          <w:lang w:val="uk-UA" w:eastAsia="ru-RU"/>
        </w:rPr>
        <w:t>,</w:t>
      </w:r>
      <w:r w:rsidRPr="007620A2">
        <w:rPr>
          <w:rFonts w:ascii="Times New Roman" w:eastAsia="Times New Roman" w:hAnsi="Times New Roman" w:cs="Times New Roman"/>
          <w:bCs/>
          <w:color w:val="000000"/>
          <w:sz w:val="24"/>
          <w:szCs w:val="24"/>
          <w:lang w:val="uk-UA" w:eastAsia="ru-RU"/>
        </w:rPr>
        <w:t xml:space="preserve"> навіть в період воєнного стану</w:t>
      </w:r>
      <w:r w:rsidR="00323BBD">
        <w:rPr>
          <w:rFonts w:ascii="Times New Roman" w:eastAsia="Times New Roman" w:hAnsi="Times New Roman" w:cs="Times New Roman"/>
          <w:bCs/>
          <w:color w:val="000000"/>
          <w:sz w:val="24"/>
          <w:szCs w:val="24"/>
          <w:lang w:val="uk-UA" w:eastAsia="ru-RU"/>
        </w:rPr>
        <w:t>,</w:t>
      </w:r>
      <w:r w:rsidRPr="007620A2">
        <w:rPr>
          <w:rFonts w:ascii="Times New Roman" w:eastAsia="Times New Roman" w:hAnsi="Times New Roman" w:cs="Times New Roman"/>
          <w:bCs/>
          <w:color w:val="000000"/>
          <w:sz w:val="24"/>
          <w:szCs w:val="24"/>
          <w:lang w:val="uk-UA" w:eastAsia="ru-RU"/>
        </w:rPr>
        <w:t xml:space="preserve"> продовжують  роботу. </w:t>
      </w:r>
    </w:p>
    <w:p w14:paraId="307EF891" w14:textId="77777777" w:rsidR="000B04B1" w:rsidRPr="007620A2" w:rsidRDefault="000B04B1" w:rsidP="000B04B1">
      <w:pPr>
        <w:spacing w:before="120" w:after="120" w:line="240" w:lineRule="auto"/>
        <w:ind w:firstLine="567"/>
        <w:contextualSpacing/>
        <w:jc w:val="both"/>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Cs/>
          <w:color w:val="000000"/>
          <w:sz w:val="24"/>
          <w:szCs w:val="24"/>
          <w:lang w:val="uk-UA" w:eastAsia="ru-RU"/>
        </w:rPr>
        <w:t xml:space="preserve">Серед підприємств інших галузей слід відзначити ПрАТ «ІСРЗ» (ремонт суден та виробництво контейнерів), ТОВ «Люм’єр Україна» (виробництво ілюмінації) та                                    ДП «Тумен-електро» (виробництво кабельної продукції). </w:t>
      </w:r>
    </w:p>
    <w:p w14:paraId="1212942B" w14:textId="523A0815" w:rsidR="000B04B1" w:rsidRPr="007620A2" w:rsidRDefault="000B04B1" w:rsidP="000B04B1">
      <w:pPr>
        <w:spacing w:after="0" w:line="240" w:lineRule="auto"/>
        <w:ind w:firstLine="567"/>
        <w:contextualSpacing/>
        <w:jc w:val="both"/>
        <w:rPr>
          <w:rFonts w:ascii="Times New Roman" w:hAnsi="Times New Roman" w:cs="Times New Roman"/>
          <w:b/>
          <w:color w:val="000000" w:themeColor="text1"/>
          <w:sz w:val="24"/>
          <w:szCs w:val="24"/>
          <w:lang w:val="uk-UA"/>
        </w:rPr>
      </w:pPr>
      <w:r w:rsidRPr="007620A2">
        <w:rPr>
          <w:rFonts w:ascii="Times New Roman" w:eastAsia="Calibri" w:hAnsi="Times New Roman" w:cs="Times New Roman"/>
          <w:b/>
          <w:color w:val="000000"/>
          <w:sz w:val="24"/>
          <w:szCs w:val="24"/>
          <w:lang w:val="uk-UA"/>
        </w:rPr>
        <w:t xml:space="preserve">Очікуваний обсяг реалізованої промислової продукції (товарів, послуг)                                            за 2024 рік </w:t>
      </w:r>
      <w:r w:rsidR="00CA06D1" w:rsidRPr="007620A2">
        <w:rPr>
          <w:rFonts w:ascii="Times New Roman" w:eastAsia="Calibri" w:hAnsi="Times New Roman" w:cs="Times New Roman"/>
          <w:b/>
          <w:color w:val="000000"/>
          <w:sz w:val="24"/>
          <w:szCs w:val="24"/>
          <w:lang w:val="uk-UA"/>
        </w:rPr>
        <w:t>–</w:t>
      </w:r>
      <w:r w:rsidRPr="007620A2">
        <w:rPr>
          <w:rFonts w:ascii="Times New Roman" w:eastAsia="Calibri" w:hAnsi="Times New Roman" w:cs="Times New Roman"/>
          <w:b/>
          <w:color w:val="000000"/>
          <w:sz w:val="24"/>
          <w:szCs w:val="24"/>
          <w:lang w:val="uk-UA"/>
        </w:rPr>
        <w:t xml:space="preserve"> 5 236,8 млн гривень.  Прогноз на 2025 рік – 5 818,1 млн гривень.</w:t>
      </w:r>
    </w:p>
    <w:p w14:paraId="6DCADFA7" w14:textId="309CD2F1" w:rsidR="000B04B1" w:rsidRPr="007620A2" w:rsidRDefault="000B04B1" w:rsidP="000B04B1">
      <w:pPr>
        <w:spacing w:after="0" w:line="240" w:lineRule="auto"/>
        <w:ind w:firstLine="567"/>
        <w:rPr>
          <w:rFonts w:ascii="Times New Roman" w:eastAsia="Calibri" w:hAnsi="Times New Roman" w:cs="Times New Roman"/>
          <w:b/>
          <w:color w:val="000000"/>
          <w:sz w:val="24"/>
          <w:szCs w:val="24"/>
          <w:lang w:val="uk-UA"/>
        </w:rPr>
      </w:pPr>
      <w:r w:rsidRPr="007620A2">
        <w:rPr>
          <w:rFonts w:ascii="Times New Roman" w:eastAsia="Calibri" w:hAnsi="Times New Roman" w:cs="Times New Roman"/>
          <w:b/>
          <w:color w:val="000000"/>
          <w:sz w:val="24"/>
          <w:szCs w:val="24"/>
          <w:lang w:val="uk-UA"/>
        </w:rPr>
        <w:t xml:space="preserve">Транспорт </w:t>
      </w:r>
    </w:p>
    <w:p w14:paraId="1AF3060D" w14:textId="5CA41A13" w:rsidR="000B04B1" w:rsidRPr="007620A2" w:rsidRDefault="000B04B1" w:rsidP="000B04B1">
      <w:pPr>
        <w:spacing w:after="0" w:line="240" w:lineRule="auto"/>
        <w:ind w:firstLine="567"/>
        <w:jc w:val="both"/>
        <w:rPr>
          <w:rFonts w:ascii="Times New Roman" w:eastAsia="Times New Roman" w:hAnsi="Times New Roman" w:cs="Times New Roman"/>
          <w:color w:val="000000"/>
          <w:sz w:val="24"/>
          <w:szCs w:val="24"/>
          <w:lang w:val="uk-UA" w:eastAsia="ru-RU"/>
        </w:rPr>
      </w:pPr>
      <w:r w:rsidRPr="007620A2">
        <w:rPr>
          <w:rFonts w:ascii="Times New Roman" w:eastAsia="Times New Roman" w:hAnsi="Times New Roman" w:cs="Times New Roman"/>
          <w:color w:val="000000"/>
          <w:sz w:val="24"/>
          <w:szCs w:val="24"/>
          <w:lang w:val="uk-UA" w:eastAsia="ru-RU"/>
        </w:rPr>
        <w:t xml:space="preserve">Транспортний комплекс Чорноморської міської територіальної громади був і залишається важливою складовою в структурі економіки міської громади. </w:t>
      </w:r>
    </w:p>
    <w:p w14:paraId="783BE847" w14:textId="0AA6CFF2" w:rsidR="000B04B1" w:rsidRPr="007620A2" w:rsidRDefault="000B04B1" w:rsidP="000B04B1">
      <w:pPr>
        <w:spacing w:after="0" w:line="240" w:lineRule="auto"/>
        <w:ind w:firstLine="567"/>
        <w:jc w:val="both"/>
        <w:rPr>
          <w:rFonts w:ascii="Times New Roman" w:eastAsia="Calibri" w:hAnsi="Times New Roman" w:cs="Times New Roman"/>
          <w:color w:val="000000"/>
          <w:sz w:val="24"/>
          <w:szCs w:val="24"/>
          <w:lang w:val="uk-UA" w:eastAsia="ru-RU"/>
        </w:rPr>
      </w:pPr>
      <w:r w:rsidRPr="007620A2">
        <w:rPr>
          <w:rFonts w:ascii="Times New Roman" w:eastAsia="Calibri" w:hAnsi="Times New Roman" w:cs="Times New Roman"/>
          <w:color w:val="000000"/>
          <w:sz w:val="24"/>
          <w:szCs w:val="24"/>
          <w:lang w:val="uk-UA" w:eastAsia="ru-RU"/>
        </w:rPr>
        <w:t>Враховуючи поточну складну ситуацію в умовах запровадженого правового режиму воєнного стану на території України відповідно до Указу Президента України від 24 лютого 2022р. № 64</w:t>
      </w:r>
      <w:r w:rsidR="00CA06D1">
        <w:rPr>
          <w:rFonts w:ascii="Times New Roman" w:eastAsia="Calibri" w:hAnsi="Times New Roman" w:cs="Times New Roman"/>
          <w:color w:val="000000"/>
          <w:sz w:val="24"/>
          <w:szCs w:val="24"/>
          <w:lang w:val="uk-UA" w:eastAsia="ru-RU"/>
        </w:rPr>
        <w:t>/2022</w:t>
      </w:r>
      <w:r w:rsidRPr="007620A2">
        <w:rPr>
          <w:rFonts w:ascii="Times New Roman" w:eastAsia="Calibri" w:hAnsi="Times New Roman" w:cs="Times New Roman"/>
          <w:color w:val="000000"/>
          <w:sz w:val="24"/>
          <w:szCs w:val="24"/>
          <w:lang w:val="uk-UA" w:eastAsia="ru-RU"/>
        </w:rPr>
        <w:t xml:space="preserve"> «Про введення воєнного стану в Україні», що призвело до тимчасового припинення торг</w:t>
      </w:r>
      <w:r w:rsidR="003702C1">
        <w:rPr>
          <w:rFonts w:ascii="Times New Roman" w:eastAsia="Calibri" w:hAnsi="Times New Roman" w:cs="Times New Roman"/>
          <w:color w:val="000000"/>
          <w:sz w:val="24"/>
          <w:szCs w:val="24"/>
          <w:lang w:val="uk-UA" w:eastAsia="ru-RU"/>
        </w:rPr>
        <w:t>і</w:t>
      </w:r>
      <w:r w:rsidRPr="007620A2">
        <w:rPr>
          <w:rFonts w:ascii="Times New Roman" w:eastAsia="Calibri" w:hAnsi="Times New Roman" w:cs="Times New Roman"/>
          <w:color w:val="000000"/>
          <w:sz w:val="24"/>
          <w:szCs w:val="24"/>
          <w:lang w:val="uk-UA" w:eastAsia="ru-RU"/>
        </w:rPr>
        <w:t xml:space="preserve">вельного мореплавства в акваторії Чорного та Азовського морів і закриття входу/виходу порту Чорноморськ, неможливості здійснювати обслуговування суден та виконання інших робіт, пов’язаних з цим видом діяльності та  значно вплинуло на підсумки роботи  всіх портових операторів, які проводять діяльність  на території  морського  порту «Чорноморськ». </w:t>
      </w:r>
    </w:p>
    <w:p w14:paraId="2D4AD78B" w14:textId="604C715B" w:rsidR="000B04B1" w:rsidRPr="007620A2" w:rsidRDefault="000B04B1" w:rsidP="000B04B1">
      <w:pPr>
        <w:spacing w:after="0" w:line="240" w:lineRule="auto"/>
        <w:ind w:firstLine="567"/>
        <w:jc w:val="both"/>
        <w:rPr>
          <w:rFonts w:ascii="Times New Roman" w:eastAsia="Calibri" w:hAnsi="Times New Roman" w:cs="Times New Roman"/>
          <w:color w:val="000000"/>
          <w:sz w:val="24"/>
          <w:szCs w:val="24"/>
          <w:lang w:val="uk-UA" w:eastAsia="ru-RU"/>
        </w:rPr>
      </w:pPr>
      <w:r w:rsidRPr="007620A2">
        <w:rPr>
          <w:rFonts w:ascii="Times New Roman" w:eastAsia="Calibri" w:hAnsi="Times New Roman" w:cs="Times New Roman"/>
          <w:color w:val="000000"/>
          <w:sz w:val="24"/>
          <w:szCs w:val="24"/>
          <w:lang w:val="uk-UA" w:eastAsia="ru-RU"/>
        </w:rPr>
        <w:t>Внаслідок вищезазначеного</w:t>
      </w:r>
      <w:r w:rsidR="00C833ED">
        <w:rPr>
          <w:rFonts w:ascii="Times New Roman" w:eastAsia="Calibri" w:hAnsi="Times New Roman" w:cs="Times New Roman"/>
          <w:color w:val="000000"/>
          <w:sz w:val="24"/>
          <w:szCs w:val="24"/>
          <w:lang w:val="uk-UA" w:eastAsia="ru-RU"/>
        </w:rPr>
        <w:t xml:space="preserve"> обмежені можливості </w:t>
      </w:r>
      <w:r w:rsidRPr="007620A2">
        <w:rPr>
          <w:rFonts w:ascii="Times New Roman" w:eastAsia="Calibri" w:hAnsi="Times New Roman" w:cs="Times New Roman"/>
          <w:color w:val="000000"/>
          <w:sz w:val="24"/>
          <w:szCs w:val="24"/>
          <w:lang w:val="uk-UA" w:eastAsia="ru-RU"/>
        </w:rPr>
        <w:t>портов</w:t>
      </w:r>
      <w:r w:rsidR="00C833ED">
        <w:rPr>
          <w:rFonts w:ascii="Times New Roman" w:eastAsia="Calibri" w:hAnsi="Times New Roman" w:cs="Times New Roman"/>
          <w:color w:val="000000"/>
          <w:sz w:val="24"/>
          <w:szCs w:val="24"/>
          <w:lang w:val="uk-UA" w:eastAsia="ru-RU"/>
        </w:rPr>
        <w:t xml:space="preserve">их </w:t>
      </w:r>
      <w:r w:rsidRPr="007620A2">
        <w:rPr>
          <w:rFonts w:ascii="Times New Roman" w:eastAsia="Calibri" w:hAnsi="Times New Roman" w:cs="Times New Roman"/>
          <w:color w:val="000000"/>
          <w:sz w:val="24"/>
          <w:szCs w:val="24"/>
          <w:lang w:val="uk-UA" w:eastAsia="ru-RU"/>
        </w:rPr>
        <w:t>оператор</w:t>
      </w:r>
      <w:r w:rsidR="00C833ED">
        <w:rPr>
          <w:rFonts w:ascii="Times New Roman" w:eastAsia="Calibri" w:hAnsi="Times New Roman" w:cs="Times New Roman"/>
          <w:color w:val="000000"/>
          <w:sz w:val="24"/>
          <w:szCs w:val="24"/>
          <w:lang w:val="uk-UA" w:eastAsia="ru-RU"/>
        </w:rPr>
        <w:t xml:space="preserve">ів </w:t>
      </w:r>
      <w:r w:rsidRPr="007620A2">
        <w:rPr>
          <w:rFonts w:ascii="Times New Roman" w:eastAsia="Calibri" w:hAnsi="Times New Roman" w:cs="Times New Roman"/>
          <w:color w:val="000000"/>
          <w:sz w:val="24"/>
          <w:szCs w:val="24"/>
          <w:lang w:val="uk-UA" w:eastAsia="ru-RU"/>
        </w:rPr>
        <w:t xml:space="preserve"> здійснювати виробничу діяльність з обробки експортних та імпортних вантажів</w:t>
      </w:r>
      <w:r w:rsidR="00C833ED">
        <w:rPr>
          <w:rFonts w:ascii="Times New Roman" w:eastAsia="Calibri" w:hAnsi="Times New Roman" w:cs="Times New Roman"/>
          <w:color w:val="000000"/>
          <w:sz w:val="24"/>
          <w:szCs w:val="24"/>
          <w:lang w:val="uk-UA" w:eastAsia="ru-RU"/>
        </w:rPr>
        <w:t>.</w:t>
      </w:r>
      <w:r w:rsidRPr="007620A2">
        <w:rPr>
          <w:rFonts w:ascii="Times New Roman" w:eastAsia="Calibri" w:hAnsi="Times New Roman" w:cs="Times New Roman"/>
          <w:color w:val="000000"/>
          <w:sz w:val="24"/>
          <w:szCs w:val="24"/>
          <w:lang w:val="uk-UA" w:eastAsia="ru-RU"/>
        </w:rPr>
        <w:t xml:space="preserve"> Більшість підприємств портової галузі  перебувають в повному або частковому простої. </w:t>
      </w:r>
    </w:p>
    <w:p w14:paraId="2B3BAAC4" w14:textId="5022AF30" w:rsidR="000B04B1" w:rsidRPr="007620A2" w:rsidRDefault="00C833ED" w:rsidP="000B04B1">
      <w:pPr>
        <w:spacing w:after="0" w:line="240" w:lineRule="auto"/>
        <w:ind w:firstLine="567"/>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 xml:space="preserve">Однак, </w:t>
      </w:r>
      <w:r w:rsidR="003702C1">
        <w:rPr>
          <w:rFonts w:ascii="Times New Roman" w:eastAsia="Calibri" w:hAnsi="Times New Roman" w:cs="Times New Roman"/>
          <w:color w:val="000000"/>
          <w:sz w:val="24"/>
          <w:szCs w:val="24"/>
          <w:lang w:val="uk-UA" w:eastAsia="ru-RU"/>
        </w:rPr>
        <w:t>попри</w:t>
      </w:r>
      <w:r>
        <w:rPr>
          <w:rFonts w:ascii="Times New Roman" w:eastAsia="Calibri" w:hAnsi="Times New Roman" w:cs="Times New Roman"/>
          <w:color w:val="000000"/>
          <w:sz w:val="24"/>
          <w:szCs w:val="24"/>
          <w:lang w:val="uk-UA" w:eastAsia="ru-RU"/>
        </w:rPr>
        <w:t xml:space="preserve"> труднощі воєнного часу, </w:t>
      </w:r>
      <w:r w:rsidR="000B04B1" w:rsidRPr="007620A2">
        <w:rPr>
          <w:rFonts w:ascii="Times New Roman" w:eastAsia="Calibri" w:hAnsi="Times New Roman" w:cs="Times New Roman"/>
          <w:color w:val="000000"/>
          <w:sz w:val="24"/>
          <w:szCs w:val="24"/>
          <w:lang w:val="uk-UA" w:eastAsia="ru-RU"/>
        </w:rPr>
        <w:t xml:space="preserve"> окремим портовим операторам вдалося </w:t>
      </w:r>
      <w:r>
        <w:rPr>
          <w:rFonts w:ascii="Times New Roman" w:eastAsia="Calibri" w:hAnsi="Times New Roman" w:cs="Times New Roman"/>
          <w:color w:val="000000"/>
          <w:sz w:val="24"/>
          <w:szCs w:val="24"/>
          <w:lang w:val="uk-UA" w:eastAsia="ru-RU"/>
        </w:rPr>
        <w:t>в поточному році</w:t>
      </w:r>
      <w:r w:rsidRPr="007620A2">
        <w:rPr>
          <w:rFonts w:ascii="Times New Roman" w:eastAsia="Calibri" w:hAnsi="Times New Roman" w:cs="Times New Roman"/>
          <w:color w:val="000000"/>
          <w:sz w:val="24"/>
          <w:szCs w:val="24"/>
          <w:lang w:val="uk-UA" w:eastAsia="ru-RU"/>
        </w:rPr>
        <w:t xml:space="preserve"> </w:t>
      </w:r>
      <w:r w:rsidR="000B04B1" w:rsidRPr="007620A2">
        <w:rPr>
          <w:rFonts w:ascii="Times New Roman" w:eastAsia="Calibri" w:hAnsi="Times New Roman" w:cs="Times New Roman"/>
          <w:color w:val="000000"/>
          <w:sz w:val="24"/>
          <w:szCs w:val="24"/>
          <w:lang w:val="uk-UA" w:eastAsia="ru-RU"/>
        </w:rPr>
        <w:t>наростити обсяги вантажопереробки, зокрема вантажів зернових та інших сипучих вантажів</w:t>
      </w:r>
      <w:r w:rsidR="00CA06D1">
        <w:rPr>
          <w:rFonts w:ascii="Times New Roman" w:eastAsia="Calibri" w:hAnsi="Times New Roman" w:cs="Times New Roman"/>
          <w:color w:val="000000"/>
          <w:sz w:val="24"/>
          <w:szCs w:val="24"/>
          <w:lang w:val="uk-UA" w:eastAsia="ru-RU"/>
        </w:rPr>
        <w:t xml:space="preserve"> </w:t>
      </w:r>
      <w:r w:rsidR="000B04B1" w:rsidRPr="007620A2">
        <w:rPr>
          <w:rFonts w:ascii="Times New Roman" w:eastAsia="Calibri" w:hAnsi="Times New Roman" w:cs="Times New Roman"/>
          <w:color w:val="000000"/>
          <w:sz w:val="24"/>
          <w:szCs w:val="24"/>
          <w:lang w:val="uk-UA" w:eastAsia="ru-RU"/>
        </w:rPr>
        <w:t>(комбікорм, шрот, соя тощо).</w:t>
      </w:r>
    </w:p>
    <w:p w14:paraId="2B12EEAE" w14:textId="17FD15F2" w:rsidR="000B04B1" w:rsidRPr="007620A2" w:rsidRDefault="00FB252C" w:rsidP="000B04B1">
      <w:pPr>
        <w:spacing w:after="0" w:line="240" w:lineRule="auto"/>
        <w:ind w:firstLine="567"/>
        <w:jc w:val="both"/>
        <w:rPr>
          <w:rFonts w:ascii="Times New Roman" w:eastAsia="Calibri"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 xml:space="preserve">Наразі, </w:t>
      </w:r>
      <w:r w:rsidR="00EA197A">
        <w:rPr>
          <w:rFonts w:ascii="Times New Roman" w:eastAsia="Calibri" w:hAnsi="Times New Roman" w:cs="Times New Roman"/>
          <w:color w:val="000000"/>
          <w:sz w:val="24"/>
          <w:szCs w:val="24"/>
          <w:lang w:val="uk-UA" w:eastAsia="ru-RU"/>
        </w:rPr>
        <w:t xml:space="preserve">тривалість військових </w:t>
      </w:r>
      <w:r w:rsidR="000B04B1" w:rsidRPr="007620A2">
        <w:rPr>
          <w:rFonts w:ascii="Times New Roman" w:eastAsia="Calibri" w:hAnsi="Times New Roman" w:cs="Times New Roman"/>
          <w:color w:val="000000"/>
          <w:sz w:val="24"/>
          <w:szCs w:val="24"/>
          <w:lang w:val="uk-UA" w:eastAsia="ru-RU"/>
        </w:rPr>
        <w:t>ді</w:t>
      </w:r>
      <w:r w:rsidR="00EA197A">
        <w:rPr>
          <w:rFonts w:ascii="Times New Roman" w:eastAsia="Calibri" w:hAnsi="Times New Roman" w:cs="Times New Roman"/>
          <w:color w:val="000000"/>
          <w:sz w:val="24"/>
          <w:szCs w:val="24"/>
          <w:lang w:val="uk-UA" w:eastAsia="ru-RU"/>
        </w:rPr>
        <w:t>й</w:t>
      </w:r>
      <w:r w:rsidR="000B04B1" w:rsidRPr="007620A2">
        <w:rPr>
          <w:rFonts w:ascii="Times New Roman" w:eastAsia="Calibri" w:hAnsi="Times New Roman" w:cs="Times New Roman"/>
          <w:color w:val="000000"/>
          <w:sz w:val="24"/>
          <w:szCs w:val="24"/>
          <w:lang w:val="uk-UA" w:eastAsia="ru-RU"/>
        </w:rPr>
        <w:t xml:space="preserve"> є єдиним джерелом невизначеності, яке може викликати сумніви щодо здатності транспортних підприємств міста  продовжувати свою діяльність на повну потужність.</w:t>
      </w:r>
    </w:p>
    <w:p w14:paraId="105B5C03" w14:textId="16834F2A" w:rsidR="000B04B1" w:rsidRPr="007620A2" w:rsidRDefault="00EA197A" w:rsidP="000B04B1">
      <w:pPr>
        <w:spacing w:after="0" w:line="240" w:lineRule="auto"/>
        <w:ind w:firstLine="567"/>
        <w:jc w:val="both"/>
        <w:rPr>
          <w:rFonts w:ascii="Times New Roman" w:eastAsia="Calibri" w:hAnsi="Times New Roman" w:cs="Times New Roman"/>
          <w:b/>
          <w:bCs/>
          <w:color w:val="000000"/>
          <w:sz w:val="24"/>
          <w:szCs w:val="24"/>
          <w:lang w:val="uk-UA" w:eastAsia="ru-RU"/>
        </w:rPr>
      </w:pPr>
      <w:r>
        <w:rPr>
          <w:rFonts w:ascii="Times New Roman" w:eastAsia="Calibri" w:hAnsi="Times New Roman" w:cs="Times New Roman"/>
          <w:b/>
          <w:bCs/>
          <w:color w:val="000000"/>
          <w:sz w:val="24"/>
          <w:szCs w:val="24"/>
          <w:lang w:val="uk-UA" w:eastAsia="ru-RU"/>
        </w:rPr>
        <w:t>О</w:t>
      </w:r>
      <w:r w:rsidR="000B04B1" w:rsidRPr="007620A2">
        <w:rPr>
          <w:rFonts w:ascii="Times New Roman" w:eastAsia="Calibri" w:hAnsi="Times New Roman" w:cs="Times New Roman"/>
          <w:b/>
          <w:bCs/>
          <w:color w:val="000000"/>
          <w:sz w:val="24"/>
          <w:szCs w:val="24"/>
          <w:lang w:val="uk-UA" w:eastAsia="ru-RU"/>
        </w:rPr>
        <w:t>чікувані обсяги вантажопереробки в 2024 році прогнозуються на рівні 25,3 млн тон</w:t>
      </w:r>
      <w:r w:rsidR="00E85CC5">
        <w:rPr>
          <w:rFonts w:ascii="Times New Roman" w:eastAsia="Calibri" w:hAnsi="Times New Roman" w:cs="Times New Roman"/>
          <w:b/>
          <w:bCs/>
          <w:color w:val="000000"/>
          <w:sz w:val="24"/>
          <w:szCs w:val="24"/>
          <w:lang w:val="uk-UA" w:eastAsia="ru-RU"/>
        </w:rPr>
        <w:t>н</w:t>
      </w:r>
      <w:r w:rsidR="000B04B1" w:rsidRPr="007620A2">
        <w:rPr>
          <w:rFonts w:ascii="Times New Roman" w:eastAsia="Calibri" w:hAnsi="Times New Roman" w:cs="Times New Roman"/>
          <w:b/>
          <w:bCs/>
          <w:color w:val="000000"/>
          <w:sz w:val="24"/>
          <w:szCs w:val="24"/>
          <w:lang w:val="uk-UA" w:eastAsia="ru-RU"/>
        </w:rPr>
        <w:t>,  що в 2,2 раз</w:t>
      </w:r>
      <w:r w:rsidR="00E85CC5">
        <w:rPr>
          <w:rFonts w:ascii="Times New Roman" w:eastAsia="Calibri" w:hAnsi="Times New Roman" w:cs="Times New Roman"/>
          <w:b/>
          <w:bCs/>
          <w:color w:val="000000"/>
          <w:sz w:val="24"/>
          <w:szCs w:val="24"/>
          <w:lang w:val="uk-UA" w:eastAsia="ru-RU"/>
        </w:rPr>
        <w:t>а</w:t>
      </w:r>
      <w:r w:rsidR="000B04B1" w:rsidRPr="007620A2">
        <w:rPr>
          <w:rFonts w:ascii="Times New Roman" w:eastAsia="Calibri" w:hAnsi="Times New Roman" w:cs="Times New Roman"/>
          <w:b/>
          <w:bCs/>
          <w:color w:val="000000"/>
          <w:sz w:val="24"/>
          <w:szCs w:val="24"/>
          <w:lang w:val="uk-UA" w:eastAsia="ru-RU"/>
        </w:rPr>
        <w:t xml:space="preserve"> більше показника 2023 року (2023 рік – 11,42 млн тон</w:t>
      </w:r>
      <w:r w:rsidR="003702C1">
        <w:rPr>
          <w:rFonts w:ascii="Times New Roman" w:eastAsia="Calibri" w:hAnsi="Times New Roman" w:cs="Times New Roman"/>
          <w:b/>
          <w:bCs/>
          <w:color w:val="000000"/>
          <w:sz w:val="24"/>
          <w:szCs w:val="24"/>
          <w:lang w:val="uk-UA" w:eastAsia="ru-RU"/>
        </w:rPr>
        <w:t>н</w:t>
      </w:r>
      <w:r w:rsidR="000B04B1" w:rsidRPr="007620A2">
        <w:rPr>
          <w:rFonts w:ascii="Times New Roman" w:eastAsia="Calibri" w:hAnsi="Times New Roman" w:cs="Times New Roman"/>
          <w:b/>
          <w:bCs/>
          <w:color w:val="000000"/>
          <w:sz w:val="24"/>
          <w:szCs w:val="24"/>
          <w:lang w:val="uk-UA" w:eastAsia="ru-RU"/>
        </w:rPr>
        <w:t>). Прогноз вантажопереробки на 2025 рік  - 22,0 млн тон</w:t>
      </w:r>
      <w:r w:rsidR="00E85CC5">
        <w:rPr>
          <w:rFonts w:ascii="Times New Roman" w:eastAsia="Calibri" w:hAnsi="Times New Roman" w:cs="Times New Roman"/>
          <w:b/>
          <w:bCs/>
          <w:color w:val="000000"/>
          <w:sz w:val="24"/>
          <w:szCs w:val="24"/>
          <w:lang w:val="uk-UA" w:eastAsia="ru-RU"/>
        </w:rPr>
        <w:t>н</w:t>
      </w:r>
      <w:r w:rsidR="000B04B1" w:rsidRPr="007620A2">
        <w:rPr>
          <w:rFonts w:ascii="Times New Roman" w:eastAsia="Calibri" w:hAnsi="Times New Roman" w:cs="Times New Roman"/>
          <w:b/>
          <w:bCs/>
          <w:color w:val="000000"/>
          <w:sz w:val="24"/>
          <w:szCs w:val="24"/>
          <w:lang w:val="uk-UA" w:eastAsia="ru-RU"/>
        </w:rPr>
        <w:t>.</w:t>
      </w:r>
    </w:p>
    <w:p w14:paraId="1BE5878E" w14:textId="51889278" w:rsidR="000B04B1" w:rsidRPr="007620A2" w:rsidRDefault="000B04B1" w:rsidP="000B04B1">
      <w:pPr>
        <w:spacing w:after="0" w:line="240" w:lineRule="auto"/>
        <w:ind w:firstLine="567"/>
        <w:jc w:val="both"/>
        <w:rPr>
          <w:rFonts w:ascii="Times New Roman" w:eastAsia="Times New Roman" w:hAnsi="Times New Roman" w:cs="Times New Roman"/>
          <w:bCs/>
          <w:color w:val="000000" w:themeColor="text1"/>
          <w:sz w:val="24"/>
          <w:szCs w:val="24"/>
          <w:lang w:val="uk-UA" w:eastAsia="ru-RU"/>
        </w:rPr>
      </w:pPr>
      <w:r w:rsidRPr="007620A2">
        <w:rPr>
          <w:rFonts w:ascii="Times New Roman" w:eastAsia="Calibri" w:hAnsi="Times New Roman" w:cs="Times New Roman"/>
          <w:color w:val="000000"/>
          <w:sz w:val="24"/>
          <w:szCs w:val="24"/>
          <w:lang w:val="uk-UA" w:eastAsia="ru-RU"/>
        </w:rPr>
        <w:t xml:space="preserve">Основні підприємства, які здійснюють діяльність на  території морського порту «Чорноморськ»:  Чорноморська філія ДП «АМПУ»,  </w:t>
      </w:r>
      <w:r w:rsidRPr="007620A2">
        <w:rPr>
          <w:rFonts w:ascii="Times New Roman" w:eastAsia="Times New Roman" w:hAnsi="Times New Roman" w:cs="Times New Roman"/>
          <w:bCs/>
          <w:color w:val="000000"/>
          <w:sz w:val="24"/>
          <w:szCs w:val="24"/>
          <w:lang w:val="uk-UA" w:eastAsia="ru-RU"/>
        </w:rPr>
        <w:t>ДП «МТП Чорноморськ», ТОВ «Порт-Сервіс», ТОВ «Фрам Шиппінг Едженсі», ТОВ «Транс-Сервіс», ТОВ «ТЕК-Транс Груп Форвард», ТОВ «Олір Ресорсіз», ТОВ «Еко-Ресурс-Холдинг», ТОВ «Трансбалктермінал»,  ТОВ «СП Рисоіл Термінал», ТОВ «Спеціалізований зерновий термінал «Чорноморськ»,                ТОВ «Трансгрейнтермінал», ТОВ «Компанія Крентон Україна», ТОВ «Трайгон Експорт», ТОВ «Універсальний термінал Рисоіл», СВ ПП,  ТОВ «Іллічівський зерновий термінал», ТОВ «Чорноморський рибний порт».</w:t>
      </w:r>
    </w:p>
    <w:p w14:paraId="65A87FF8" w14:textId="77777777" w:rsidR="00EA197A" w:rsidRDefault="00EA197A" w:rsidP="000B04B1">
      <w:pPr>
        <w:keepLines/>
        <w:spacing w:after="0" w:line="240" w:lineRule="auto"/>
        <w:jc w:val="center"/>
        <w:rPr>
          <w:rFonts w:ascii="Times New Roman" w:eastAsia="Times New Roman" w:hAnsi="Times New Roman" w:cs="Times New Roman"/>
          <w:b/>
          <w:color w:val="000000"/>
          <w:sz w:val="24"/>
          <w:szCs w:val="24"/>
          <w:lang w:val="uk-UA" w:eastAsia="ru-RU"/>
        </w:rPr>
      </w:pPr>
    </w:p>
    <w:p w14:paraId="4F8E095C" w14:textId="77777777" w:rsidR="000B04B1" w:rsidRPr="007620A2" w:rsidRDefault="000B04B1" w:rsidP="000B04B1">
      <w:pPr>
        <w:keepLines/>
        <w:spacing w:after="0" w:line="240" w:lineRule="auto"/>
        <w:jc w:val="center"/>
        <w:rPr>
          <w:rFonts w:ascii="Times New Roman" w:eastAsia="Times New Roman" w:hAnsi="Times New Roman" w:cs="Times New Roman"/>
          <w:b/>
          <w:color w:val="000000"/>
          <w:sz w:val="28"/>
          <w:szCs w:val="28"/>
          <w:vertAlign w:val="superscript"/>
          <w:lang w:val="uk-UA" w:eastAsia="ru-RU"/>
        </w:rPr>
      </w:pPr>
      <w:r w:rsidRPr="007620A2">
        <w:rPr>
          <w:rFonts w:ascii="Times New Roman" w:eastAsia="Times New Roman" w:hAnsi="Times New Roman" w:cs="Times New Roman"/>
          <w:b/>
          <w:color w:val="000000"/>
          <w:sz w:val="24"/>
          <w:szCs w:val="24"/>
          <w:lang w:val="uk-UA" w:eastAsia="ru-RU"/>
        </w:rPr>
        <w:t>Вантажні перевезення автомобільним транспортом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4200"/>
      </w:tblGrid>
      <w:tr w:rsidR="000B04B1" w:rsidRPr="007620A2" w14:paraId="28FDA2D6" w14:textId="77777777" w:rsidTr="000B04B1">
        <w:trPr>
          <w:trHeight w:val="369"/>
        </w:trPr>
        <w:tc>
          <w:tcPr>
            <w:tcW w:w="2786" w:type="pct"/>
            <w:shd w:val="clear" w:color="FFFFFF" w:fill="FFFFFF"/>
            <w:noWrap/>
            <w:vAlign w:val="center"/>
            <w:hideMark/>
          </w:tcPr>
          <w:p w14:paraId="1709DFCC" w14:textId="77777777" w:rsidR="000B04B1" w:rsidRPr="007620A2" w:rsidRDefault="000B04B1" w:rsidP="000B04B1">
            <w:pPr>
              <w:spacing w:after="0" w:line="400" w:lineRule="exact"/>
              <w:jc w:val="center"/>
              <w:rPr>
                <w:rFonts w:ascii="Times New Roman" w:eastAsia="Times New Roman" w:hAnsi="Times New Roman" w:cs="Times New Roman"/>
                <w:color w:val="000000"/>
                <w:sz w:val="24"/>
                <w:szCs w:val="24"/>
                <w:lang w:val="uk-UA" w:eastAsia="uk-UA"/>
              </w:rPr>
            </w:pPr>
            <w:r w:rsidRPr="007620A2">
              <w:rPr>
                <w:rFonts w:ascii="Times New Roman" w:eastAsia="Times New Roman" w:hAnsi="Times New Roman" w:cs="Times New Roman"/>
                <w:color w:val="000000"/>
                <w:sz w:val="24"/>
                <w:szCs w:val="24"/>
                <w:lang w:val="uk-UA" w:eastAsia="uk-UA"/>
              </w:rPr>
              <w:t>Показники</w:t>
            </w:r>
          </w:p>
        </w:tc>
        <w:tc>
          <w:tcPr>
            <w:tcW w:w="2214" w:type="pct"/>
            <w:shd w:val="clear" w:color="FFFFFF" w:fill="FFFFFF"/>
          </w:tcPr>
          <w:p w14:paraId="70DB529F" w14:textId="77777777" w:rsidR="000B04B1" w:rsidRPr="007620A2" w:rsidRDefault="000B04B1" w:rsidP="000B04B1">
            <w:pPr>
              <w:keepLines/>
              <w:spacing w:after="0" w:line="400" w:lineRule="exact"/>
              <w:jc w:val="center"/>
              <w:rPr>
                <w:rFonts w:ascii="Times New Roman" w:eastAsia="Times New Roman" w:hAnsi="Times New Roman" w:cs="Times New Roman"/>
                <w:color w:val="000000"/>
                <w:sz w:val="24"/>
                <w:szCs w:val="24"/>
                <w:lang w:val="uk-UA" w:eastAsia="uk-UA"/>
              </w:rPr>
            </w:pPr>
            <w:r w:rsidRPr="007620A2">
              <w:rPr>
                <w:rFonts w:ascii="Times New Roman" w:eastAsia="Times New Roman" w:hAnsi="Times New Roman" w:cs="Times New Roman"/>
                <w:color w:val="000000"/>
                <w:sz w:val="24"/>
                <w:szCs w:val="24"/>
                <w:lang w:val="uk-UA" w:eastAsia="uk-UA"/>
              </w:rPr>
              <w:t>Січень–червень 2024р.</w:t>
            </w:r>
          </w:p>
        </w:tc>
      </w:tr>
      <w:tr w:rsidR="000B04B1" w:rsidRPr="007620A2" w14:paraId="637FA69A" w14:textId="77777777" w:rsidTr="000B04B1">
        <w:trPr>
          <w:trHeight w:val="394"/>
        </w:trPr>
        <w:tc>
          <w:tcPr>
            <w:tcW w:w="2786" w:type="pct"/>
            <w:shd w:val="clear" w:color="auto" w:fill="auto"/>
            <w:vAlign w:val="bottom"/>
            <w:hideMark/>
          </w:tcPr>
          <w:p w14:paraId="255CB600" w14:textId="77777777" w:rsidR="000B04B1" w:rsidRPr="007620A2" w:rsidRDefault="000B04B1" w:rsidP="000B04B1">
            <w:pPr>
              <w:spacing w:after="0" w:line="400" w:lineRule="exact"/>
              <w:rPr>
                <w:rFonts w:ascii="Times New Roman" w:eastAsia="Times New Roman" w:hAnsi="Times New Roman" w:cs="Times New Roman"/>
                <w:color w:val="000000"/>
                <w:sz w:val="24"/>
                <w:szCs w:val="24"/>
                <w:lang w:val="uk-UA" w:eastAsia="uk-UA"/>
              </w:rPr>
            </w:pPr>
            <w:r w:rsidRPr="007620A2">
              <w:rPr>
                <w:rFonts w:ascii="Times New Roman" w:eastAsia="Times New Roman" w:hAnsi="Times New Roman" w:cs="Times New Roman"/>
                <w:color w:val="000000"/>
                <w:sz w:val="24"/>
                <w:szCs w:val="24"/>
                <w:lang w:val="uk-UA" w:eastAsia="uk-UA"/>
              </w:rPr>
              <w:t>Обсяг перевезених вантажів, тис. тон</w:t>
            </w:r>
          </w:p>
        </w:tc>
        <w:tc>
          <w:tcPr>
            <w:tcW w:w="2214" w:type="pct"/>
          </w:tcPr>
          <w:p w14:paraId="70BED1B3" w14:textId="77777777" w:rsidR="000B04B1" w:rsidRPr="007620A2" w:rsidRDefault="000B04B1" w:rsidP="000B04B1">
            <w:pPr>
              <w:spacing w:after="0" w:line="400" w:lineRule="exact"/>
              <w:jc w:val="right"/>
              <w:rPr>
                <w:rFonts w:ascii="Times New Roman" w:eastAsia="Times New Roman" w:hAnsi="Times New Roman" w:cs="Times New Roman"/>
                <w:color w:val="000000"/>
                <w:sz w:val="24"/>
                <w:szCs w:val="24"/>
                <w:lang w:val="uk-UA" w:eastAsia="uk-UA"/>
              </w:rPr>
            </w:pPr>
            <w:r w:rsidRPr="007620A2">
              <w:rPr>
                <w:rFonts w:ascii="Times New Roman" w:eastAsia="Times New Roman" w:hAnsi="Times New Roman" w:cs="Times New Roman"/>
                <w:color w:val="000000"/>
                <w:sz w:val="24"/>
                <w:szCs w:val="24"/>
                <w:lang w:val="uk-UA" w:eastAsia="uk-UA"/>
              </w:rPr>
              <w:t>12,6</w:t>
            </w:r>
          </w:p>
        </w:tc>
      </w:tr>
      <w:tr w:rsidR="000B04B1" w:rsidRPr="007620A2" w14:paraId="50CE594C" w14:textId="77777777" w:rsidTr="000B04B1">
        <w:trPr>
          <w:trHeight w:val="190"/>
        </w:trPr>
        <w:tc>
          <w:tcPr>
            <w:tcW w:w="2786" w:type="pct"/>
            <w:shd w:val="clear" w:color="auto" w:fill="auto"/>
            <w:vAlign w:val="bottom"/>
            <w:hideMark/>
          </w:tcPr>
          <w:p w14:paraId="33275569" w14:textId="77777777" w:rsidR="000B04B1" w:rsidRPr="007620A2" w:rsidRDefault="000B04B1" w:rsidP="000B04B1">
            <w:pPr>
              <w:spacing w:after="0" w:line="400" w:lineRule="exact"/>
              <w:rPr>
                <w:rFonts w:ascii="Times New Roman" w:eastAsia="Times New Roman" w:hAnsi="Times New Roman" w:cs="Times New Roman"/>
                <w:color w:val="000000"/>
                <w:sz w:val="24"/>
                <w:szCs w:val="24"/>
                <w:lang w:val="uk-UA" w:eastAsia="uk-UA"/>
              </w:rPr>
            </w:pPr>
            <w:r w:rsidRPr="007620A2">
              <w:rPr>
                <w:rFonts w:ascii="Times New Roman" w:eastAsia="Times New Roman" w:hAnsi="Times New Roman" w:cs="Times New Roman"/>
                <w:color w:val="000000"/>
                <w:sz w:val="24"/>
                <w:szCs w:val="24"/>
                <w:lang w:val="uk-UA" w:eastAsia="uk-UA"/>
              </w:rPr>
              <w:t>Вантажообіг, тис. ткм</w:t>
            </w:r>
          </w:p>
        </w:tc>
        <w:tc>
          <w:tcPr>
            <w:tcW w:w="2214" w:type="pct"/>
          </w:tcPr>
          <w:p w14:paraId="07047377" w14:textId="77777777" w:rsidR="000B04B1" w:rsidRPr="007620A2" w:rsidRDefault="000B04B1" w:rsidP="000B04B1">
            <w:pPr>
              <w:spacing w:after="0" w:line="400" w:lineRule="exact"/>
              <w:jc w:val="right"/>
              <w:rPr>
                <w:rFonts w:ascii="Times New Roman" w:eastAsia="Times New Roman" w:hAnsi="Times New Roman" w:cs="Times New Roman"/>
                <w:color w:val="000000"/>
                <w:sz w:val="24"/>
                <w:szCs w:val="24"/>
                <w:lang w:val="uk-UA" w:eastAsia="uk-UA"/>
              </w:rPr>
            </w:pPr>
            <w:r w:rsidRPr="007620A2">
              <w:rPr>
                <w:rFonts w:ascii="Times New Roman" w:eastAsia="Times New Roman" w:hAnsi="Times New Roman" w:cs="Times New Roman"/>
                <w:color w:val="000000"/>
                <w:sz w:val="24"/>
                <w:szCs w:val="24"/>
                <w:lang w:val="uk-UA" w:eastAsia="uk-UA"/>
              </w:rPr>
              <w:t>7 347,8</w:t>
            </w:r>
          </w:p>
        </w:tc>
      </w:tr>
    </w:tbl>
    <w:p w14:paraId="0C423B18" w14:textId="77777777" w:rsidR="00EA197A" w:rsidRDefault="00EA197A" w:rsidP="000B04B1">
      <w:pPr>
        <w:spacing w:after="0" w:line="240" w:lineRule="auto"/>
        <w:ind w:firstLine="567"/>
        <w:jc w:val="both"/>
        <w:rPr>
          <w:rFonts w:ascii="Times New Roman" w:eastAsia="Times New Roman" w:hAnsi="Times New Roman" w:cs="Times New Roman"/>
          <w:b/>
          <w:color w:val="000000"/>
          <w:sz w:val="24"/>
          <w:szCs w:val="24"/>
          <w:lang w:val="uk-UA" w:eastAsia="ru-RU"/>
        </w:rPr>
      </w:pPr>
    </w:p>
    <w:p w14:paraId="508FA890" w14:textId="77777777" w:rsidR="002A3A89" w:rsidRDefault="002A3A89" w:rsidP="000B04B1">
      <w:pPr>
        <w:spacing w:after="0" w:line="240" w:lineRule="auto"/>
        <w:ind w:firstLine="567"/>
        <w:jc w:val="both"/>
        <w:rPr>
          <w:rFonts w:ascii="Times New Roman" w:eastAsia="Times New Roman" w:hAnsi="Times New Roman" w:cs="Times New Roman"/>
          <w:b/>
          <w:color w:val="000000"/>
          <w:sz w:val="24"/>
          <w:szCs w:val="24"/>
          <w:lang w:val="uk-UA" w:eastAsia="ru-RU"/>
        </w:rPr>
      </w:pPr>
    </w:p>
    <w:p w14:paraId="32426F09" w14:textId="77777777" w:rsidR="002A3A89" w:rsidRDefault="002A3A89" w:rsidP="000B04B1">
      <w:pPr>
        <w:spacing w:after="0" w:line="240" w:lineRule="auto"/>
        <w:ind w:firstLine="567"/>
        <w:jc w:val="both"/>
        <w:rPr>
          <w:rFonts w:ascii="Times New Roman" w:eastAsia="Times New Roman" w:hAnsi="Times New Roman" w:cs="Times New Roman"/>
          <w:b/>
          <w:color w:val="000000"/>
          <w:sz w:val="24"/>
          <w:szCs w:val="24"/>
          <w:lang w:val="uk-UA" w:eastAsia="ru-RU"/>
        </w:rPr>
      </w:pPr>
    </w:p>
    <w:p w14:paraId="39AA7420" w14:textId="77777777" w:rsidR="002A3A89" w:rsidRDefault="002A3A89" w:rsidP="000B04B1">
      <w:pPr>
        <w:spacing w:after="0" w:line="240" w:lineRule="auto"/>
        <w:ind w:firstLine="567"/>
        <w:jc w:val="both"/>
        <w:rPr>
          <w:rFonts w:ascii="Times New Roman" w:eastAsia="Times New Roman" w:hAnsi="Times New Roman" w:cs="Times New Roman"/>
          <w:b/>
          <w:color w:val="000000"/>
          <w:sz w:val="24"/>
          <w:szCs w:val="24"/>
          <w:lang w:val="uk-UA" w:eastAsia="ru-RU"/>
        </w:rPr>
      </w:pPr>
    </w:p>
    <w:p w14:paraId="3CE9B4FE" w14:textId="77777777" w:rsidR="000B04B1" w:rsidRPr="007620A2" w:rsidRDefault="000B04B1" w:rsidP="000B04B1">
      <w:pPr>
        <w:spacing w:after="0" w:line="240" w:lineRule="auto"/>
        <w:ind w:firstLine="567"/>
        <w:jc w:val="both"/>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
          <w:color w:val="000000"/>
          <w:sz w:val="24"/>
          <w:szCs w:val="24"/>
          <w:lang w:val="uk-UA" w:eastAsia="ru-RU"/>
        </w:rPr>
        <w:t>Капітальні інвестиції</w:t>
      </w:r>
    </w:p>
    <w:p w14:paraId="6CD14C16" w14:textId="040FFCD1" w:rsidR="000B04B1" w:rsidRPr="007620A2" w:rsidRDefault="000B04B1" w:rsidP="000B04B1">
      <w:pPr>
        <w:spacing w:after="0" w:line="240" w:lineRule="auto"/>
        <w:ind w:firstLine="567"/>
        <w:jc w:val="both"/>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Cs/>
          <w:color w:val="000000"/>
          <w:sz w:val="24"/>
          <w:szCs w:val="24"/>
          <w:lang w:val="uk-UA" w:eastAsia="ru-RU"/>
        </w:rPr>
        <w:t>За січень–червень  2024р. підприємствами та організаціями територіальної громади за рахунок усіх джерел фінансування освоєно 437,3</w:t>
      </w:r>
      <w:r w:rsidR="00EA197A">
        <w:rPr>
          <w:rFonts w:ascii="Times New Roman" w:eastAsia="Times New Roman" w:hAnsi="Times New Roman" w:cs="Times New Roman"/>
          <w:bCs/>
          <w:color w:val="000000"/>
          <w:sz w:val="24"/>
          <w:szCs w:val="24"/>
          <w:lang w:val="uk-UA" w:eastAsia="ru-RU"/>
        </w:rPr>
        <w:t xml:space="preserve"> </w:t>
      </w:r>
      <w:r w:rsidRPr="007620A2">
        <w:rPr>
          <w:rFonts w:ascii="Times New Roman" w:eastAsia="Times New Roman" w:hAnsi="Times New Roman" w:cs="Times New Roman"/>
          <w:bCs/>
          <w:color w:val="000000"/>
          <w:sz w:val="24"/>
          <w:szCs w:val="24"/>
          <w:lang w:val="uk-UA" w:eastAsia="ru-RU"/>
        </w:rPr>
        <w:t>млн грн  капітальних інвестицій, що на 80,7% більше аналогічного показника 2023 року  (січень–червень  2023р  - 241,97 млн грн).</w:t>
      </w:r>
    </w:p>
    <w:p w14:paraId="040C1FAD" w14:textId="77777777" w:rsidR="000B04B1" w:rsidRPr="007620A2" w:rsidRDefault="000B04B1" w:rsidP="000B04B1">
      <w:pPr>
        <w:spacing w:after="0" w:line="240" w:lineRule="auto"/>
        <w:ind w:firstLine="567"/>
        <w:jc w:val="both"/>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Cs/>
          <w:color w:val="000000"/>
          <w:sz w:val="24"/>
          <w:szCs w:val="24"/>
          <w:lang w:val="uk-UA" w:eastAsia="ru-RU"/>
        </w:rPr>
        <w:t>Найвагомішу частку капітальних інвестицій (85,4% загального обсягу) спрямовано у матеріальні активи, у тому числі у житлові та  нежитлові будівлі – 9,8% усіх інвестицій, 15,0% – в інженерні споруди. Інвестиції у придбання машин, обладнання, інвентарю та транспортних засобів 49,6 % загального обсягу капітальних інвестицій,  придбання та створення інших матеріальних активів – 11%. У нематеріальні активи вкладено 14,6% загального обсягу капітальних інвестицій.</w:t>
      </w:r>
    </w:p>
    <w:p w14:paraId="6027D490" w14:textId="77777777" w:rsidR="000B04B1" w:rsidRPr="007620A2" w:rsidRDefault="000B04B1" w:rsidP="000B04B1">
      <w:pPr>
        <w:spacing w:after="0" w:line="240" w:lineRule="auto"/>
        <w:ind w:firstLine="567"/>
        <w:jc w:val="both"/>
        <w:rPr>
          <w:rFonts w:ascii="Times New Roman" w:eastAsia="Times New Roman" w:hAnsi="Times New Roman" w:cs="Times New Roman"/>
          <w:bCs/>
          <w:color w:val="000000"/>
          <w:sz w:val="24"/>
          <w:szCs w:val="24"/>
          <w:lang w:val="uk-UA" w:eastAsia="ru-RU"/>
        </w:rPr>
      </w:pPr>
      <w:r w:rsidRPr="007620A2">
        <w:rPr>
          <w:rFonts w:ascii="Times New Roman" w:eastAsia="Times New Roman" w:hAnsi="Times New Roman" w:cs="Times New Roman"/>
          <w:bCs/>
          <w:color w:val="000000"/>
          <w:sz w:val="24"/>
          <w:szCs w:val="24"/>
          <w:lang w:val="uk-UA" w:eastAsia="ru-RU"/>
        </w:rPr>
        <w:t xml:space="preserve">Головним джерелом фінансування капітальних інвестицій, як і раніше, залишаються власні кошти підприємств та організацій, за рахунок яких освоєно 88,85% усіх коштів. За рахунок державного та місцевих бюджетів освоєно 5% усіх вкладень. </w:t>
      </w:r>
    </w:p>
    <w:p w14:paraId="7312724C" w14:textId="77777777" w:rsidR="000B04B1" w:rsidRPr="007620A2" w:rsidRDefault="000B04B1" w:rsidP="000B04B1">
      <w:pPr>
        <w:spacing w:after="0" w:line="240" w:lineRule="auto"/>
        <w:ind w:firstLine="567"/>
        <w:jc w:val="both"/>
        <w:rPr>
          <w:rFonts w:ascii="Times New Roman" w:eastAsia="Calibri" w:hAnsi="Times New Roman" w:cs="Times New Roman"/>
          <w:b/>
          <w:color w:val="000000"/>
          <w:sz w:val="24"/>
          <w:szCs w:val="24"/>
          <w:lang w:val="uk-UA"/>
        </w:rPr>
      </w:pPr>
      <w:r w:rsidRPr="007620A2">
        <w:rPr>
          <w:rFonts w:ascii="Times New Roman" w:eastAsia="Times New Roman" w:hAnsi="Times New Roman" w:cs="Times New Roman"/>
          <w:bCs/>
          <w:color w:val="000000"/>
          <w:sz w:val="24"/>
          <w:szCs w:val="24"/>
          <w:lang w:val="uk-UA" w:eastAsia="ru-RU"/>
        </w:rPr>
        <w:t xml:space="preserve"> </w:t>
      </w:r>
      <w:r w:rsidRPr="007620A2">
        <w:rPr>
          <w:rFonts w:ascii="Times New Roman" w:eastAsia="Times New Roman" w:hAnsi="Times New Roman" w:cs="Times New Roman"/>
          <w:b/>
          <w:bCs/>
          <w:color w:val="000000"/>
          <w:sz w:val="24"/>
          <w:szCs w:val="24"/>
          <w:lang w:val="uk-UA" w:eastAsia="uk-UA"/>
        </w:rPr>
        <w:t>Очікуваний показник капітальних інвестицій за 2024 рік – 874,6 млн грн. Прогноз на 2025 рік – 756,2 млн грн.</w:t>
      </w:r>
    </w:p>
    <w:p w14:paraId="25B7D395" w14:textId="790A37DF" w:rsidR="000B04B1" w:rsidRPr="007620A2" w:rsidRDefault="000B04B1" w:rsidP="000B04B1">
      <w:pPr>
        <w:tabs>
          <w:tab w:val="left" w:pos="3540"/>
        </w:tabs>
        <w:spacing w:after="0" w:line="280" w:lineRule="exact"/>
        <w:jc w:val="both"/>
        <w:outlineLvl w:val="0"/>
        <w:rPr>
          <w:rFonts w:ascii="Times New Roman" w:eastAsia="Calibri" w:hAnsi="Times New Roman" w:cs="Times New Roman"/>
          <w:b/>
          <w:bCs/>
          <w:color w:val="000000"/>
          <w:kern w:val="28"/>
          <w:sz w:val="24"/>
          <w:szCs w:val="24"/>
          <w:lang w:val="uk-UA" w:eastAsia="ru-RU"/>
        </w:rPr>
      </w:pPr>
      <w:r w:rsidRPr="007620A2">
        <w:rPr>
          <w:rFonts w:ascii="Times New Roman" w:eastAsia="Calibri" w:hAnsi="Times New Roman" w:cs="Times New Roman"/>
          <w:b/>
          <w:bCs/>
          <w:color w:val="000000"/>
          <w:kern w:val="28"/>
          <w:sz w:val="24"/>
          <w:szCs w:val="24"/>
          <w:lang w:val="uk-UA" w:eastAsia="ru-RU"/>
        </w:rPr>
        <w:t xml:space="preserve">       Будівництво</w:t>
      </w:r>
    </w:p>
    <w:p w14:paraId="183CCC47" w14:textId="7048FB0C" w:rsidR="000B04B1" w:rsidRPr="007620A2" w:rsidRDefault="000B04B1" w:rsidP="000B04B1">
      <w:pPr>
        <w:tabs>
          <w:tab w:val="left" w:pos="5280"/>
          <w:tab w:val="left" w:pos="5385"/>
        </w:tabs>
        <w:spacing w:after="0" w:line="280" w:lineRule="exact"/>
        <w:ind w:firstLine="567"/>
        <w:jc w:val="both"/>
        <w:outlineLvl w:val="0"/>
        <w:rPr>
          <w:rFonts w:ascii="Times New Roman" w:eastAsia="Calibri" w:hAnsi="Times New Roman" w:cs="Times New Roman"/>
          <w:color w:val="000000"/>
          <w:kern w:val="28"/>
          <w:sz w:val="24"/>
          <w:szCs w:val="24"/>
          <w:lang w:val="uk-UA" w:eastAsia="ru-RU"/>
        </w:rPr>
      </w:pPr>
      <w:r w:rsidRPr="007620A2">
        <w:rPr>
          <w:rFonts w:ascii="Times New Roman" w:eastAsia="Calibri" w:hAnsi="Times New Roman" w:cs="Times New Roman"/>
          <w:color w:val="000000"/>
          <w:kern w:val="28"/>
          <w:sz w:val="24"/>
          <w:szCs w:val="24"/>
          <w:lang w:val="uk-UA" w:eastAsia="ru-RU"/>
        </w:rPr>
        <w:t xml:space="preserve">За січень – червень  2024 року підприємствами територіальної громади, що працювали за будівельними контрактами, виконано будівельних робіт  на 14,68  млн.  грн, що на 66,6% більше аналогічного показника 2023 року  (січень – червень  2023  - 8,81 млн грн).  </w:t>
      </w:r>
    </w:p>
    <w:p w14:paraId="6F758EC4" w14:textId="4C9967DD" w:rsidR="000B04B1" w:rsidRPr="007620A2" w:rsidRDefault="000B04B1" w:rsidP="000B04B1">
      <w:pPr>
        <w:tabs>
          <w:tab w:val="left" w:pos="5280"/>
          <w:tab w:val="left" w:pos="5385"/>
        </w:tabs>
        <w:spacing w:after="0" w:line="280" w:lineRule="exact"/>
        <w:ind w:firstLine="567"/>
        <w:jc w:val="both"/>
        <w:outlineLvl w:val="0"/>
        <w:rPr>
          <w:rFonts w:ascii="Times New Roman" w:eastAsia="Calibri" w:hAnsi="Times New Roman" w:cs="Times New Roman"/>
          <w:color w:val="000000"/>
          <w:kern w:val="28"/>
          <w:sz w:val="24"/>
          <w:szCs w:val="24"/>
          <w:lang w:val="uk-UA" w:eastAsia="ru-RU"/>
        </w:rPr>
      </w:pPr>
      <w:r w:rsidRPr="007620A2">
        <w:rPr>
          <w:rFonts w:ascii="Times New Roman" w:eastAsia="Calibri" w:hAnsi="Times New Roman" w:cs="Times New Roman"/>
          <w:color w:val="000000"/>
          <w:kern w:val="28"/>
          <w:sz w:val="24"/>
          <w:szCs w:val="24"/>
          <w:lang w:val="uk-UA" w:eastAsia="ru-RU"/>
        </w:rPr>
        <w:t>За січень</w:t>
      </w:r>
      <w:r w:rsidR="00610417">
        <w:rPr>
          <w:rFonts w:ascii="Times New Roman" w:eastAsia="Calibri" w:hAnsi="Times New Roman" w:cs="Times New Roman"/>
          <w:color w:val="000000"/>
          <w:kern w:val="28"/>
          <w:sz w:val="24"/>
          <w:szCs w:val="24"/>
          <w:lang w:val="uk-UA" w:eastAsia="ru-RU"/>
        </w:rPr>
        <w:t xml:space="preserve"> </w:t>
      </w:r>
      <w:r w:rsidRPr="007620A2">
        <w:rPr>
          <w:rFonts w:ascii="Times New Roman" w:eastAsia="Calibri" w:hAnsi="Times New Roman" w:cs="Times New Roman"/>
          <w:color w:val="000000"/>
          <w:kern w:val="28"/>
          <w:sz w:val="24"/>
          <w:szCs w:val="24"/>
          <w:lang w:val="uk-UA" w:eastAsia="ru-RU"/>
        </w:rPr>
        <w:t>–</w:t>
      </w:r>
      <w:r w:rsidR="00610417">
        <w:rPr>
          <w:rFonts w:ascii="Times New Roman" w:eastAsia="Calibri" w:hAnsi="Times New Roman" w:cs="Times New Roman"/>
          <w:color w:val="000000"/>
          <w:kern w:val="28"/>
          <w:sz w:val="24"/>
          <w:szCs w:val="24"/>
          <w:lang w:val="uk-UA" w:eastAsia="ru-RU"/>
        </w:rPr>
        <w:t xml:space="preserve"> </w:t>
      </w:r>
      <w:r w:rsidRPr="007620A2">
        <w:rPr>
          <w:rFonts w:ascii="Times New Roman" w:eastAsia="Calibri" w:hAnsi="Times New Roman" w:cs="Times New Roman"/>
          <w:color w:val="000000"/>
          <w:kern w:val="28"/>
          <w:sz w:val="24"/>
          <w:szCs w:val="24"/>
          <w:lang w:val="uk-UA" w:eastAsia="ru-RU"/>
        </w:rPr>
        <w:t>червень 2024 року на території Чорноморської міської територіальної громади прийнято в експлуатацію 16</w:t>
      </w:r>
      <w:r w:rsidR="00610417">
        <w:rPr>
          <w:rFonts w:ascii="Times New Roman" w:eastAsia="Calibri" w:hAnsi="Times New Roman" w:cs="Times New Roman"/>
          <w:color w:val="000000"/>
          <w:kern w:val="28"/>
          <w:sz w:val="24"/>
          <w:szCs w:val="24"/>
          <w:lang w:val="uk-UA" w:eastAsia="ru-RU"/>
        </w:rPr>
        <w:t xml:space="preserve"> </w:t>
      </w:r>
      <w:r w:rsidRPr="007620A2">
        <w:rPr>
          <w:rFonts w:ascii="Times New Roman" w:eastAsia="Calibri" w:hAnsi="Times New Roman" w:cs="Times New Roman"/>
          <w:color w:val="000000"/>
          <w:kern w:val="28"/>
          <w:sz w:val="24"/>
          <w:szCs w:val="24"/>
          <w:lang w:val="uk-UA" w:eastAsia="ru-RU"/>
        </w:rPr>
        <w:t>548 кв. м житла, що  в 9,1 раз</w:t>
      </w:r>
      <w:r w:rsidR="00E85CC5">
        <w:rPr>
          <w:rFonts w:ascii="Times New Roman" w:eastAsia="Calibri" w:hAnsi="Times New Roman" w:cs="Times New Roman"/>
          <w:color w:val="000000"/>
          <w:kern w:val="28"/>
          <w:sz w:val="24"/>
          <w:szCs w:val="24"/>
          <w:lang w:val="uk-UA" w:eastAsia="ru-RU"/>
        </w:rPr>
        <w:t>а</w:t>
      </w:r>
      <w:r w:rsidRPr="007620A2">
        <w:rPr>
          <w:rFonts w:ascii="Times New Roman" w:eastAsia="Calibri" w:hAnsi="Times New Roman" w:cs="Times New Roman"/>
          <w:color w:val="000000"/>
          <w:kern w:val="28"/>
          <w:sz w:val="24"/>
          <w:szCs w:val="24"/>
          <w:lang w:val="uk-UA" w:eastAsia="ru-RU"/>
        </w:rPr>
        <w:t xml:space="preserve">  більше аналогічного показника минулого року (січень</w:t>
      </w:r>
      <w:r w:rsidR="00610417">
        <w:rPr>
          <w:rFonts w:ascii="Times New Roman" w:eastAsia="Calibri" w:hAnsi="Times New Roman" w:cs="Times New Roman"/>
          <w:color w:val="000000"/>
          <w:kern w:val="28"/>
          <w:sz w:val="24"/>
          <w:szCs w:val="24"/>
          <w:lang w:val="uk-UA" w:eastAsia="ru-RU"/>
        </w:rPr>
        <w:t xml:space="preserve"> – </w:t>
      </w:r>
      <w:r w:rsidRPr="007620A2">
        <w:rPr>
          <w:rFonts w:ascii="Times New Roman" w:eastAsia="Calibri" w:hAnsi="Times New Roman" w:cs="Times New Roman"/>
          <w:color w:val="000000"/>
          <w:kern w:val="28"/>
          <w:sz w:val="24"/>
          <w:szCs w:val="24"/>
          <w:lang w:val="uk-UA" w:eastAsia="ru-RU"/>
        </w:rPr>
        <w:t>червень 2023 – 1</w:t>
      </w:r>
      <w:r w:rsidR="00610417">
        <w:rPr>
          <w:rFonts w:ascii="Times New Roman" w:eastAsia="Calibri" w:hAnsi="Times New Roman" w:cs="Times New Roman"/>
          <w:color w:val="000000"/>
          <w:kern w:val="28"/>
          <w:sz w:val="24"/>
          <w:szCs w:val="24"/>
          <w:lang w:val="uk-UA" w:eastAsia="ru-RU"/>
        </w:rPr>
        <w:t xml:space="preserve"> </w:t>
      </w:r>
      <w:r w:rsidRPr="007620A2">
        <w:rPr>
          <w:rFonts w:ascii="Times New Roman" w:eastAsia="Calibri" w:hAnsi="Times New Roman" w:cs="Times New Roman"/>
          <w:color w:val="000000"/>
          <w:kern w:val="28"/>
          <w:sz w:val="24"/>
          <w:szCs w:val="24"/>
          <w:lang w:val="uk-UA" w:eastAsia="ru-RU"/>
        </w:rPr>
        <w:t xml:space="preserve">291 кв. м житла). </w:t>
      </w:r>
    </w:p>
    <w:p w14:paraId="378666CB" w14:textId="77777777" w:rsidR="00610417" w:rsidRDefault="00610417" w:rsidP="000B04B1">
      <w:pPr>
        <w:tabs>
          <w:tab w:val="left" w:pos="5280"/>
          <w:tab w:val="left" w:pos="5385"/>
        </w:tabs>
        <w:spacing w:after="0" w:line="280" w:lineRule="exact"/>
        <w:ind w:firstLine="567"/>
        <w:jc w:val="center"/>
        <w:outlineLvl w:val="0"/>
        <w:rPr>
          <w:rFonts w:ascii="Times New Roman" w:eastAsia="Calibri" w:hAnsi="Times New Roman" w:cs="Times New Roman"/>
          <w:b/>
          <w:color w:val="000000"/>
          <w:kern w:val="28"/>
          <w:sz w:val="24"/>
          <w:szCs w:val="24"/>
          <w:lang w:val="uk-UA" w:eastAsia="ru-RU"/>
        </w:rPr>
      </w:pPr>
    </w:p>
    <w:p w14:paraId="144CB1FA" w14:textId="77777777" w:rsidR="00610417" w:rsidRDefault="00610417" w:rsidP="00610417">
      <w:pPr>
        <w:widowControl w:val="0"/>
        <w:tabs>
          <w:tab w:val="left" w:pos="709"/>
          <w:tab w:val="left" w:pos="1276"/>
        </w:tabs>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lang w:val="uk-UA" w:eastAsia="ru-RU"/>
        </w:rPr>
      </w:pPr>
      <w:r w:rsidRPr="007620A2">
        <w:rPr>
          <w:rFonts w:ascii="Times New Roman" w:eastAsia="Times New Roman" w:hAnsi="Times New Roman" w:cs="Times New Roman"/>
          <w:b/>
          <w:bCs/>
          <w:color w:val="000000"/>
          <w:sz w:val="24"/>
          <w:szCs w:val="24"/>
          <w:lang w:val="uk-UA" w:eastAsia="ru-RU"/>
        </w:rPr>
        <w:t xml:space="preserve">Інформація щодо питомої ваги бюджетоутворюючих підприємств в  надходженнях до загального фонду бюджету Чорноморської міської територіальної громади </w:t>
      </w:r>
    </w:p>
    <w:p w14:paraId="5D547A84" w14:textId="77777777" w:rsidR="00610417" w:rsidRPr="007620A2" w:rsidRDefault="00610417" w:rsidP="00610417">
      <w:pPr>
        <w:widowControl w:val="0"/>
        <w:tabs>
          <w:tab w:val="left" w:pos="709"/>
          <w:tab w:val="left" w:pos="1276"/>
        </w:tabs>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lang w:val="uk-UA" w:eastAsia="ru-RU"/>
        </w:rPr>
      </w:pPr>
      <w:r w:rsidRPr="007620A2">
        <w:rPr>
          <w:rFonts w:ascii="Times New Roman" w:eastAsia="Times New Roman" w:hAnsi="Times New Roman" w:cs="Times New Roman"/>
          <w:b/>
          <w:bCs/>
          <w:color w:val="000000"/>
          <w:sz w:val="24"/>
          <w:szCs w:val="24"/>
          <w:lang w:val="uk-UA" w:eastAsia="ru-RU"/>
        </w:rPr>
        <w:t xml:space="preserve"> за </w:t>
      </w:r>
      <w:r w:rsidRPr="007620A2">
        <w:rPr>
          <w:rFonts w:ascii="Times New Roman" w:eastAsia="Times New Roman" w:hAnsi="Times New Roman" w:cs="Times New Roman"/>
          <w:b/>
          <w:sz w:val="24"/>
          <w:szCs w:val="24"/>
          <w:lang w:val="uk-UA" w:eastAsia="ru-RU"/>
        </w:rPr>
        <w:t>9 місяців 2024</w:t>
      </w:r>
      <w:r w:rsidRPr="007620A2">
        <w:rPr>
          <w:rFonts w:ascii="Times New Roman" w:eastAsia="Times New Roman" w:hAnsi="Times New Roman" w:cs="Times New Roman"/>
          <w:sz w:val="24"/>
          <w:szCs w:val="24"/>
          <w:lang w:val="uk-UA" w:eastAsia="ru-RU"/>
        </w:rPr>
        <w:t xml:space="preserve">  </w:t>
      </w:r>
      <w:r w:rsidRPr="007620A2">
        <w:rPr>
          <w:rFonts w:ascii="Times New Roman" w:eastAsia="Times New Roman" w:hAnsi="Times New Roman" w:cs="Times New Roman"/>
          <w:b/>
          <w:bCs/>
          <w:color w:val="000000"/>
          <w:sz w:val="24"/>
          <w:szCs w:val="24"/>
          <w:lang w:val="uk-UA" w:eastAsia="ru-RU"/>
        </w:rPr>
        <w:t>року</w:t>
      </w:r>
    </w:p>
    <w:tbl>
      <w:tblPr>
        <w:tblW w:w="9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2"/>
        <w:gridCol w:w="2268"/>
        <w:gridCol w:w="1701"/>
      </w:tblGrid>
      <w:tr w:rsidR="00610417" w:rsidRPr="007620A2" w14:paraId="1ACD74B0" w14:textId="77777777" w:rsidTr="001D722D">
        <w:tc>
          <w:tcPr>
            <w:tcW w:w="5632" w:type="dxa"/>
            <w:vAlign w:val="center"/>
          </w:tcPr>
          <w:p w14:paraId="0CED0AB9" w14:textId="77777777" w:rsidR="00610417" w:rsidRPr="007620A2" w:rsidRDefault="00610417" w:rsidP="001D722D">
            <w:pPr>
              <w:spacing w:after="0" w:line="240" w:lineRule="auto"/>
              <w:ind w:firstLine="360"/>
              <w:jc w:val="center"/>
              <w:rPr>
                <w:rFonts w:ascii="Times New Roman" w:eastAsia="SimSun" w:hAnsi="Times New Roman" w:cs="Times New Roman"/>
                <w:b/>
                <w:bCs/>
                <w:sz w:val="20"/>
                <w:szCs w:val="20"/>
                <w:lang w:val="uk-UA" w:eastAsia="ru-RU"/>
              </w:rPr>
            </w:pPr>
            <w:r w:rsidRPr="007620A2">
              <w:rPr>
                <w:rFonts w:ascii="Times New Roman" w:eastAsia="SimSun" w:hAnsi="Times New Roman" w:cs="Times New Roman"/>
                <w:b/>
                <w:bCs/>
                <w:sz w:val="20"/>
                <w:szCs w:val="20"/>
                <w:lang w:val="uk-UA" w:eastAsia="ru-RU"/>
              </w:rPr>
              <w:t>Назва платника</w:t>
            </w:r>
          </w:p>
        </w:tc>
        <w:tc>
          <w:tcPr>
            <w:tcW w:w="2268" w:type="dxa"/>
            <w:vAlign w:val="center"/>
          </w:tcPr>
          <w:p w14:paraId="7CC11CD7" w14:textId="77777777" w:rsidR="00610417" w:rsidRPr="007620A2" w:rsidRDefault="00610417" w:rsidP="001D722D">
            <w:pPr>
              <w:spacing w:after="0" w:line="240" w:lineRule="auto"/>
              <w:jc w:val="center"/>
              <w:rPr>
                <w:rFonts w:ascii="Times New Roman" w:eastAsia="SimSun" w:hAnsi="Times New Roman" w:cs="Times New Roman"/>
                <w:b/>
                <w:bCs/>
                <w:sz w:val="20"/>
                <w:szCs w:val="20"/>
                <w:lang w:val="uk-UA" w:eastAsia="ru-RU"/>
              </w:rPr>
            </w:pPr>
            <w:r w:rsidRPr="007620A2">
              <w:rPr>
                <w:rFonts w:ascii="Times New Roman" w:eastAsia="SimSun" w:hAnsi="Times New Roman" w:cs="Times New Roman"/>
                <w:b/>
                <w:bCs/>
                <w:sz w:val="20"/>
                <w:szCs w:val="20"/>
                <w:lang w:val="uk-UA" w:eastAsia="ru-RU"/>
              </w:rPr>
              <w:t>Сума податків, сплачених платником до загального фонду, тис. грн</w:t>
            </w:r>
          </w:p>
        </w:tc>
        <w:tc>
          <w:tcPr>
            <w:tcW w:w="1701" w:type="dxa"/>
            <w:vAlign w:val="center"/>
          </w:tcPr>
          <w:p w14:paraId="177C68CE" w14:textId="77777777" w:rsidR="00610417" w:rsidRPr="007620A2" w:rsidRDefault="00610417" w:rsidP="001D722D">
            <w:pPr>
              <w:spacing w:after="0" w:line="240" w:lineRule="auto"/>
              <w:jc w:val="center"/>
              <w:rPr>
                <w:rFonts w:ascii="Times New Roman" w:eastAsia="SimSun" w:hAnsi="Times New Roman" w:cs="Times New Roman"/>
                <w:b/>
                <w:bCs/>
                <w:sz w:val="20"/>
                <w:szCs w:val="20"/>
                <w:lang w:val="uk-UA" w:eastAsia="ru-RU"/>
              </w:rPr>
            </w:pPr>
            <w:r w:rsidRPr="007620A2">
              <w:rPr>
                <w:rFonts w:ascii="Times New Roman" w:eastAsia="SimSun" w:hAnsi="Times New Roman" w:cs="Times New Roman"/>
                <w:b/>
                <w:bCs/>
                <w:sz w:val="20"/>
                <w:szCs w:val="20"/>
                <w:lang w:val="uk-UA" w:eastAsia="ru-RU"/>
              </w:rPr>
              <w:t>Питома вага  сплаченого платником в загальній сумі по громаді, %</w:t>
            </w:r>
          </w:p>
        </w:tc>
      </w:tr>
      <w:tr w:rsidR="00610417" w:rsidRPr="007620A2" w14:paraId="30795BE6" w14:textId="77777777" w:rsidTr="001D722D">
        <w:trPr>
          <w:trHeight w:val="299"/>
        </w:trPr>
        <w:tc>
          <w:tcPr>
            <w:tcW w:w="5632" w:type="dxa"/>
            <w:vAlign w:val="center"/>
          </w:tcPr>
          <w:p w14:paraId="57025336"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ДП МТП "Чорноморськ"</w:t>
            </w:r>
          </w:p>
        </w:tc>
        <w:tc>
          <w:tcPr>
            <w:tcW w:w="2268" w:type="dxa"/>
            <w:vAlign w:val="bottom"/>
          </w:tcPr>
          <w:p w14:paraId="0F3F1F34"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59 878,1</w:t>
            </w:r>
          </w:p>
        </w:tc>
        <w:tc>
          <w:tcPr>
            <w:tcW w:w="1701" w:type="dxa"/>
            <w:vAlign w:val="bottom"/>
          </w:tcPr>
          <w:p w14:paraId="039CC68A"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9,0</w:t>
            </w:r>
          </w:p>
        </w:tc>
      </w:tr>
      <w:tr w:rsidR="00610417" w:rsidRPr="007620A2" w14:paraId="22F00993" w14:textId="77777777" w:rsidTr="001D722D">
        <w:trPr>
          <w:trHeight w:val="299"/>
        </w:trPr>
        <w:tc>
          <w:tcPr>
            <w:tcW w:w="5632" w:type="dxa"/>
            <w:vAlign w:val="center"/>
          </w:tcPr>
          <w:p w14:paraId="3AC75023"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Чорноморська філія ДП АМПУ (Адміністрація морських портів України)</w:t>
            </w:r>
          </w:p>
        </w:tc>
        <w:tc>
          <w:tcPr>
            <w:tcW w:w="2268" w:type="dxa"/>
            <w:vAlign w:val="bottom"/>
          </w:tcPr>
          <w:p w14:paraId="0B5A106E"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27 611,6</w:t>
            </w:r>
          </w:p>
        </w:tc>
        <w:tc>
          <w:tcPr>
            <w:tcW w:w="1701" w:type="dxa"/>
            <w:vAlign w:val="bottom"/>
          </w:tcPr>
          <w:p w14:paraId="19350AE7"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4,2</w:t>
            </w:r>
          </w:p>
        </w:tc>
      </w:tr>
      <w:tr w:rsidR="00610417" w:rsidRPr="007620A2" w14:paraId="72438C52" w14:textId="77777777" w:rsidTr="001D722D">
        <w:trPr>
          <w:trHeight w:val="299"/>
        </w:trPr>
        <w:tc>
          <w:tcPr>
            <w:tcW w:w="5632" w:type="dxa"/>
            <w:vAlign w:val="center"/>
          </w:tcPr>
          <w:p w14:paraId="6DAC1515"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СП ТОВ "Трансбалктермінал"</w:t>
            </w:r>
          </w:p>
        </w:tc>
        <w:tc>
          <w:tcPr>
            <w:tcW w:w="2268" w:type="dxa"/>
            <w:vAlign w:val="bottom"/>
          </w:tcPr>
          <w:p w14:paraId="7DB1A7CF"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21 395,0</w:t>
            </w:r>
          </w:p>
        </w:tc>
        <w:tc>
          <w:tcPr>
            <w:tcW w:w="1701" w:type="dxa"/>
            <w:vAlign w:val="bottom"/>
          </w:tcPr>
          <w:p w14:paraId="237FA0AB"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3,2</w:t>
            </w:r>
          </w:p>
        </w:tc>
      </w:tr>
      <w:tr w:rsidR="00610417" w:rsidRPr="007620A2" w14:paraId="2FDDDD61" w14:textId="77777777" w:rsidTr="001D722D">
        <w:trPr>
          <w:trHeight w:val="299"/>
        </w:trPr>
        <w:tc>
          <w:tcPr>
            <w:tcW w:w="5632" w:type="dxa"/>
            <w:vAlign w:val="center"/>
          </w:tcPr>
          <w:p w14:paraId="246B1B94"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ПАТ  "МТБ БАНК"</w:t>
            </w:r>
          </w:p>
        </w:tc>
        <w:tc>
          <w:tcPr>
            <w:tcW w:w="2268" w:type="dxa"/>
            <w:vAlign w:val="bottom"/>
          </w:tcPr>
          <w:p w14:paraId="3C0DC4EC"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19 827,3</w:t>
            </w:r>
          </w:p>
        </w:tc>
        <w:tc>
          <w:tcPr>
            <w:tcW w:w="1701" w:type="dxa"/>
            <w:vAlign w:val="bottom"/>
          </w:tcPr>
          <w:p w14:paraId="77486880"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3,0</w:t>
            </w:r>
          </w:p>
        </w:tc>
      </w:tr>
      <w:tr w:rsidR="00610417" w:rsidRPr="007620A2" w14:paraId="563D1922" w14:textId="77777777" w:rsidTr="001D722D">
        <w:trPr>
          <w:trHeight w:val="299"/>
        </w:trPr>
        <w:tc>
          <w:tcPr>
            <w:tcW w:w="5632" w:type="dxa"/>
            <w:vAlign w:val="center"/>
          </w:tcPr>
          <w:p w14:paraId="6D8294D9"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ТОВ  "Чорноморський рибний порт"</w:t>
            </w:r>
          </w:p>
        </w:tc>
        <w:tc>
          <w:tcPr>
            <w:tcW w:w="2268" w:type="dxa"/>
            <w:vAlign w:val="bottom"/>
          </w:tcPr>
          <w:p w14:paraId="45953507"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18 839,7</w:t>
            </w:r>
          </w:p>
        </w:tc>
        <w:tc>
          <w:tcPr>
            <w:tcW w:w="1701" w:type="dxa"/>
            <w:vAlign w:val="bottom"/>
          </w:tcPr>
          <w:p w14:paraId="0820327A"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2,8</w:t>
            </w:r>
          </w:p>
        </w:tc>
      </w:tr>
      <w:tr w:rsidR="00610417" w:rsidRPr="007620A2" w14:paraId="01C71C64" w14:textId="77777777" w:rsidTr="001D722D">
        <w:trPr>
          <w:trHeight w:val="299"/>
        </w:trPr>
        <w:tc>
          <w:tcPr>
            <w:tcW w:w="5632" w:type="dxa"/>
            <w:vAlign w:val="center"/>
          </w:tcPr>
          <w:p w14:paraId="00FA0AA4"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ТОВ "ІЗТ"</w:t>
            </w:r>
          </w:p>
        </w:tc>
        <w:tc>
          <w:tcPr>
            <w:tcW w:w="2268" w:type="dxa"/>
            <w:vAlign w:val="bottom"/>
          </w:tcPr>
          <w:p w14:paraId="1376EE87"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12 934,2</w:t>
            </w:r>
          </w:p>
        </w:tc>
        <w:tc>
          <w:tcPr>
            <w:tcW w:w="1701" w:type="dxa"/>
            <w:vAlign w:val="bottom"/>
          </w:tcPr>
          <w:p w14:paraId="54A96651"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2,0</w:t>
            </w:r>
          </w:p>
        </w:tc>
      </w:tr>
      <w:tr w:rsidR="00610417" w:rsidRPr="007620A2" w14:paraId="4039693A" w14:textId="77777777" w:rsidTr="001D722D">
        <w:trPr>
          <w:trHeight w:val="299"/>
        </w:trPr>
        <w:tc>
          <w:tcPr>
            <w:tcW w:w="5632" w:type="dxa"/>
            <w:vAlign w:val="center"/>
          </w:tcPr>
          <w:p w14:paraId="4E98D3C9"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ТОВ "СП Рисоіл Термінал"</w:t>
            </w:r>
          </w:p>
        </w:tc>
        <w:tc>
          <w:tcPr>
            <w:tcW w:w="2268" w:type="dxa"/>
            <w:vAlign w:val="bottom"/>
          </w:tcPr>
          <w:p w14:paraId="5801AD59"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12 134,6</w:t>
            </w:r>
          </w:p>
        </w:tc>
        <w:tc>
          <w:tcPr>
            <w:tcW w:w="1701" w:type="dxa"/>
            <w:vAlign w:val="bottom"/>
          </w:tcPr>
          <w:p w14:paraId="53640C51"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1,8</w:t>
            </w:r>
          </w:p>
        </w:tc>
      </w:tr>
      <w:tr w:rsidR="00610417" w:rsidRPr="007620A2" w14:paraId="50697C8D" w14:textId="77777777" w:rsidTr="001D722D">
        <w:trPr>
          <w:trHeight w:val="299"/>
        </w:trPr>
        <w:tc>
          <w:tcPr>
            <w:tcW w:w="5632" w:type="dxa"/>
            <w:vAlign w:val="center"/>
          </w:tcPr>
          <w:p w14:paraId="75869BD3"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ТОВ "Українська Чорноморська Індустрія"</w:t>
            </w:r>
          </w:p>
        </w:tc>
        <w:tc>
          <w:tcPr>
            <w:tcW w:w="2268" w:type="dxa"/>
            <w:vAlign w:val="bottom"/>
          </w:tcPr>
          <w:p w14:paraId="4814F1FA"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11 117,4</w:t>
            </w:r>
          </w:p>
        </w:tc>
        <w:tc>
          <w:tcPr>
            <w:tcW w:w="1701" w:type="dxa"/>
            <w:vAlign w:val="bottom"/>
          </w:tcPr>
          <w:p w14:paraId="6693D544"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1,7</w:t>
            </w:r>
          </w:p>
        </w:tc>
      </w:tr>
      <w:tr w:rsidR="00610417" w:rsidRPr="007620A2" w14:paraId="502900F1" w14:textId="77777777" w:rsidTr="001D722D">
        <w:trPr>
          <w:trHeight w:val="299"/>
        </w:trPr>
        <w:tc>
          <w:tcPr>
            <w:tcW w:w="5632" w:type="dxa"/>
            <w:vAlign w:val="center"/>
          </w:tcPr>
          <w:p w14:paraId="79DC07CF"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ПРАТ "АДМ Іллічівськ"</w:t>
            </w:r>
          </w:p>
        </w:tc>
        <w:tc>
          <w:tcPr>
            <w:tcW w:w="2268" w:type="dxa"/>
            <w:vAlign w:val="bottom"/>
          </w:tcPr>
          <w:p w14:paraId="09248132"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10 184,0</w:t>
            </w:r>
          </w:p>
        </w:tc>
        <w:tc>
          <w:tcPr>
            <w:tcW w:w="1701" w:type="dxa"/>
            <w:vAlign w:val="bottom"/>
          </w:tcPr>
          <w:p w14:paraId="587D0B57"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1,5</w:t>
            </w:r>
          </w:p>
        </w:tc>
      </w:tr>
      <w:tr w:rsidR="00610417" w:rsidRPr="007620A2" w14:paraId="45C77306" w14:textId="77777777" w:rsidTr="001D722D">
        <w:trPr>
          <w:trHeight w:val="299"/>
        </w:trPr>
        <w:tc>
          <w:tcPr>
            <w:tcW w:w="5632" w:type="dxa"/>
            <w:vAlign w:val="center"/>
          </w:tcPr>
          <w:p w14:paraId="5015EC73"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ТОВ "Аквафрост"</w:t>
            </w:r>
          </w:p>
        </w:tc>
        <w:tc>
          <w:tcPr>
            <w:tcW w:w="2268" w:type="dxa"/>
            <w:vAlign w:val="bottom"/>
          </w:tcPr>
          <w:p w14:paraId="741CDBE1"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8 844,5</w:t>
            </w:r>
          </w:p>
        </w:tc>
        <w:tc>
          <w:tcPr>
            <w:tcW w:w="1701" w:type="dxa"/>
            <w:vAlign w:val="bottom"/>
          </w:tcPr>
          <w:p w14:paraId="122C3A5B"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1,3</w:t>
            </w:r>
          </w:p>
        </w:tc>
      </w:tr>
      <w:tr w:rsidR="00610417" w:rsidRPr="007620A2" w14:paraId="20C58D35" w14:textId="77777777" w:rsidTr="001D722D">
        <w:trPr>
          <w:trHeight w:val="299"/>
        </w:trPr>
        <w:tc>
          <w:tcPr>
            <w:tcW w:w="5632" w:type="dxa"/>
            <w:vAlign w:val="center"/>
          </w:tcPr>
          <w:p w14:paraId="0F948F57"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ПрАТ "Іллічівський судноремонтний завод"</w:t>
            </w:r>
          </w:p>
        </w:tc>
        <w:tc>
          <w:tcPr>
            <w:tcW w:w="2268" w:type="dxa"/>
            <w:vAlign w:val="bottom"/>
          </w:tcPr>
          <w:p w14:paraId="514BAE22"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5 197,6</w:t>
            </w:r>
          </w:p>
        </w:tc>
        <w:tc>
          <w:tcPr>
            <w:tcW w:w="1701" w:type="dxa"/>
            <w:vAlign w:val="bottom"/>
          </w:tcPr>
          <w:p w14:paraId="5F642AA9"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0,8</w:t>
            </w:r>
          </w:p>
        </w:tc>
      </w:tr>
      <w:tr w:rsidR="00610417" w:rsidRPr="007620A2" w14:paraId="5215C648" w14:textId="77777777" w:rsidTr="001D722D">
        <w:trPr>
          <w:trHeight w:val="299"/>
        </w:trPr>
        <w:tc>
          <w:tcPr>
            <w:tcW w:w="5632" w:type="dxa"/>
            <w:vAlign w:val="center"/>
          </w:tcPr>
          <w:p w14:paraId="55C6EEBD"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ТОВ "Транс-Сервіс"</w:t>
            </w:r>
          </w:p>
        </w:tc>
        <w:tc>
          <w:tcPr>
            <w:tcW w:w="2268" w:type="dxa"/>
            <w:vAlign w:val="bottom"/>
          </w:tcPr>
          <w:p w14:paraId="4BC1A340"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5 119,5</w:t>
            </w:r>
          </w:p>
        </w:tc>
        <w:tc>
          <w:tcPr>
            <w:tcW w:w="1701" w:type="dxa"/>
            <w:vAlign w:val="bottom"/>
          </w:tcPr>
          <w:p w14:paraId="5EA098E1"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0,8</w:t>
            </w:r>
          </w:p>
        </w:tc>
      </w:tr>
      <w:tr w:rsidR="00610417" w:rsidRPr="007620A2" w14:paraId="2113684B" w14:textId="77777777" w:rsidTr="001D722D">
        <w:trPr>
          <w:trHeight w:val="299"/>
        </w:trPr>
        <w:tc>
          <w:tcPr>
            <w:tcW w:w="5632" w:type="dxa"/>
            <w:vAlign w:val="center"/>
          </w:tcPr>
          <w:p w14:paraId="28648A21" w14:textId="77777777" w:rsidR="00610417" w:rsidRPr="007620A2" w:rsidRDefault="00610417" w:rsidP="001D722D">
            <w:pPr>
              <w:spacing w:after="0" w:line="240" w:lineRule="auto"/>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ПРАТ "Синтез ОЙЛ"</w:t>
            </w:r>
          </w:p>
        </w:tc>
        <w:tc>
          <w:tcPr>
            <w:tcW w:w="2268" w:type="dxa"/>
            <w:vAlign w:val="bottom"/>
          </w:tcPr>
          <w:p w14:paraId="3413E2E4"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3 309,9</w:t>
            </w:r>
          </w:p>
        </w:tc>
        <w:tc>
          <w:tcPr>
            <w:tcW w:w="1701" w:type="dxa"/>
            <w:vAlign w:val="bottom"/>
          </w:tcPr>
          <w:p w14:paraId="79F40291" w14:textId="77777777" w:rsidR="00610417" w:rsidRPr="007620A2" w:rsidRDefault="00610417" w:rsidP="001D722D">
            <w:pPr>
              <w:spacing w:after="0" w:line="240" w:lineRule="auto"/>
              <w:jc w:val="center"/>
              <w:rPr>
                <w:rFonts w:ascii="Times New Roman" w:eastAsia="Times New Roman" w:hAnsi="Times New Roman" w:cs="Times New Roman"/>
                <w:lang w:val="uk-UA" w:eastAsia="ru-RU"/>
              </w:rPr>
            </w:pPr>
            <w:r w:rsidRPr="007620A2">
              <w:rPr>
                <w:rFonts w:ascii="Times New Roman" w:eastAsia="Times New Roman" w:hAnsi="Times New Roman" w:cs="Times New Roman"/>
                <w:lang w:val="uk-UA" w:eastAsia="ru-RU"/>
              </w:rPr>
              <w:t>0,5</w:t>
            </w:r>
          </w:p>
        </w:tc>
      </w:tr>
      <w:tr w:rsidR="00610417" w:rsidRPr="007620A2" w14:paraId="439C4711" w14:textId="77777777" w:rsidTr="001D722D">
        <w:tc>
          <w:tcPr>
            <w:tcW w:w="5632" w:type="dxa"/>
            <w:vAlign w:val="center"/>
          </w:tcPr>
          <w:p w14:paraId="0094C337" w14:textId="77777777" w:rsidR="00610417" w:rsidRPr="007620A2" w:rsidRDefault="00610417" w:rsidP="001D722D">
            <w:pPr>
              <w:spacing w:after="0" w:line="240" w:lineRule="auto"/>
              <w:rPr>
                <w:rFonts w:ascii="Times New Roman" w:eastAsia="Times New Roman" w:hAnsi="Times New Roman" w:cs="Times New Roman"/>
                <w:b/>
                <w:bCs/>
                <w:lang w:val="uk-UA" w:eastAsia="ru-RU"/>
              </w:rPr>
            </w:pPr>
            <w:r w:rsidRPr="007620A2">
              <w:rPr>
                <w:rFonts w:ascii="Times New Roman" w:eastAsia="Times New Roman" w:hAnsi="Times New Roman" w:cs="Times New Roman"/>
                <w:b/>
                <w:bCs/>
                <w:lang w:val="uk-UA" w:eastAsia="ru-RU"/>
              </w:rPr>
              <w:t>Разом по зазначених підприємствах</w:t>
            </w:r>
          </w:p>
        </w:tc>
        <w:tc>
          <w:tcPr>
            <w:tcW w:w="2268" w:type="dxa"/>
            <w:vAlign w:val="bottom"/>
          </w:tcPr>
          <w:p w14:paraId="6611D0C5" w14:textId="77777777" w:rsidR="00610417" w:rsidRPr="007620A2" w:rsidRDefault="00610417" w:rsidP="001D722D">
            <w:pPr>
              <w:spacing w:after="0" w:line="240" w:lineRule="auto"/>
              <w:jc w:val="center"/>
              <w:rPr>
                <w:rFonts w:ascii="Times New Roman" w:eastAsia="Times New Roman" w:hAnsi="Times New Roman" w:cs="Times New Roman"/>
                <w:b/>
                <w:bCs/>
                <w:lang w:val="uk-UA" w:eastAsia="ru-RU"/>
              </w:rPr>
            </w:pPr>
            <w:r w:rsidRPr="007620A2">
              <w:rPr>
                <w:rFonts w:ascii="Times New Roman" w:eastAsia="Times New Roman" w:hAnsi="Times New Roman" w:cs="Times New Roman"/>
                <w:b/>
                <w:bCs/>
                <w:lang w:val="uk-UA" w:eastAsia="ru-RU"/>
              </w:rPr>
              <w:t>216 393,4</w:t>
            </w:r>
          </w:p>
        </w:tc>
        <w:tc>
          <w:tcPr>
            <w:tcW w:w="1701" w:type="dxa"/>
            <w:vAlign w:val="bottom"/>
          </w:tcPr>
          <w:p w14:paraId="548313D2" w14:textId="77777777" w:rsidR="00610417" w:rsidRPr="007620A2" w:rsidRDefault="00610417" w:rsidP="001D722D">
            <w:pPr>
              <w:spacing w:after="0" w:line="240" w:lineRule="auto"/>
              <w:jc w:val="center"/>
              <w:rPr>
                <w:rFonts w:ascii="Times New Roman" w:eastAsia="Times New Roman" w:hAnsi="Times New Roman" w:cs="Times New Roman"/>
                <w:b/>
                <w:bCs/>
                <w:lang w:val="uk-UA" w:eastAsia="ru-RU"/>
              </w:rPr>
            </w:pPr>
            <w:r w:rsidRPr="007620A2">
              <w:rPr>
                <w:rFonts w:ascii="Times New Roman" w:eastAsia="Times New Roman" w:hAnsi="Times New Roman" w:cs="Times New Roman"/>
                <w:b/>
                <w:bCs/>
                <w:lang w:val="uk-UA" w:eastAsia="ru-RU"/>
              </w:rPr>
              <w:t>32,6</w:t>
            </w:r>
          </w:p>
        </w:tc>
      </w:tr>
      <w:tr w:rsidR="00610417" w:rsidRPr="007620A2" w14:paraId="52796072" w14:textId="77777777" w:rsidTr="001D722D">
        <w:trPr>
          <w:trHeight w:val="789"/>
        </w:trPr>
        <w:tc>
          <w:tcPr>
            <w:tcW w:w="5632" w:type="dxa"/>
            <w:vAlign w:val="center"/>
          </w:tcPr>
          <w:p w14:paraId="5D5F209B" w14:textId="77777777" w:rsidR="00610417" w:rsidRPr="007620A2" w:rsidRDefault="00610417" w:rsidP="001D722D">
            <w:pPr>
              <w:spacing w:after="0" w:line="240" w:lineRule="auto"/>
              <w:rPr>
                <w:rFonts w:ascii="Times New Roman" w:eastAsia="Times New Roman" w:hAnsi="Times New Roman" w:cs="Times New Roman"/>
                <w:b/>
                <w:lang w:val="uk-UA" w:eastAsia="ru-RU"/>
              </w:rPr>
            </w:pPr>
            <w:r w:rsidRPr="007620A2">
              <w:rPr>
                <w:rFonts w:ascii="Times New Roman" w:eastAsia="Times New Roman" w:hAnsi="Times New Roman" w:cs="Times New Roman"/>
                <w:b/>
                <w:lang w:val="uk-UA" w:eastAsia="ru-RU"/>
              </w:rPr>
              <w:t xml:space="preserve">Всього надійшло до загального фонду бюджету Чорноморської міської територіальної громади </w:t>
            </w:r>
          </w:p>
          <w:p w14:paraId="2572B473" w14:textId="77777777" w:rsidR="00610417" w:rsidRPr="007620A2" w:rsidRDefault="00610417" w:rsidP="001D722D">
            <w:pPr>
              <w:spacing w:after="0" w:line="240" w:lineRule="auto"/>
              <w:rPr>
                <w:rFonts w:ascii="Times New Roman" w:eastAsia="Times New Roman" w:hAnsi="Times New Roman" w:cs="Times New Roman"/>
                <w:b/>
                <w:lang w:val="uk-UA" w:eastAsia="ru-RU"/>
              </w:rPr>
            </w:pPr>
            <w:r w:rsidRPr="007620A2">
              <w:rPr>
                <w:rFonts w:ascii="Times New Roman" w:eastAsia="Times New Roman" w:hAnsi="Times New Roman" w:cs="Times New Roman"/>
                <w:b/>
                <w:lang w:val="uk-UA" w:eastAsia="ru-RU"/>
              </w:rPr>
              <w:t>(без врахування міжбюджетних трансфертів)</w:t>
            </w:r>
          </w:p>
        </w:tc>
        <w:tc>
          <w:tcPr>
            <w:tcW w:w="2268" w:type="dxa"/>
            <w:vAlign w:val="bottom"/>
          </w:tcPr>
          <w:p w14:paraId="3C8166F6" w14:textId="77777777" w:rsidR="00610417" w:rsidRPr="007620A2" w:rsidRDefault="00610417" w:rsidP="001D722D">
            <w:pPr>
              <w:spacing w:after="0" w:line="240" w:lineRule="auto"/>
              <w:jc w:val="center"/>
              <w:rPr>
                <w:rFonts w:ascii="Times New Roman" w:eastAsia="Times New Roman" w:hAnsi="Times New Roman" w:cs="Times New Roman"/>
                <w:b/>
                <w:lang w:val="uk-UA" w:eastAsia="ru-RU"/>
              </w:rPr>
            </w:pPr>
          </w:p>
          <w:p w14:paraId="4B57B446" w14:textId="77777777" w:rsidR="00610417" w:rsidRPr="007620A2" w:rsidRDefault="00610417" w:rsidP="001D722D">
            <w:pPr>
              <w:spacing w:after="0" w:line="240" w:lineRule="auto"/>
              <w:jc w:val="center"/>
              <w:rPr>
                <w:rFonts w:ascii="Times New Roman" w:eastAsia="Times New Roman" w:hAnsi="Times New Roman" w:cs="Times New Roman"/>
                <w:b/>
                <w:lang w:val="uk-UA" w:eastAsia="ru-RU"/>
              </w:rPr>
            </w:pPr>
            <w:r w:rsidRPr="007620A2">
              <w:rPr>
                <w:rFonts w:ascii="Times New Roman" w:eastAsia="Times New Roman" w:hAnsi="Times New Roman" w:cs="Times New Roman"/>
                <w:b/>
                <w:lang w:val="uk-UA" w:eastAsia="ru-RU"/>
              </w:rPr>
              <w:t>662 633,5</w:t>
            </w:r>
          </w:p>
          <w:p w14:paraId="7EABB126" w14:textId="77777777" w:rsidR="00610417" w:rsidRPr="007620A2" w:rsidRDefault="00610417" w:rsidP="001D722D">
            <w:pPr>
              <w:spacing w:after="0" w:line="240" w:lineRule="auto"/>
              <w:jc w:val="center"/>
              <w:rPr>
                <w:rFonts w:ascii="Times New Roman" w:eastAsia="Times New Roman" w:hAnsi="Times New Roman" w:cs="Times New Roman"/>
                <w:b/>
                <w:lang w:val="uk-UA" w:eastAsia="ru-RU"/>
              </w:rPr>
            </w:pPr>
          </w:p>
        </w:tc>
        <w:tc>
          <w:tcPr>
            <w:tcW w:w="1701" w:type="dxa"/>
            <w:vAlign w:val="bottom"/>
          </w:tcPr>
          <w:p w14:paraId="1BB80933" w14:textId="77777777" w:rsidR="00610417" w:rsidRPr="007620A2" w:rsidRDefault="00610417" w:rsidP="001D722D">
            <w:pPr>
              <w:spacing w:after="0" w:line="240" w:lineRule="auto"/>
              <w:jc w:val="center"/>
              <w:rPr>
                <w:rFonts w:ascii="Times New Roman" w:eastAsia="Times New Roman" w:hAnsi="Times New Roman" w:cs="Times New Roman"/>
                <w:b/>
                <w:lang w:val="uk-UA" w:eastAsia="ru-RU"/>
              </w:rPr>
            </w:pPr>
            <w:r w:rsidRPr="007620A2">
              <w:rPr>
                <w:rFonts w:ascii="Times New Roman" w:eastAsia="Times New Roman" w:hAnsi="Times New Roman" w:cs="Times New Roman"/>
                <w:b/>
                <w:lang w:val="uk-UA" w:eastAsia="ru-RU"/>
              </w:rPr>
              <w:t>100,0</w:t>
            </w:r>
          </w:p>
          <w:p w14:paraId="7E45AFE2" w14:textId="77777777" w:rsidR="00610417" w:rsidRPr="007620A2" w:rsidRDefault="00610417" w:rsidP="001D722D">
            <w:pPr>
              <w:spacing w:after="0" w:line="240" w:lineRule="auto"/>
              <w:jc w:val="center"/>
              <w:rPr>
                <w:rFonts w:ascii="Times New Roman" w:eastAsia="Times New Roman" w:hAnsi="Times New Roman" w:cs="Times New Roman"/>
                <w:b/>
                <w:lang w:val="uk-UA" w:eastAsia="ru-RU"/>
              </w:rPr>
            </w:pPr>
          </w:p>
        </w:tc>
      </w:tr>
    </w:tbl>
    <w:p w14:paraId="3A223B3D" w14:textId="77777777" w:rsidR="00610417" w:rsidRDefault="00610417" w:rsidP="000B04B1">
      <w:pPr>
        <w:tabs>
          <w:tab w:val="left" w:pos="5280"/>
          <w:tab w:val="left" w:pos="5385"/>
        </w:tabs>
        <w:spacing w:after="0" w:line="280" w:lineRule="exact"/>
        <w:ind w:firstLine="567"/>
        <w:jc w:val="center"/>
        <w:outlineLvl w:val="0"/>
        <w:rPr>
          <w:rFonts w:ascii="Times New Roman" w:eastAsia="Calibri" w:hAnsi="Times New Roman" w:cs="Times New Roman"/>
          <w:b/>
          <w:color w:val="000000"/>
          <w:kern w:val="28"/>
          <w:sz w:val="24"/>
          <w:szCs w:val="24"/>
          <w:lang w:val="uk-UA" w:eastAsia="ru-RU"/>
        </w:rPr>
      </w:pPr>
    </w:p>
    <w:p w14:paraId="1575CC42" w14:textId="77777777" w:rsidR="00610417" w:rsidRDefault="00610417" w:rsidP="000B04B1">
      <w:pPr>
        <w:tabs>
          <w:tab w:val="left" w:pos="5280"/>
          <w:tab w:val="left" w:pos="5385"/>
        </w:tabs>
        <w:spacing w:after="0" w:line="280" w:lineRule="exact"/>
        <w:ind w:firstLine="567"/>
        <w:jc w:val="center"/>
        <w:outlineLvl w:val="0"/>
        <w:rPr>
          <w:rFonts w:ascii="Times New Roman" w:eastAsia="Calibri" w:hAnsi="Times New Roman" w:cs="Times New Roman"/>
          <w:b/>
          <w:color w:val="000000"/>
          <w:kern w:val="28"/>
          <w:sz w:val="24"/>
          <w:szCs w:val="24"/>
          <w:lang w:val="uk-UA" w:eastAsia="ru-RU"/>
        </w:rPr>
      </w:pPr>
    </w:p>
    <w:p w14:paraId="23640302" w14:textId="77777777" w:rsidR="00610417" w:rsidRDefault="00610417" w:rsidP="000B04B1">
      <w:pPr>
        <w:tabs>
          <w:tab w:val="left" w:pos="5280"/>
          <w:tab w:val="left" w:pos="5385"/>
        </w:tabs>
        <w:spacing w:after="0" w:line="280" w:lineRule="exact"/>
        <w:ind w:firstLine="567"/>
        <w:jc w:val="center"/>
        <w:outlineLvl w:val="0"/>
        <w:rPr>
          <w:rFonts w:ascii="Times New Roman" w:eastAsia="Calibri" w:hAnsi="Times New Roman" w:cs="Times New Roman"/>
          <w:b/>
          <w:color w:val="000000"/>
          <w:kern w:val="28"/>
          <w:sz w:val="24"/>
          <w:szCs w:val="24"/>
          <w:lang w:val="uk-UA" w:eastAsia="ru-RU"/>
        </w:rPr>
        <w:sectPr w:rsidR="00610417" w:rsidSect="002C2351">
          <w:footerReference w:type="default" r:id="rId11"/>
          <w:footerReference w:type="first" r:id="rId12"/>
          <w:pgSz w:w="11906" w:h="16838"/>
          <w:pgMar w:top="709" w:right="851" w:bottom="568" w:left="1560" w:header="709" w:footer="6" w:gutter="0"/>
          <w:pgNumType w:start="1"/>
          <w:cols w:space="708"/>
          <w:titlePg/>
          <w:docGrid w:linePitch="360"/>
        </w:sectPr>
      </w:pPr>
    </w:p>
    <w:p w14:paraId="7F92CCFF" w14:textId="77777777" w:rsidR="000B04B1" w:rsidRPr="007620A2" w:rsidRDefault="000B04B1" w:rsidP="000B04B1">
      <w:pPr>
        <w:tabs>
          <w:tab w:val="left" w:pos="5280"/>
          <w:tab w:val="left" w:pos="5385"/>
        </w:tabs>
        <w:spacing w:after="0" w:line="280" w:lineRule="exact"/>
        <w:ind w:firstLine="567"/>
        <w:jc w:val="center"/>
        <w:outlineLvl w:val="0"/>
        <w:rPr>
          <w:rFonts w:ascii="Times New Roman" w:eastAsia="Calibri" w:hAnsi="Times New Roman" w:cs="Times New Roman"/>
          <w:b/>
          <w:color w:val="000000"/>
          <w:kern w:val="28"/>
          <w:sz w:val="24"/>
          <w:szCs w:val="24"/>
          <w:lang w:val="uk-UA" w:eastAsia="ru-RU"/>
        </w:rPr>
      </w:pPr>
      <w:r w:rsidRPr="007620A2">
        <w:rPr>
          <w:rFonts w:ascii="Times New Roman" w:eastAsia="Calibri" w:hAnsi="Times New Roman" w:cs="Times New Roman"/>
          <w:b/>
          <w:color w:val="000000"/>
          <w:kern w:val="28"/>
          <w:sz w:val="24"/>
          <w:szCs w:val="24"/>
          <w:lang w:val="uk-UA" w:eastAsia="ru-RU"/>
        </w:rPr>
        <w:t>Основні показники соціально-економічного розвитку  Чорноморської міської територіальної громади</w:t>
      </w:r>
    </w:p>
    <w:p w14:paraId="0AB5ADEE" w14:textId="0C08214D" w:rsidR="00E45D3C" w:rsidRPr="00610417" w:rsidRDefault="000B04B1" w:rsidP="00E45D3C">
      <w:pPr>
        <w:tabs>
          <w:tab w:val="left" w:pos="5280"/>
          <w:tab w:val="left" w:pos="5385"/>
        </w:tabs>
        <w:spacing w:after="0" w:line="280" w:lineRule="exact"/>
        <w:ind w:firstLine="567"/>
        <w:jc w:val="center"/>
        <w:outlineLvl w:val="0"/>
        <w:rPr>
          <w:lang w:val="uk-UA"/>
        </w:rPr>
      </w:pPr>
      <w:r w:rsidRPr="007620A2">
        <w:rPr>
          <w:rFonts w:ascii="Times New Roman" w:eastAsia="Calibri" w:hAnsi="Times New Roman" w:cs="Times New Roman"/>
          <w:color w:val="000000"/>
          <w:kern w:val="28"/>
          <w:sz w:val="24"/>
          <w:szCs w:val="24"/>
          <w:lang w:val="uk-UA" w:eastAsia="ru-RU"/>
        </w:rPr>
        <w:t>факт 2021-2023; прогноз 2024-2027</w:t>
      </w:r>
      <w:bookmarkStart w:id="1" w:name="RANGE!A2:K26"/>
      <w:bookmarkEnd w:id="1"/>
      <w:r w:rsidRPr="00610417">
        <w:rPr>
          <w:lang w:val="uk-UA" w:eastAsia="ru-RU"/>
        </w:rPr>
        <w:fldChar w:fldCharType="begin"/>
      </w:r>
      <w:r w:rsidRPr="00610417">
        <w:rPr>
          <w:lang w:val="uk-UA" w:eastAsia="ru-RU"/>
        </w:rPr>
        <w:instrText xml:space="preserve"> LINK </w:instrText>
      </w:r>
      <w:r w:rsidR="00463074">
        <w:rPr>
          <w:lang w:val="uk-UA" w:eastAsia="ru-RU"/>
        </w:rPr>
        <w:instrText xml:space="preserve">Excel.Sheet.12 "H:\\SHARE\\0-Старые данные\\SHARE\\DOHODY\\Бюджет 2025\\Основні показники соц.економ.розв. факт 2021-2023 прогноз 2024-2027.xlsx" Лист1!R5C1:R26C11 </w:instrText>
      </w:r>
      <w:r w:rsidRPr="00610417">
        <w:rPr>
          <w:lang w:val="uk-UA" w:eastAsia="ru-RU"/>
        </w:rPr>
        <w:instrText xml:space="preserve">\a \f 4 \h  \* MERGEFORMAT </w:instrText>
      </w:r>
      <w:r w:rsidRPr="00610417">
        <w:rPr>
          <w:lang w:val="uk-UA" w:eastAsia="ru-RU"/>
        </w:rPr>
        <w:fldChar w:fldCharType="separate"/>
      </w:r>
    </w:p>
    <w:tbl>
      <w:tblPr>
        <w:tblW w:w="14036" w:type="dxa"/>
        <w:tblInd w:w="988" w:type="dxa"/>
        <w:tblLook w:val="04A0" w:firstRow="1" w:lastRow="0" w:firstColumn="1" w:lastColumn="0" w:noHBand="0" w:noVBand="1"/>
      </w:tblPr>
      <w:tblGrid>
        <w:gridCol w:w="438"/>
        <w:gridCol w:w="4098"/>
        <w:gridCol w:w="1067"/>
        <w:gridCol w:w="992"/>
        <w:gridCol w:w="876"/>
        <w:gridCol w:w="967"/>
        <w:gridCol w:w="1201"/>
        <w:gridCol w:w="1358"/>
        <w:gridCol w:w="1037"/>
        <w:gridCol w:w="1001"/>
        <w:gridCol w:w="1001"/>
      </w:tblGrid>
      <w:tr w:rsidR="00E45D3C" w:rsidRPr="00610417" w14:paraId="68604F21" w14:textId="77777777" w:rsidTr="008138C1">
        <w:trPr>
          <w:divId w:val="926767640"/>
          <w:trHeight w:val="30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0FB8B"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w:t>
            </w:r>
          </w:p>
        </w:tc>
        <w:tc>
          <w:tcPr>
            <w:tcW w:w="4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EE581"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Основні показники</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74FD1"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Одиниці виміру</w:t>
            </w:r>
          </w:p>
        </w:tc>
        <w:tc>
          <w:tcPr>
            <w:tcW w:w="4036" w:type="dxa"/>
            <w:gridSpan w:val="4"/>
            <w:tcBorders>
              <w:top w:val="single" w:sz="4" w:space="0" w:color="auto"/>
              <w:left w:val="nil"/>
              <w:bottom w:val="single" w:sz="4" w:space="0" w:color="auto"/>
              <w:right w:val="single" w:sz="4" w:space="0" w:color="auto"/>
            </w:tcBorders>
            <w:shd w:val="clear" w:color="auto" w:fill="auto"/>
            <w:vAlign w:val="center"/>
            <w:hideMark/>
          </w:tcPr>
          <w:p w14:paraId="33ADE97B"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 xml:space="preserve">Фактичні показники </w:t>
            </w:r>
          </w:p>
        </w:tc>
        <w:tc>
          <w:tcPr>
            <w:tcW w:w="4397" w:type="dxa"/>
            <w:gridSpan w:val="4"/>
            <w:tcBorders>
              <w:top w:val="single" w:sz="4" w:space="0" w:color="auto"/>
              <w:left w:val="nil"/>
              <w:bottom w:val="single" w:sz="4" w:space="0" w:color="auto"/>
              <w:right w:val="single" w:sz="4" w:space="0" w:color="auto"/>
            </w:tcBorders>
            <w:shd w:val="clear" w:color="auto" w:fill="auto"/>
            <w:vAlign w:val="center"/>
            <w:hideMark/>
          </w:tcPr>
          <w:p w14:paraId="31E2E462" w14:textId="77777777" w:rsidR="00E45D3C" w:rsidRPr="00610417" w:rsidRDefault="00E45D3C" w:rsidP="00E45D3C">
            <w:pPr>
              <w:spacing w:after="0" w:line="240" w:lineRule="auto"/>
              <w:ind w:right="446"/>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Прогнозні поназники</w:t>
            </w:r>
          </w:p>
        </w:tc>
      </w:tr>
      <w:tr w:rsidR="00E45D3C" w:rsidRPr="00610417" w14:paraId="281ABD1E" w14:textId="77777777" w:rsidTr="008138C1">
        <w:trPr>
          <w:divId w:val="926767640"/>
          <w:trHeight w:val="855"/>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1C8826C" w14:textId="77777777" w:rsidR="00E45D3C" w:rsidRPr="00610417" w:rsidRDefault="00E45D3C" w:rsidP="00E45D3C">
            <w:pPr>
              <w:spacing w:after="0" w:line="240" w:lineRule="auto"/>
              <w:rPr>
                <w:rFonts w:ascii="Times New Roman" w:eastAsia="Times New Roman" w:hAnsi="Times New Roman" w:cs="Times New Roman"/>
                <w:b/>
                <w:bCs/>
                <w:color w:val="000000"/>
                <w:lang w:val="uk-UA" w:eastAsia="ru-RU"/>
              </w:rPr>
            </w:pPr>
          </w:p>
        </w:tc>
        <w:tc>
          <w:tcPr>
            <w:tcW w:w="4098" w:type="dxa"/>
            <w:vMerge/>
            <w:tcBorders>
              <w:top w:val="single" w:sz="4" w:space="0" w:color="auto"/>
              <w:left w:val="single" w:sz="4" w:space="0" w:color="auto"/>
              <w:bottom w:val="single" w:sz="4" w:space="0" w:color="auto"/>
              <w:right w:val="single" w:sz="4" w:space="0" w:color="auto"/>
            </w:tcBorders>
            <w:vAlign w:val="center"/>
            <w:hideMark/>
          </w:tcPr>
          <w:p w14:paraId="1440567C" w14:textId="77777777" w:rsidR="00E45D3C" w:rsidRPr="00610417" w:rsidRDefault="00E45D3C" w:rsidP="00E45D3C">
            <w:pPr>
              <w:spacing w:after="0" w:line="240" w:lineRule="auto"/>
              <w:rPr>
                <w:rFonts w:ascii="Times New Roman" w:eastAsia="Times New Roman" w:hAnsi="Times New Roman" w:cs="Times New Roman"/>
                <w:b/>
                <w:bCs/>
                <w:color w:val="000000"/>
                <w:lang w:val="uk-UA" w:eastAsia="ru-RU"/>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03428015" w14:textId="77777777" w:rsidR="00E45D3C" w:rsidRPr="00610417" w:rsidRDefault="00E45D3C" w:rsidP="00E45D3C">
            <w:pPr>
              <w:spacing w:after="0" w:line="240" w:lineRule="auto"/>
              <w:rPr>
                <w:rFonts w:ascii="Times New Roman" w:eastAsia="Times New Roman" w:hAnsi="Times New Roman" w:cs="Times New Roman"/>
                <w:b/>
                <w:bCs/>
                <w:color w:val="000000"/>
                <w:lang w:val="uk-UA" w:eastAsia="ru-RU"/>
              </w:rPr>
            </w:pPr>
          </w:p>
        </w:tc>
        <w:tc>
          <w:tcPr>
            <w:tcW w:w="992" w:type="dxa"/>
            <w:tcBorders>
              <w:top w:val="nil"/>
              <w:left w:val="nil"/>
              <w:bottom w:val="single" w:sz="4" w:space="0" w:color="auto"/>
              <w:right w:val="single" w:sz="4" w:space="0" w:color="auto"/>
            </w:tcBorders>
            <w:shd w:val="clear" w:color="auto" w:fill="auto"/>
            <w:vAlign w:val="center"/>
            <w:hideMark/>
          </w:tcPr>
          <w:p w14:paraId="29385F7A"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2021 рік</w:t>
            </w:r>
          </w:p>
        </w:tc>
        <w:tc>
          <w:tcPr>
            <w:tcW w:w="876" w:type="dxa"/>
            <w:tcBorders>
              <w:top w:val="nil"/>
              <w:left w:val="nil"/>
              <w:bottom w:val="single" w:sz="4" w:space="0" w:color="auto"/>
              <w:right w:val="single" w:sz="4" w:space="0" w:color="auto"/>
            </w:tcBorders>
            <w:shd w:val="clear" w:color="auto" w:fill="auto"/>
            <w:vAlign w:val="center"/>
            <w:hideMark/>
          </w:tcPr>
          <w:p w14:paraId="72B3877D"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2022 рік</w:t>
            </w:r>
          </w:p>
        </w:tc>
        <w:tc>
          <w:tcPr>
            <w:tcW w:w="967" w:type="dxa"/>
            <w:tcBorders>
              <w:top w:val="nil"/>
              <w:left w:val="nil"/>
              <w:bottom w:val="single" w:sz="4" w:space="0" w:color="auto"/>
              <w:right w:val="single" w:sz="4" w:space="0" w:color="auto"/>
            </w:tcBorders>
            <w:shd w:val="clear" w:color="auto" w:fill="auto"/>
            <w:vAlign w:val="center"/>
            <w:hideMark/>
          </w:tcPr>
          <w:p w14:paraId="6C61B1C8"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2023 рік</w:t>
            </w:r>
          </w:p>
        </w:tc>
        <w:tc>
          <w:tcPr>
            <w:tcW w:w="1201" w:type="dxa"/>
            <w:tcBorders>
              <w:top w:val="nil"/>
              <w:left w:val="nil"/>
              <w:bottom w:val="single" w:sz="4" w:space="0" w:color="auto"/>
              <w:right w:val="single" w:sz="4" w:space="0" w:color="auto"/>
            </w:tcBorders>
            <w:shd w:val="clear" w:color="auto" w:fill="auto"/>
            <w:vAlign w:val="center"/>
            <w:hideMark/>
          </w:tcPr>
          <w:p w14:paraId="7AEE2ABB"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1 півріччя 2024 року</w:t>
            </w:r>
          </w:p>
        </w:tc>
        <w:tc>
          <w:tcPr>
            <w:tcW w:w="1358" w:type="dxa"/>
            <w:tcBorders>
              <w:top w:val="nil"/>
              <w:left w:val="nil"/>
              <w:bottom w:val="single" w:sz="4" w:space="0" w:color="auto"/>
              <w:right w:val="single" w:sz="4" w:space="0" w:color="auto"/>
            </w:tcBorders>
            <w:shd w:val="clear" w:color="auto" w:fill="auto"/>
            <w:vAlign w:val="center"/>
            <w:hideMark/>
          </w:tcPr>
          <w:p w14:paraId="1DEA497D"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2024 рік очікуваний факт</w:t>
            </w:r>
          </w:p>
        </w:tc>
        <w:tc>
          <w:tcPr>
            <w:tcW w:w="1037" w:type="dxa"/>
            <w:tcBorders>
              <w:top w:val="nil"/>
              <w:left w:val="nil"/>
              <w:bottom w:val="single" w:sz="4" w:space="0" w:color="auto"/>
              <w:right w:val="single" w:sz="4" w:space="0" w:color="auto"/>
            </w:tcBorders>
            <w:shd w:val="clear" w:color="auto" w:fill="auto"/>
            <w:vAlign w:val="center"/>
            <w:hideMark/>
          </w:tcPr>
          <w:p w14:paraId="4011F622"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2025 прогноз</w:t>
            </w:r>
          </w:p>
        </w:tc>
        <w:tc>
          <w:tcPr>
            <w:tcW w:w="1001" w:type="dxa"/>
            <w:tcBorders>
              <w:top w:val="nil"/>
              <w:left w:val="nil"/>
              <w:bottom w:val="single" w:sz="4" w:space="0" w:color="auto"/>
              <w:right w:val="single" w:sz="4" w:space="0" w:color="auto"/>
            </w:tcBorders>
            <w:shd w:val="clear" w:color="auto" w:fill="auto"/>
            <w:vAlign w:val="center"/>
            <w:hideMark/>
          </w:tcPr>
          <w:p w14:paraId="0C1C5943"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2026 прогноз</w:t>
            </w:r>
          </w:p>
        </w:tc>
        <w:tc>
          <w:tcPr>
            <w:tcW w:w="1001" w:type="dxa"/>
            <w:tcBorders>
              <w:top w:val="nil"/>
              <w:left w:val="nil"/>
              <w:bottom w:val="single" w:sz="4" w:space="0" w:color="auto"/>
              <w:right w:val="single" w:sz="4" w:space="0" w:color="auto"/>
            </w:tcBorders>
            <w:shd w:val="clear" w:color="auto" w:fill="auto"/>
            <w:vAlign w:val="center"/>
            <w:hideMark/>
          </w:tcPr>
          <w:p w14:paraId="369909D3" w14:textId="77777777" w:rsidR="00E45D3C" w:rsidRPr="00610417" w:rsidRDefault="00E45D3C" w:rsidP="00E45D3C">
            <w:pPr>
              <w:spacing w:after="0" w:line="240" w:lineRule="auto"/>
              <w:jc w:val="center"/>
              <w:rPr>
                <w:rFonts w:ascii="Times New Roman" w:eastAsia="Times New Roman" w:hAnsi="Times New Roman" w:cs="Times New Roman"/>
                <w:b/>
                <w:bCs/>
                <w:color w:val="000000"/>
                <w:lang w:val="uk-UA" w:eastAsia="ru-RU"/>
              </w:rPr>
            </w:pPr>
            <w:r w:rsidRPr="00610417">
              <w:rPr>
                <w:rFonts w:ascii="Times New Roman" w:eastAsia="Times New Roman" w:hAnsi="Times New Roman" w:cs="Times New Roman"/>
                <w:b/>
                <w:bCs/>
                <w:color w:val="000000"/>
                <w:lang w:val="uk-UA" w:eastAsia="ru-RU"/>
              </w:rPr>
              <w:t>2027 прогноз</w:t>
            </w:r>
          </w:p>
        </w:tc>
      </w:tr>
      <w:tr w:rsidR="00E45D3C" w:rsidRPr="00610417" w14:paraId="504FD074" w14:textId="77777777" w:rsidTr="008138C1">
        <w:trPr>
          <w:divId w:val="926767640"/>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4D5FD18"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1</w:t>
            </w:r>
          </w:p>
        </w:tc>
        <w:tc>
          <w:tcPr>
            <w:tcW w:w="4098" w:type="dxa"/>
            <w:tcBorders>
              <w:top w:val="nil"/>
              <w:left w:val="nil"/>
              <w:bottom w:val="single" w:sz="4" w:space="0" w:color="auto"/>
              <w:right w:val="single" w:sz="4" w:space="0" w:color="auto"/>
            </w:tcBorders>
            <w:shd w:val="clear" w:color="auto" w:fill="auto"/>
            <w:vAlign w:val="center"/>
            <w:hideMark/>
          </w:tcPr>
          <w:p w14:paraId="405B495A"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2</w:t>
            </w:r>
          </w:p>
        </w:tc>
        <w:tc>
          <w:tcPr>
            <w:tcW w:w="1067" w:type="dxa"/>
            <w:tcBorders>
              <w:top w:val="nil"/>
              <w:left w:val="nil"/>
              <w:bottom w:val="single" w:sz="4" w:space="0" w:color="auto"/>
              <w:right w:val="single" w:sz="4" w:space="0" w:color="auto"/>
            </w:tcBorders>
            <w:shd w:val="clear" w:color="auto" w:fill="auto"/>
            <w:vAlign w:val="center"/>
            <w:hideMark/>
          </w:tcPr>
          <w:p w14:paraId="0919CE0D"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3</w:t>
            </w:r>
          </w:p>
        </w:tc>
        <w:tc>
          <w:tcPr>
            <w:tcW w:w="992" w:type="dxa"/>
            <w:tcBorders>
              <w:top w:val="nil"/>
              <w:left w:val="nil"/>
              <w:bottom w:val="single" w:sz="4" w:space="0" w:color="auto"/>
              <w:right w:val="single" w:sz="4" w:space="0" w:color="auto"/>
            </w:tcBorders>
            <w:shd w:val="clear" w:color="auto" w:fill="auto"/>
            <w:vAlign w:val="center"/>
            <w:hideMark/>
          </w:tcPr>
          <w:p w14:paraId="3E027FB8"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4</w:t>
            </w:r>
          </w:p>
        </w:tc>
        <w:tc>
          <w:tcPr>
            <w:tcW w:w="876" w:type="dxa"/>
            <w:tcBorders>
              <w:top w:val="nil"/>
              <w:left w:val="nil"/>
              <w:bottom w:val="single" w:sz="4" w:space="0" w:color="auto"/>
              <w:right w:val="single" w:sz="4" w:space="0" w:color="auto"/>
            </w:tcBorders>
            <w:shd w:val="clear" w:color="auto" w:fill="auto"/>
            <w:vAlign w:val="center"/>
            <w:hideMark/>
          </w:tcPr>
          <w:p w14:paraId="00EA9C20"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5</w:t>
            </w:r>
          </w:p>
        </w:tc>
        <w:tc>
          <w:tcPr>
            <w:tcW w:w="967" w:type="dxa"/>
            <w:tcBorders>
              <w:top w:val="nil"/>
              <w:left w:val="nil"/>
              <w:bottom w:val="single" w:sz="4" w:space="0" w:color="auto"/>
              <w:right w:val="single" w:sz="4" w:space="0" w:color="auto"/>
            </w:tcBorders>
            <w:shd w:val="clear" w:color="auto" w:fill="auto"/>
            <w:vAlign w:val="center"/>
            <w:hideMark/>
          </w:tcPr>
          <w:p w14:paraId="437428C7"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6</w:t>
            </w:r>
          </w:p>
        </w:tc>
        <w:tc>
          <w:tcPr>
            <w:tcW w:w="1201" w:type="dxa"/>
            <w:tcBorders>
              <w:top w:val="nil"/>
              <w:left w:val="nil"/>
              <w:bottom w:val="single" w:sz="4" w:space="0" w:color="auto"/>
              <w:right w:val="single" w:sz="4" w:space="0" w:color="auto"/>
            </w:tcBorders>
            <w:shd w:val="clear" w:color="auto" w:fill="auto"/>
            <w:vAlign w:val="center"/>
            <w:hideMark/>
          </w:tcPr>
          <w:p w14:paraId="5A4D3A20"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7</w:t>
            </w:r>
          </w:p>
        </w:tc>
        <w:tc>
          <w:tcPr>
            <w:tcW w:w="1358" w:type="dxa"/>
            <w:tcBorders>
              <w:top w:val="nil"/>
              <w:left w:val="nil"/>
              <w:bottom w:val="single" w:sz="4" w:space="0" w:color="auto"/>
              <w:right w:val="single" w:sz="4" w:space="0" w:color="auto"/>
            </w:tcBorders>
            <w:shd w:val="clear" w:color="auto" w:fill="auto"/>
            <w:vAlign w:val="center"/>
            <w:hideMark/>
          </w:tcPr>
          <w:p w14:paraId="5FBBCF24"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8</w:t>
            </w:r>
          </w:p>
        </w:tc>
        <w:tc>
          <w:tcPr>
            <w:tcW w:w="1037" w:type="dxa"/>
            <w:tcBorders>
              <w:top w:val="nil"/>
              <w:left w:val="nil"/>
              <w:bottom w:val="single" w:sz="4" w:space="0" w:color="auto"/>
              <w:right w:val="single" w:sz="4" w:space="0" w:color="auto"/>
            </w:tcBorders>
            <w:shd w:val="clear" w:color="auto" w:fill="auto"/>
            <w:vAlign w:val="center"/>
            <w:hideMark/>
          </w:tcPr>
          <w:p w14:paraId="43067909"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9</w:t>
            </w:r>
          </w:p>
        </w:tc>
        <w:tc>
          <w:tcPr>
            <w:tcW w:w="1001" w:type="dxa"/>
            <w:tcBorders>
              <w:top w:val="nil"/>
              <w:left w:val="nil"/>
              <w:bottom w:val="single" w:sz="4" w:space="0" w:color="auto"/>
              <w:right w:val="single" w:sz="4" w:space="0" w:color="auto"/>
            </w:tcBorders>
            <w:shd w:val="clear" w:color="auto" w:fill="auto"/>
            <w:vAlign w:val="center"/>
            <w:hideMark/>
          </w:tcPr>
          <w:p w14:paraId="6A5E29C1"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10</w:t>
            </w:r>
          </w:p>
        </w:tc>
        <w:tc>
          <w:tcPr>
            <w:tcW w:w="1001" w:type="dxa"/>
            <w:tcBorders>
              <w:top w:val="nil"/>
              <w:left w:val="nil"/>
              <w:bottom w:val="single" w:sz="4" w:space="0" w:color="auto"/>
              <w:right w:val="single" w:sz="4" w:space="0" w:color="auto"/>
            </w:tcBorders>
            <w:shd w:val="clear" w:color="auto" w:fill="auto"/>
            <w:vAlign w:val="center"/>
            <w:hideMark/>
          </w:tcPr>
          <w:p w14:paraId="3974C900" w14:textId="77777777" w:rsidR="00E45D3C" w:rsidRPr="00610417" w:rsidRDefault="00E45D3C" w:rsidP="00E45D3C">
            <w:pPr>
              <w:spacing w:after="0" w:line="240" w:lineRule="auto"/>
              <w:jc w:val="center"/>
              <w:rPr>
                <w:rFonts w:ascii="Times New Roman" w:eastAsia="Times New Roman" w:hAnsi="Times New Roman" w:cs="Times New Roman"/>
                <w:b/>
                <w:bCs/>
                <w:color w:val="000000"/>
                <w:sz w:val="18"/>
                <w:szCs w:val="18"/>
                <w:lang w:val="uk-UA" w:eastAsia="ru-RU"/>
              </w:rPr>
            </w:pPr>
            <w:r w:rsidRPr="00610417">
              <w:rPr>
                <w:rFonts w:ascii="Times New Roman" w:eastAsia="Times New Roman" w:hAnsi="Times New Roman" w:cs="Times New Roman"/>
                <w:b/>
                <w:bCs/>
                <w:color w:val="000000"/>
                <w:sz w:val="18"/>
                <w:szCs w:val="18"/>
                <w:lang w:val="uk-UA" w:eastAsia="ru-RU"/>
              </w:rPr>
              <w:t>11</w:t>
            </w:r>
          </w:p>
        </w:tc>
      </w:tr>
      <w:tr w:rsidR="00E45D3C" w:rsidRPr="00610417" w14:paraId="3DFBC1FD" w14:textId="77777777" w:rsidTr="008138C1">
        <w:trPr>
          <w:divId w:val="926767640"/>
          <w:trHeight w:val="619"/>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0FCC89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w:t>
            </w:r>
          </w:p>
        </w:tc>
        <w:tc>
          <w:tcPr>
            <w:tcW w:w="4098" w:type="dxa"/>
            <w:tcBorders>
              <w:top w:val="nil"/>
              <w:left w:val="nil"/>
              <w:bottom w:val="single" w:sz="4" w:space="0" w:color="auto"/>
              <w:right w:val="single" w:sz="4" w:space="0" w:color="auto"/>
            </w:tcBorders>
            <w:shd w:val="clear" w:color="auto" w:fill="auto"/>
            <w:vAlign w:val="center"/>
            <w:hideMark/>
          </w:tcPr>
          <w:p w14:paraId="1CA8D3AD"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Обсяг реалізованої промислової промислової продукції (у порівняних цінах)</w:t>
            </w:r>
          </w:p>
        </w:tc>
        <w:tc>
          <w:tcPr>
            <w:tcW w:w="1067" w:type="dxa"/>
            <w:tcBorders>
              <w:top w:val="nil"/>
              <w:left w:val="nil"/>
              <w:bottom w:val="single" w:sz="4" w:space="0" w:color="auto"/>
              <w:right w:val="single" w:sz="4" w:space="0" w:color="auto"/>
            </w:tcBorders>
            <w:shd w:val="clear" w:color="auto" w:fill="auto"/>
            <w:noWrap/>
            <w:vAlign w:val="center"/>
            <w:hideMark/>
          </w:tcPr>
          <w:p w14:paraId="13CD66DF" w14:textId="38CB5AA4" w:rsidR="00E45D3C" w:rsidRPr="00610417" w:rsidRDefault="008138C1"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млн грн</w:t>
            </w:r>
          </w:p>
        </w:tc>
        <w:tc>
          <w:tcPr>
            <w:tcW w:w="992" w:type="dxa"/>
            <w:tcBorders>
              <w:top w:val="nil"/>
              <w:left w:val="nil"/>
              <w:bottom w:val="single" w:sz="4" w:space="0" w:color="auto"/>
              <w:right w:val="single" w:sz="4" w:space="0" w:color="auto"/>
            </w:tcBorders>
            <w:shd w:val="clear" w:color="auto" w:fill="auto"/>
            <w:noWrap/>
            <w:vAlign w:val="center"/>
            <w:hideMark/>
          </w:tcPr>
          <w:p w14:paraId="49F03661"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3440,6</w:t>
            </w:r>
          </w:p>
        </w:tc>
        <w:tc>
          <w:tcPr>
            <w:tcW w:w="876" w:type="dxa"/>
            <w:tcBorders>
              <w:top w:val="nil"/>
              <w:left w:val="nil"/>
              <w:bottom w:val="single" w:sz="4" w:space="0" w:color="auto"/>
              <w:right w:val="single" w:sz="4" w:space="0" w:color="auto"/>
            </w:tcBorders>
            <w:shd w:val="clear" w:color="auto" w:fill="auto"/>
            <w:noWrap/>
            <w:vAlign w:val="center"/>
            <w:hideMark/>
          </w:tcPr>
          <w:p w14:paraId="1F62F803"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2765,6</w:t>
            </w:r>
          </w:p>
        </w:tc>
        <w:tc>
          <w:tcPr>
            <w:tcW w:w="967" w:type="dxa"/>
            <w:tcBorders>
              <w:top w:val="nil"/>
              <w:left w:val="nil"/>
              <w:bottom w:val="single" w:sz="4" w:space="0" w:color="auto"/>
              <w:right w:val="single" w:sz="4" w:space="0" w:color="auto"/>
            </w:tcBorders>
            <w:shd w:val="clear" w:color="auto" w:fill="auto"/>
            <w:noWrap/>
            <w:vAlign w:val="center"/>
            <w:hideMark/>
          </w:tcPr>
          <w:p w14:paraId="32D15D9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3803,9</w:t>
            </w:r>
          </w:p>
        </w:tc>
        <w:tc>
          <w:tcPr>
            <w:tcW w:w="1201" w:type="dxa"/>
            <w:tcBorders>
              <w:top w:val="nil"/>
              <w:left w:val="nil"/>
              <w:bottom w:val="single" w:sz="4" w:space="0" w:color="auto"/>
              <w:right w:val="single" w:sz="4" w:space="0" w:color="auto"/>
            </w:tcBorders>
            <w:shd w:val="clear" w:color="auto" w:fill="auto"/>
            <w:noWrap/>
            <w:vAlign w:val="center"/>
            <w:hideMark/>
          </w:tcPr>
          <w:p w14:paraId="25001CCF"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2618,4</w:t>
            </w:r>
          </w:p>
        </w:tc>
        <w:tc>
          <w:tcPr>
            <w:tcW w:w="1358" w:type="dxa"/>
            <w:tcBorders>
              <w:top w:val="nil"/>
              <w:left w:val="nil"/>
              <w:bottom w:val="single" w:sz="4" w:space="0" w:color="auto"/>
              <w:right w:val="single" w:sz="4" w:space="0" w:color="auto"/>
            </w:tcBorders>
            <w:shd w:val="clear" w:color="auto" w:fill="auto"/>
            <w:noWrap/>
            <w:vAlign w:val="center"/>
            <w:hideMark/>
          </w:tcPr>
          <w:p w14:paraId="105DF87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5 236,8</w:t>
            </w:r>
          </w:p>
        </w:tc>
        <w:tc>
          <w:tcPr>
            <w:tcW w:w="1037" w:type="dxa"/>
            <w:tcBorders>
              <w:top w:val="nil"/>
              <w:left w:val="nil"/>
              <w:bottom w:val="single" w:sz="4" w:space="0" w:color="auto"/>
              <w:right w:val="single" w:sz="4" w:space="0" w:color="auto"/>
            </w:tcBorders>
            <w:shd w:val="clear" w:color="auto" w:fill="auto"/>
            <w:noWrap/>
            <w:vAlign w:val="center"/>
            <w:hideMark/>
          </w:tcPr>
          <w:p w14:paraId="00117062"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5 818,1</w:t>
            </w:r>
          </w:p>
        </w:tc>
        <w:tc>
          <w:tcPr>
            <w:tcW w:w="1001" w:type="dxa"/>
            <w:tcBorders>
              <w:top w:val="nil"/>
              <w:left w:val="nil"/>
              <w:bottom w:val="single" w:sz="4" w:space="0" w:color="auto"/>
              <w:right w:val="single" w:sz="4" w:space="0" w:color="auto"/>
            </w:tcBorders>
            <w:shd w:val="clear" w:color="auto" w:fill="auto"/>
            <w:noWrap/>
            <w:vAlign w:val="center"/>
            <w:hideMark/>
          </w:tcPr>
          <w:p w14:paraId="381104D7"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6 539,5</w:t>
            </w:r>
          </w:p>
        </w:tc>
        <w:tc>
          <w:tcPr>
            <w:tcW w:w="1001" w:type="dxa"/>
            <w:tcBorders>
              <w:top w:val="nil"/>
              <w:left w:val="nil"/>
              <w:bottom w:val="single" w:sz="4" w:space="0" w:color="auto"/>
              <w:right w:val="single" w:sz="4" w:space="0" w:color="auto"/>
            </w:tcBorders>
            <w:shd w:val="clear" w:color="auto" w:fill="auto"/>
            <w:noWrap/>
            <w:vAlign w:val="center"/>
            <w:hideMark/>
          </w:tcPr>
          <w:p w14:paraId="7FF39082"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7 049,6</w:t>
            </w:r>
          </w:p>
        </w:tc>
      </w:tr>
      <w:tr w:rsidR="00E45D3C" w:rsidRPr="00610417" w14:paraId="0B0929AD" w14:textId="77777777" w:rsidTr="008138C1">
        <w:trPr>
          <w:divId w:val="926767640"/>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E4DDD0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w:t>
            </w:r>
          </w:p>
        </w:tc>
        <w:tc>
          <w:tcPr>
            <w:tcW w:w="4098" w:type="dxa"/>
            <w:tcBorders>
              <w:top w:val="nil"/>
              <w:left w:val="nil"/>
              <w:bottom w:val="single" w:sz="4" w:space="0" w:color="auto"/>
              <w:right w:val="single" w:sz="4" w:space="0" w:color="auto"/>
            </w:tcBorders>
            <w:shd w:val="clear" w:color="auto" w:fill="auto"/>
            <w:vAlign w:val="center"/>
            <w:hideMark/>
          </w:tcPr>
          <w:p w14:paraId="0C243DE4"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Обсяг вантажопереробки</w:t>
            </w:r>
          </w:p>
        </w:tc>
        <w:tc>
          <w:tcPr>
            <w:tcW w:w="1067" w:type="dxa"/>
            <w:tcBorders>
              <w:top w:val="nil"/>
              <w:left w:val="nil"/>
              <w:bottom w:val="single" w:sz="4" w:space="0" w:color="auto"/>
              <w:right w:val="single" w:sz="4" w:space="0" w:color="auto"/>
            </w:tcBorders>
            <w:shd w:val="clear" w:color="auto" w:fill="auto"/>
            <w:noWrap/>
            <w:vAlign w:val="center"/>
            <w:hideMark/>
          </w:tcPr>
          <w:p w14:paraId="65671517" w14:textId="66FA627E" w:rsidR="00E45D3C" w:rsidRPr="00610417" w:rsidRDefault="008138C1"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млн </w:t>
            </w:r>
            <w:r w:rsidR="00E45D3C" w:rsidRPr="00610417">
              <w:rPr>
                <w:rFonts w:ascii="Times New Roman" w:eastAsia="Times New Roman" w:hAnsi="Times New Roman" w:cs="Times New Roman"/>
                <w:color w:val="000000"/>
                <w:sz w:val="20"/>
                <w:szCs w:val="20"/>
                <w:lang w:val="uk-UA" w:eastAsia="ru-RU"/>
              </w:rPr>
              <w:t>тон</w:t>
            </w:r>
          </w:p>
        </w:tc>
        <w:tc>
          <w:tcPr>
            <w:tcW w:w="992" w:type="dxa"/>
            <w:tcBorders>
              <w:top w:val="nil"/>
              <w:left w:val="nil"/>
              <w:bottom w:val="single" w:sz="4" w:space="0" w:color="auto"/>
              <w:right w:val="single" w:sz="4" w:space="0" w:color="auto"/>
            </w:tcBorders>
            <w:shd w:val="clear" w:color="auto" w:fill="auto"/>
            <w:noWrap/>
            <w:vAlign w:val="center"/>
            <w:hideMark/>
          </w:tcPr>
          <w:p w14:paraId="3EA0F53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25,62</w:t>
            </w:r>
          </w:p>
        </w:tc>
        <w:tc>
          <w:tcPr>
            <w:tcW w:w="876" w:type="dxa"/>
            <w:tcBorders>
              <w:top w:val="nil"/>
              <w:left w:val="nil"/>
              <w:bottom w:val="single" w:sz="4" w:space="0" w:color="auto"/>
              <w:right w:val="single" w:sz="4" w:space="0" w:color="auto"/>
            </w:tcBorders>
            <w:shd w:val="clear" w:color="auto" w:fill="auto"/>
            <w:noWrap/>
            <w:vAlign w:val="center"/>
            <w:hideMark/>
          </w:tcPr>
          <w:p w14:paraId="3FEBFB0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8,26</w:t>
            </w:r>
          </w:p>
        </w:tc>
        <w:tc>
          <w:tcPr>
            <w:tcW w:w="967" w:type="dxa"/>
            <w:tcBorders>
              <w:top w:val="nil"/>
              <w:left w:val="nil"/>
              <w:bottom w:val="single" w:sz="4" w:space="0" w:color="auto"/>
              <w:right w:val="single" w:sz="4" w:space="0" w:color="auto"/>
            </w:tcBorders>
            <w:shd w:val="clear" w:color="auto" w:fill="auto"/>
            <w:noWrap/>
            <w:vAlign w:val="center"/>
            <w:hideMark/>
          </w:tcPr>
          <w:p w14:paraId="5B08F56E"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11,42</w:t>
            </w:r>
          </w:p>
        </w:tc>
        <w:tc>
          <w:tcPr>
            <w:tcW w:w="1201" w:type="dxa"/>
            <w:tcBorders>
              <w:top w:val="nil"/>
              <w:left w:val="nil"/>
              <w:bottom w:val="single" w:sz="4" w:space="0" w:color="auto"/>
              <w:right w:val="single" w:sz="4" w:space="0" w:color="auto"/>
            </w:tcBorders>
            <w:shd w:val="clear" w:color="auto" w:fill="auto"/>
            <w:noWrap/>
            <w:vAlign w:val="center"/>
            <w:hideMark/>
          </w:tcPr>
          <w:p w14:paraId="01BC7347"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17,46</w:t>
            </w:r>
          </w:p>
        </w:tc>
        <w:tc>
          <w:tcPr>
            <w:tcW w:w="1358" w:type="dxa"/>
            <w:tcBorders>
              <w:top w:val="nil"/>
              <w:left w:val="nil"/>
              <w:bottom w:val="single" w:sz="4" w:space="0" w:color="auto"/>
              <w:right w:val="single" w:sz="4" w:space="0" w:color="auto"/>
            </w:tcBorders>
            <w:shd w:val="clear" w:color="auto" w:fill="auto"/>
            <w:noWrap/>
            <w:vAlign w:val="center"/>
            <w:hideMark/>
          </w:tcPr>
          <w:p w14:paraId="359F170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25,3</w:t>
            </w:r>
          </w:p>
        </w:tc>
        <w:tc>
          <w:tcPr>
            <w:tcW w:w="1037" w:type="dxa"/>
            <w:tcBorders>
              <w:top w:val="nil"/>
              <w:left w:val="nil"/>
              <w:bottom w:val="single" w:sz="4" w:space="0" w:color="auto"/>
              <w:right w:val="single" w:sz="4" w:space="0" w:color="auto"/>
            </w:tcBorders>
            <w:shd w:val="clear" w:color="auto" w:fill="auto"/>
            <w:noWrap/>
            <w:vAlign w:val="center"/>
            <w:hideMark/>
          </w:tcPr>
          <w:p w14:paraId="33423B4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22,0</w:t>
            </w:r>
          </w:p>
        </w:tc>
        <w:tc>
          <w:tcPr>
            <w:tcW w:w="1001" w:type="dxa"/>
            <w:tcBorders>
              <w:top w:val="nil"/>
              <w:left w:val="nil"/>
              <w:bottom w:val="single" w:sz="4" w:space="0" w:color="auto"/>
              <w:right w:val="single" w:sz="4" w:space="0" w:color="auto"/>
            </w:tcBorders>
            <w:shd w:val="clear" w:color="auto" w:fill="auto"/>
            <w:noWrap/>
            <w:vAlign w:val="center"/>
            <w:hideMark/>
          </w:tcPr>
          <w:p w14:paraId="0EE939A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24,7</w:t>
            </w:r>
          </w:p>
        </w:tc>
        <w:tc>
          <w:tcPr>
            <w:tcW w:w="1001" w:type="dxa"/>
            <w:tcBorders>
              <w:top w:val="nil"/>
              <w:left w:val="nil"/>
              <w:bottom w:val="single" w:sz="4" w:space="0" w:color="auto"/>
              <w:right w:val="single" w:sz="4" w:space="0" w:color="auto"/>
            </w:tcBorders>
            <w:shd w:val="clear" w:color="auto" w:fill="auto"/>
            <w:noWrap/>
            <w:vAlign w:val="center"/>
            <w:hideMark/>
          </w:tcPr>
          <w:p w14:paraId="2455CF94"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26,7</w:t>
            </w:r>
          </w:p>
        </w:tc>
      </w:tr>
      <w:tr w:rsidR="00E45D3C" w:rsidRPr="00610417" w14:paraId="49C795E9" w14:textId="77777777" w:rsidTr="008138C1">
        <w:trPr>
          <w:divId w:val="926767640"/>
          <w:trHeight w:val="377"/>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9907B34"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w:t>
            </w:r>
          </w:p>
        </w:tc>
        <w:tc>
          <w:tcPr>
            <w:tcW w:w="4098" w:type="dxa"/>
            <w:tcBorders>
              <w:top w:val="nil"/>
              <w:left w:val="nil"/>
              <w:bottom w:val="single" w:sz="4" w:space="0" w:color="auto"/>
              <w:right w:val="single" w:sz="4" w:space="0" w:color="auto"/>
            </w:tcBorders>
            <w:shd w:val="clear" w:color="auto" w:fill="auto"/>
            <w:vAlign w:val="center"/>
            <w:hideMark/>
          </w:tcPr>
          <w:p w14:paraId="36D38449"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Обсяг вантажоперевезень автотранспортом</w:t>
            </w:r>
          </w:p>
        </w:tc>
        <w:tc>
          <w:tcPr>
            <w:tcW w:w="1067" w:type="dxa"/>
            <w:tcBorders>
              <w:top w:val="nil"/>
              <w:left w:val="nil"/>
              <w:bottom w:val="single" w:sz="4" w:space="0" w:color="auto"/>
              <w:right w:val="single" w:sz="4" w:space="0" w:color="auto"/>
            </w:tcBorders>
            <w:shd w:val="clear" w:color="auto" w:fill="auto"/>
            <w:noWrap/>
            <w:vAlign w:val="center"/>
            <w:hideMark/>
          </w:tcPr>
          <w:p w14:paraId="6B86AAE0" w14:textId="2EA162CD"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тис.</w:t>
            </w:r>
            <w:r w:rsidR="008138C1">
              <w:rPr>
                <w:rFonts w:ascii="Times New Roman" w:eastAsia="Times New Roman" w:hAnsi="Times New Roman" w:cs="Times New Roman"/>
                <w:color w:val="000000"/>
                <w:sz w:val="20"/>
                <w:szCs w:val="20"/>
                <w:lang w:val="uk-UA" w:eastAsia="ru-RU"/>
              </w:rPr>
              <w:t xml:space="preserve"> </w:t>
            </w:r>
            <w:r w:rsidRPr="00610417">
              <w:rPr>
                <w:rFonts w:ascii="Times New Roman" w:eastAsia="Times New Roman" w:hAnsi="Times New Roman" w:cs="Times New Roman"/>
                <w:color w:val="000000"/>
                <w:sz w:val="20"/>
                <w:szCs w:val="20"/>
                <w:lang w:val="uk-UA" w:eastAsia="ru-RU"/>
              </w:rPr>
              <w:t>тон</w:t>
            </w:r>
          </w:p>
        </w:tc>
        <w:tc>
          <w:tcPr>
            <w:tcW w:w="992" w:type="dxa"/>
            <w:tcBorders>
              <w:top w:val="nil"/>
              <w:left w:val="nil"/>
              <w:bottom w:val="single" w:sz="4" w:space="0" w:color="auto"/>
              <w:right w:val="single" w:sz="4" w:space="0" w:color="auto"/>
            </w:tcBorders>
            <w:shd w:val="clear" w:color="auto" w:fill="auto"/>
            <w:noWrap/>
            <w:vAlign w:val="center"/>
            <w:hideMark/>
          </w:tcPr>
          <w:p w14:paraId="285642B8"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1747,2</w:t>
            </w:r>
          </w:p>
        </w:tc>
        <w:tc>
          <w:tcPr>
            <w:tcW w:w="876" w:type="dxa"/>
            <w:tcBorders>
              <w:top w:val="nil"/>
              <w:left w:val="nil"/>
              <w:bottom w:val="single" w:sz="4" w:space="0" w:color="auto"/>
              <w:right w:val="single" w:sz="4" w:space="0" w:color="auto"/>
            </w:tcBorders>
            <w:shd w:val="clear" w:color="auto" w:fill="auto"/>
            <w:noWrap/>
            <w:vAlign w:val="center"/>
            <w:hideMark/>
          </w:tcPr>
          <w:p w14:paraId="104A63B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1034,4</w:t>
            </w:r>
          </w:p>
        </w:tc>
        <w:tc>
          <w:tcPr>
            <w:tcW w:w="967" w:type="dxa"/>
            <w:tcBorders>
              <w:top w:val="nil"/>
              <w:left w:val="nil"/>
              <w:bottom w:val="single" w:sz="4" w:space="0" w:color="auto"/>
              <w:right w:val="single" w:sz="4" w:space="0" w:color="auto"/>
            </w:tcBorders>
            <w:shd w:val="clear" w:color="auto" w:fill="auto"/>
            <w:noWrap/>
            <w:vAlign w:val="center"/>
            <w:hideMark/>
          </w:tcPr>
          <w:p w14:paraId="10DF1E6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736,2</w:t>
            </w:r>
          </w:p>
        </w:tc>
        <w:tc>
          <w:tcPr>
            <w:tcW w:w="1201" w:type="dxa"/>
            <w:tcBorders>
              <w:top w:val="nil"/>
              <w:left w:val="nil"/>
              <w:bottom w:val="single" w:sz="4" w:space="0" w:color="auto"/>
              <w:right w:val="single" w:sz="4" w:space="0" w:color="auto"/>
            </w:tcBorders>
            <w:shd w:val="clear" w:color="auto" w:fill="auto"/>
            <w:noWrap/>
            <w:vAlign w:val="center"/>
            <w:hideMark/>
          </w:tcPr>
          <w:p w14:paraId="5A9ED3A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12,6</w:t>
            </w:r>
          </w:p>
        </w:tc>
        <w:tc>
          <w:tcPr>
            <w:tcW w:w="1358" w:type="dxa"/>
            <w:tcBorders>
              <w:top w:val="nil"/>
              <w:left w:val="nil"/>
              <w:bottom w:val="single" w:sz="4" w:space="0" w:color="auto"/>
              <w:right w:val="single" w:sz="4" w:space="0" w:color="auto"/>
            </w:tcBorders>
            <w:shd w:val="clear" w:color="auto" w:fill="auto"/>
            <w:noWrap/>
            <w:vAlign w:val="center"/>
            <w:hideMark/>
          </w:tcPr>
          <w:p w14:paraId="1A2A6CE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25,2</w:t>
            </w:r>
          </w:p>
        </w:tc>
        <w:tc>
          <w:tcPr>
            <w:tcW w:w="1037" w:type="dxa"/>
            <w:tcBorders>
              <w:top w:val="nil"/>
              <w:left w:val="nil"/>
              <w:bottom w:val="single" w:sz="4" w:space="0" w:color="auto"/>
              <w:right w:val="single" w:sz="4" w:space="0" w:color="auto"/>
            </w:tcBorders>
            <w:shd w:val="clear" w:color="auto" w:fill="auto"/>
            <w:noWrap/>
            <w:vAlign w:val="center"/>
            <w:hideMark/>
          </w:tcPr>
          <w:p w14:paraId="68A0E5CF"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423,0</w:t>
            </w:r>
          </w:p>
        </w:tc>
        <w:tc>
          <w:tcPr>
            <w:tcW w:w="1001" w:type="dxa"/>
            <w:tcBorders>
              <w:top w:val="nil"/>
              <w:left w:val="nil"/>
              <w:bottom w:val="single" w:sz="4" w:space="0" w:color="auto"/>
              <w:right w:val="single" w:sz="4" w:space="0" w:color="auto"/>
            </w:tcBorders>
            <w:shd w:val="clear" w:color="auto" w:fill="auto"/>
            <w:noWrap/>
            <w:vAlign w:val="center"/>
            <w:hideMark/>
          </w:tcPr>
          <w:p w14:paraId="7F9D14C1"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475,4</w:t>
            </w:r>
          </w:p>
        </w:tc>
        <w:tc>
          <w:tcPr>
            <w:tcW w:w="1001" w:type="dxa"/>
            <w:tcBorders>
              <w:top w:val="nil"/>
              <w:left w:val="nil"/>
              <w:bottom w:val="single" w:sz="4" w:space="0" w:color="auto"/>
              <w:right w:val="single" w:sz="4" w:space="0" w:color="auto"/>
            </w:tcBorders>
            <w:shd w:val="clear" w:color="auto" w:fill="auto"/>
            <w:noWrap/>
            <w:vAlign w:val="center"/>
            <w:hideMark/>
          </w:tcPr>
          <w:p w14:paraId="48323928"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512,5</w:t>
            </w:r>
          </w:p>
        </w:tc>
      </w:tr>
      <w:tr w:rsidR="00E45D3C" w:rsidRPr="00610417" w14:paraId="7E84BE47" w14:textId="77777777" w:rsidTr="008138C1">
        <w:trPr>
          <w:divId w:val="926767640"/>
          <w:trHeight w:val="41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8CEF872"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4</w:t>
            </w:r>
          </w:p>
        </w:tc>
        <w:tc>
          <w:tcPr>
            <w:tcW w:w="4098" w:type="dxa"/>
            <w:tcBorders>
              <w:top w:val="nil"/>
              <w:left w:val="nil"/>
              <w:bottom w:val="single" w:sz="4" w:space="0" w:color="auto"/>
              <w:right w:val="single" w:sz="4" w:space="0" w:color="auto"/>
            </w:tcBorders>
            <w:shd w:val="clear" w:color="auto" w:fill="auto"/>
            <w:vAlign w:val="center"/>
            <w:hideMark/>
          </w:tcPr>
          <w:p w14:paraId="071DD701"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Обсяг реалізованих послуг (у ринкових цінах, що включають ПДВ)</w:t>
            </w:r>
          </w:p>
        </w:tc>
        <w:tc>
          <w:tcPr>
            <w:tcW w:w="1067" w:type="dxa"/>
            <w:tcBorders>
              <w:top w:val="nil"/>
              <w:left w:val="nil"/>
              <w:bottom w:val="single" w:sz="4" w:space="0" w:color="auto"/>
              <w:right w:val="single" w:sz="4" w:space="0" w:color="auto"/>
            </w:tcBorders>
            <w:shd w:val="clear" w:color="auto" w:fill="auto"/>
            <w:noWrap/>
            <w:vAlign w:val="center"/>
            <w:hideMark/>
          </w:tcPr>
          <w:p w14:paraId="1ECDED93" w14:textId="6C611992" w:rsidR="00E45D3C" w:rsidRPr="00610417" w:rsidRDefault="008138C1" w:rsidP="008138C1">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млн </w:t>
            </w:r>
            <w:r w:rsidR="00E45D3C" w:rsidRPr="00610417">
              <w:rPr>
                <w:rFonts w:ascii="Times New Roman" w:eastAsia="Times New Roman" w:hAnsi="Times New Roman" w:cs="Times New Roman"/>
                <w:color w:val="000000"/>
                <w:sz w:val="20"/>
                <w:szCs w:val="20"/>
                <w:lang w:val="uk-UA" w:eastAsia="ru-RU"/>
              </w:rPr>
              <w:t>грн</w:t>
            </w:r>
          </w:p>
        </w:tc>
        <w:tc>
          <w:tcPr>
            <w:tcW w:w="992" w:type="dxa"/>
            <w:tcBorders>
              <w:top w:val="nil"/>
              <w:left w:val="nil"/>
              <w:bottom w:val="single" w:sz="4" w:space="0" w:color="auto"/>
              <w:right w:val="single" w:sz="4" w:space="0" w:color="auto"/>
            </w:tcBorders>
            <w:shd w:val="clear" w:color="auto" w:fill="auto"/>
            <w:noWrap/>
            <w:vAlign w:val="center"/>
            <w:hideMark/>
          </w:tcPr>
          <w:p w14:paraId="5D1FDA52"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7545,2</w:t>
            </w:r>
          </w:p>
        </w:tc>
        <w:tc>
          <w:tcPr>
            <w:tcW w:w="876" w:type="dxa"/>
            <w:tcBorders>
              <w:top w:val="nil"/>
              <w:left w:val="nil"/>
              <w:bottom w:val="single" w:sz="4" w:space="0" w:color="auto"/>
              <w:right w:val="single" w:sz="4" w:space="0" w:color="auto"/>
            </w:tcBorders>
            <w:shd w:val="clear" w:color="auto" w:fill="auto"/>
            <w:noWrap/>
            <w:vAlign w:val="center"/>
            <w:hideMark/>
          </w:tcPr>
          <w:p w14:paraId="2A07654A"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5247,2</w:t>
            </w:r>
          </w:p>
        </w:tc>
        <w:tc>
          <w:tcPr>
            <w:tcW w:w="967" w:type="dxa"/>
            <w:tcBorders>
              <w:top w:val="nil"/>
              <w:left w:val="nil"/>
              <w:bottom w:val="single" w:sz="4" w:space="0" w:color="auto"/>
              <w:right w:val="single" w:sz="4" w:space="0" w:color="auto"/>
            </w:tcBorders>
            <w:shd w:val="clear" w:color="auto" w:fill="auto"/>
            <w:noWrap/>
            <w:vAlign w:val="center"/>
            <w:hideMark/>
          </w:tcPr>
          <w:p w14:paraId="78C59821"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7321,7</w:t>
            </w:r>
          </w:p>
        </w:tc>
        <w:tc>
          <w:tcPr>
            <w:tcW w:w="1201" w:type="dxa"/>
            <w:tcBorders>
              <w:top w:val="nil"/>
              <w:left w:val="nil"/>
              <w:bottom w:val="single" w:sz="4" w:space="0" w:color="auto"/>
              <w:right w:val="single" w:sz="4" w:space="0" w:color="auto"/>
            </w:tcBorders>
            <w:shd w:val="clear" w:color="auto" w:fill="auto"/>
            <w:noWrap/>
            <w:vAlign w:val="center"/>
            <w:hideMark/>
          </w:tcPr>
          <w:p w14:paraId="4F6A186F"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7140,5</w:t>
            </w:r>
          </w:p>
        </w:tc>
        <w:tc>
          <w:tcPr>
            <w:tcW w:w="1358" w:type="dxa"/>
            <w:tcBorders>
              <w:top w:val="nil"/>
              <w:left w:val="nil"/>
              <w:bottom w:val="single" w:sz="4" w:space="0" w:color="auto"/>
              <w:right w:val="single" w:sz="4" w:space="0" w:color="auto"/>
            </w:tcBorders>
            <w:shd w:val="clear" w:color="auto" w:fill="auto"/>
            <w:noWrap/>
            <w:vAlign w:val="center"/>
            <w:hideMark/>
          </w:tcPr>
          <w:p w14:paraId="34382A4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10 350,9</w:t>
            </w:r>
          </w:p>
        </w:tc>
        <w:tc>
          <w:tcPr>
            <w:tcW w:w="1037" w:type="dxa"/>
            <w:tcBorders>
              <w:top w:val="nil"/>
              <w:left w:val="nil"/>
              <w:bottom w:val="single" w:sz="4" w:space="0" w:color="auto"/>
              <w:right w:val="single" w:sz="4" w:space="0" w:color="auto"/>
            </w:tcBorders>
            <w:shd w:val="clear" w:color="auto" w:fill="auto"/>
            <w:noWrap/>
            <w:vAlign w:val="center"/>
            <w:hideMark/>
          </w:tcPr>
          <w:p w14:paraId="69BA920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9 851,9</w:t>
            </w:r>
          </w:p>
        </w:tc>
        <w:tc>
          <w:tcPr>
            <w:tcW w:w="1001" w:type="dxa"/>
            <w:tcBorders>
              <w:top w:val="nil"/>
              <w:left w:val="nil"/>
              <w:bottom w:val="single" w:sz="4" w:space="0" w:color="auto"/>
              <w:right w:val="single" w:sz="4" w:space="0" w:color="auto"/>
            </w:tcBorders>
            <w:shd w:val="clear" w:color="auto" w:fill="auto"/>
            <w:noWrap/>
            <w:vAlign w:val="center"/>
            <w:hideMark/>
          </w:tcPr>
          <w:p w14:paraId="357FEA4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12 225,2</w:t>
            </w:r>
          </w:p>
        </w:tc>
        <w:tc>
          <w:tcPr>
            <w:tcW w:w="1001" w:type="dxa"/>
            <w:tcBorders>
              <w:top w:val="nil"/>
              <w:left w:val="nil"/>
              <w:bottom w:val="single" w:sz="4" w:space="0" w:color="auto"/>
              <w:right w:val="single" w:sz="4" w:space="0" w:color="auto"/>
            </w:tcBorders>
            <w:shd w:val="clear" w:color="auto" w:fill="auto"/>
            <w:noWrap/>
            <w:vAlign w:val="center"/>
            <w:hideMark/>
          </w:tcPr>
          <w:p w14:paraId="074BB5A9" w14:textId="77777777" w:rsidR="00E45D3C" w:rsidRPr="00610417" w:rsidRDefault="00E45D3C" w:rsidP="00E45D3C">
            <w:pPr>
              <w:spacing w:after="0" w:line="240" w:lineRule="auto"/>
              <w:ind w:left="-156"/>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13 956,3</w:t>
            </w:r>
          </w:p>
        </w:tc>
      </w:tr>
      <w:tr w:rsidR="00E45D3C" w:rsidRPr="00610417" w14:paraId="497C3AC3" w14:textId="77777777" w:rsidTr="008138C1">
        <w:trPr>
          <w:divId w:val="926767640"/>
          <w:trHeight w:val="503"/>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584983D"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5</w:t>
            </w:r>
          </w:p>
        </w:tc>
        <w:tc>
          <w:tcPr>
            <w:tcW w:w="4098" w:type="dxa"/>
            <w:tcBorders>
              <w:top w:val="nil"/>
              <w:left w:val="nil"/>
              <w:bottom w:val="single" w:sz="4" w:space="0" w:color="auto"/>
              <w:right w:val="single" w:sz="4" w:space="0" w:color="auto"/>
            </w:tcBorders>
            <w:shd w:val="clear" w:color="auto" w:fill="auto"/>
            <w:vAlign w:val="center"/>
            <w:hideMark/>
          </w:tcPr>
          <w:p w14:paraId="0AD12C1D"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Обсяг послуг, реалізованних населенню (у діючих цінах)</w:t>
            </w:r>
          </w:p>
        </w:tc>
        <w:tc>
          <w:tcPr>
            <w:tcW w:w="1067" w:type="dxa"/>
            <w:tcBorders>
              <w:top w:val="nil"/>
              <w:left w:val="nil"/>
              <w:bottom w:val="single" w:sz="4" w:space="0" w:color="auto"/>
              <w:right w:val="single" w:sz="4" w:space="0" w:color="auto"/>
            </w:tcBorders>
            <w:shd w:val="clear" w:color="auto" w:fill="auto"/>
            <w:noWrap/>
            <w:vAlign w:val="center"/>
            <w:hideMark/>
          </w:tcPr>
          <w:p w14:paraId="159600BF" w14:textId="641EE7A1" w:rsidR="00E45D3C" w:rsidRPr="00610417" w:rsidRDefault="008138C1" w:rsidP="008138C1">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млн </w:t>
            </w:r>
            <w:r w:rsidR="00E45D3C" w:rsidRPr="00610417">
              <w:rPr>
                <w:rFonts w:ascii="Times New Roman" w:eastAsia="Times New Roman" w:hAnsi="Times New Roman" w:cs="Times New Roman"/>
                <w:color w:val="000000"/>
                <w:sz w:val="20"/>
                <w:szCs w:val="20"/>
                <w:lang w:val="uk-UA" w:eastAsia="ru-RU"/>
              </w:rPr>
              <w:t>грн</w:t>
            </w:r>
          </w:p>
        </w:tc>
        <w:tc>
          <w:tcPr>
            <w:tcW w:w="992" w:type="dxa"/>
            <w:tcBorders>
              <w:top w:val="nil"/>
              <w:left w:val="nil"/>
              <w:bottom w:val="single" w:sz="4" w:space="0" w:color="auto"/>
              <w:right w:val="single" w:sz="4" w:space="0" w:color="auto"/>
            </w:tcBorders>
            <w:shd w:val="clear" w:color="auto" w:fill="auto"/>
            <w:noWrap/>
            <w:vAlign w:val="center"/>
            <w:hideMark/>
          </w:tcPr>
          <w:p w14:paraId="36A7594F"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155,9</w:t>
            </w:r>
          </w:p>
        </w:tc>
        <w:tc>
          <w:tcPr>
            <w:tcW w:w="876" w:type="dxa"/>
            <w:tcBorders>
              <w:top w:val="nil"/>
              <w:left w:val="nil"/>
              <w:bottom w:val="single" w:sz="4" w:space="0" w:color="auto"/>
              <w:right w:val="single" w:sz="4" w:space="0" w:color="auto"/>
            </w:tcBorders>
            <w:shd w:val="clear" w:color="auto" w:fill="auto"/>
            <w:noWrap/>
            <w:vAlign w:val="center"/>
            <w:hideMark/>
          </w:tcPr>
          <w:p w14:paraId="4D19EED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108,3</w:t>
            </w:r>
          </w:p>
        </w:tc>
        <w:tc>
          <w:tcPr>
            <w:tcW w:w="967" w:type="dxa"/>
            <w:tcBorders>
              <w:top w:val="nil"/>
              <w:left w:val="nil"/>
              <w:bottom w:val="single" w:sz="4" w:space="0" w:color="auto"/>
              <w:right w:val="single" w:sz="4" w:space="0" w:color="auto"/>
            </w:tcBorders>
            <w:shd w:val="clear" w:color="auto" w:fill="auto"/>
            <w:noWrap/>
            <w:vAlign w:val="center"/>
            <w:hideMark/>
          </w:tcPr>
          <w:p w14:paraId="76EC57FD"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135,7</w:t>
            </w:r>
          </w:p>
        </w:tc>
        <w:tc>
          <w:tcPr>
            <w:tcW w:w="1201" w:type="dxa"/>
            <w:tcBorders>
              <w:top w:val="nil"/>
              <w:left w:val="nil"/>
              <w:bottom w:val="single" w:sz="4" w:space="0" w:color="auto"/>
              <w:right w:val="single" w:sz="4" w:space="0" w:color="auto"/>
            </w:tcBorders>
            <w:shd w:val="clear" w:color="auto" w:fill="auto"/>
            <w:noWrap/>
            <w:vAlign w:val="center"/>
            <w:hideMark/>
          </w:tcPr>
          <w:p w14:paraId="63F8735A"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141</w:t>
            </w:r>
          </w:p>
        </w:tc>
        <w:tc>
          <w:tcPr>
            <w:tcW w:w="1358" w:type="dxa"/>
            <w:tcBorders>
              <w:top w:val="nil"/>
              <w:left w:val="nil"/>
              <w:bottom w:val="single" w:sz="4" w:space="0" w:color="auto"/>
              <w:right w:val="single" w:sz="4" w:space="0" w:color="auto"/>
            </w:tcBorders>
            <w:shd w:val="clear" w:color="auto" w:fill="auto"/>
            <w:noWrap/>
            <w:vAlign w:val="center"/>
            <w:hideMark/>
          </w:tcPr>
          <w:p w14:paraId="4D6E3A02"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282,0</w:t>
            </w:r>
          </w:p>
        </w:tc>
        <w:tc>
          <w:tcPr>
            <w:tcW w:w="1037" w:type="dxa"/>
            <w:tcBorders>
              <w:top w:val="nil"/>
              <w:left w:val="nil"/>
              <w:bottom w:val="single" w:sz="4" w:space="0" w:color="auto"/>
              <w:right w:val="single" w:sz="4" w:space="0" w:color="auto"/>
            </w:tcBorders>
            <w:shd w:val="clear" w:color="auto" w:fill="auto"/>
            <w:noWrap/>
            <w:vAlign w:val="center"/>
            <w:hideMark/>
          </w:tcPr>
          <w:p w14:paraId="18B4314D"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308,8</w:t>
            </w:r>
          </w:p>
        </w:tc>
        <w:tc>
          <w:tcPr>
            <w:tcW w:w="1001" w:type="dxa"/>
            <w:tcBorders>
              <w:top w:val="nil"/>
              <w:left w:val="nil"/>
              <w:bottom w:val="single" w:sz="4" w:space="0" w:color="auto"/>
              <w:right w:val="single" w:sz="4" w:space="0" w:color="auto"/>
            </w:tcBorders>
            <w:shd w:val="clear" w:color="auto" w:fill="auto"/>
            <w:noWrap/>
            <w:vAlign w:val="center"/>
            <w:hideMark/>
          </w:tcPr>
          <w:p w14:paraId="53D410E4"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340,9</w:t>
            </w:r>
          </w:p>
        </w:tc>
        <w:tc>
          <w:tcPr>
            <w:tcW w:w="1001" w:type="dxa"/>
            <w:tcBorders>
              <w:top w:val="nil"/>
              <w:left w:val="nil"/>
              <w:bottom w:val="single" w:sz="4" w:space="0" w:color="auto"/>
              <w:right w:val="single" w:sz="4" w:space="0" w:color="auto"/>
            </w:tcBorders>
            <w:shd w:val="clear" w:color="auto" w:fill="auto"/>
            <w:noWrap/>
            <w:vAlign w:val="center"/>
            <w:hideMark/>
          </w:tcPr>
          <w:p w14:paraId="0998E455"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361,0</w:t>
            </w:r>
          </w:p>
        </w:tc>
      </w:tr>
      <w:tr w:rsidR="00E45D3C" w:rsidRPr="00610417" w14:paraId="419C9507" w14:textId="77777777" w:rsidTr="008138C1">
        <w:trPr>
          <w:divId w:val="926767640"/>
          <w:trHeight w:val="283"/>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DE7394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6</w:t>
            </w:r>
          </w:p>
        </w:tc>
        <w:tc>
          <w:tcPr>
            <w:tcW w:w="4098" w:type="dxa"/>
            <w:tcBorders>
              <w:top w:val="nil"/>
              <w:left w:val="nil"/>
              <w:bottom w:val="single" w:sz="4" w:space="0" w:color="auto"/>
              <w:right w:val="single" w:sz="4" w:space="0" w:color="auto"/>
            </w:tcBorders>
            <w:shd w:val="clear" w:color="auto" w:fill="auto"/>
            <w:vAlign w:val="center"/>
            <w:hideMark/>
          </w:tcPr>
          <w:p w14:paraId="6A8D7551"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Обсяг експортно товарообороту</w:t>
            </w:r>
          </w:p>
        </w:tc>
        <w:tc>
          <w:tcPr>
            <w:tcW w:w="1067" w:type="dxa"/>
            <w:tcBorders>
              <w:top w:val="nil"/>
              <w:left w:val="nil"/>
              <w:bottom w:val="single" w:sz="4" w:space="0" w:color="auto"/>
              <w:right w:val="single" w:sz="4" w:space="0" w:color="auto"/>
            </w:tcBorders>
            <w:shd w:val="clear" w:color="auto" w:fill="auto"/>
            <w:vAlign w:val="center"/>
            <w:hideMark/>
          </w:tcPr>
          <w:p w14:paraId="4FDA8F6C" w14:textId="3C8F00E0" w:rsidR="00E45D3C" w:rsidRPr="00610417" w:rsidRDefault="008138C1"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 xml:space="preserve">млн </w:t>
            </w:r>
            <w:r w:rsidR="00E45D3C" w:rsidRPr="00610417">
              <w:rPr>
                <w:rFonts w:ascii="Times New Roman" w:eastAsia="Times New Roman" w:hAnsi="Times New Roman" w:cs="Times New Roman"/>
                <w:color w:val="000000"/>
                <w:sz w:val="20"/>
                <w:szCs w:val="20"/>
                <w:lang w:val="uk-UA" w:eastAsia="ru-RU"/>
              </w:rPr>
              <w:t>дол. США</w:t>
            </w:r>
          </w:p>
        </w:tc>
        <w:tc>
          <w:tcPr>
            <w:tcW w:w="992" w:type="dxa"/>
            <w:tcBorders>
              <w:top w:val="nil"/>
              <w:left w:val="nil"/>
              <w:bottom w:val="single" w:sz="4" w:space="0" w:color="auto"/>
              <w:right w:val="single" w:sz="4" w:space="0" w:color="auto"/>
            </w:tcBorders>
            <w:shd w:val="clear" w:color="auto" w:fill="auto"/>
            <w:noWrap/>
            <w:vAlign w:val="center"/>
            <w:hideMark/>
          </w:tcPr>
          <w:p w14:paraId="0EBD0AC3"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127,3</w:t>
            </w:r>
          </w:p>
        </w:tc>
        <w:tc>
          <w:tcPr>
            <w:tcW w:w="876" w:type="dxa"/>
            <w:tcBorders>
              <w:top w:val="nil"/>
              <w:left w:val="nil"/>
              <w:bottom w:val="single" w:sz="4" w:space="0" w:color="auto"/>
              <w:right w:val="single" w:sz="4" w:space="0" w:color="auto"/>
            </w:tcBorders>
            <w:shd w:val="clear" w:color="auto" w:fill="auto"/>
            <w:noWrap/>
            <w:vAlign w:val="center"/>
            <w:hideMark/>
          </w:tcPr>
          <w:p w14:paraId="05529D3B"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92</w:t>
            </w:r>
          </w:p>
        </w:tc>
        <w:tc>
          <w:tcPr>
            <w:tcW w:w="967" w:type="dxa"/>
            <w:tcBorders>
              <w:top w:val="nil"/>
              <w:left w:val="nil"/>
              <w:bottom w:val="single" w:sz="4" w:space="0" w:color="auto"/>
              <w:right w:val="single" w:sz="4" w:space="0" w:color="auto"/>
            </w:tcBorders>
            <w:shd w:val="clear" w:color="auto" w:fill="auto"/>
            <w:noWrap/>
            <w:vAlign w:val="center"/>
            <w:hideMark/>
          </w:tcPr>
          <w:p w14:paraId="4D66915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87,1</w:t>
            </w:r>
          </w:p>
        </w:tc>
        <w:tc>
          <w:tcPr>
            <w:tcW w:w="1201" w:type="dxa"/>
            <w:tcBorders>
              <w:top w:val="nil"/>
              <w:left w:val="nil"/>
              <w:bottom w:val="single" w:sz="4" w:space="0" w:color="auto"/>
              <w:right w:val="single" w:sz="4" w:space="0" w:color="auto"/>
            </w:tcBorders>
            <w:shd w:val="clear" w:color="auto" w:fill="auto"/>
            <w:noWrap/>
            <w:vAlign w:val="center"/>
            <w:hideMark/>
          </w:tcPr>
          <w:p w14:paraId="72E367B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43,8</w:t>
            </w:r>
          </w:p>
        </w:tc>
        <w:tc>
          <w:tcPr>
            <w:tcW w:w="1358" w:type="dxa"/>
            <w:tcBorders>
              <w:top w:val="nil"/>
              <w:left w:val="nil"/>
              <w:bottom w:val="single" w:sz="4" w:space="0" w:color="auto"/>
              <w:right w:val="single" w:sz="4" w:space="0" w:color="auto"/>
            </w:tcBorders>
            <w:shd w:val="clear" w:color="auto" w:fill="auto"/>
            <w:noWrap/>
            <w:vAlign w:val="center"/>
            <w:hideMark/>
          </w:tcPr>
          <w:p w14:paraId="190EA38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87,6</w:t>
            </w:r>
          </w:p>
        </w:tc>
        <w:tc>
          <w:tcPr>
            <w:tcW w:w="1037" w:type="dxa"/>
            <w:tcBorders>
              <w:top w:val="nil"/>
              <w:left w:val="nil"/>
              <w:bottom w:val="single" w:sz="4" w:space="0" w:color="auto"/>
              <w:right w:val="single" w:sz="4" w:space="0" w:color="auto"/>
            </w:tcBorders>
            <w:shd w:val="clear" w:color="auto" w:fill="auto"/>
            <w:noWrap/>
            <w:vAlign w:val="center"/>
            <w:hideMark/>
          </w:tcPr>
          <w:p w14:paraId="61A48054"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95,9</w:t>
            </w:r>
          </w:p>
        </w:tc>
        <w:tc>
          <w:tcPr>
            <w:tcW w:w="1001" w:type="dxa"/>
            <w:tcBorders>
              <w:top w:val="nil"/>
              <w:left w:val="nil"/>
              <w:bottom w:val="single" w:sz="4" w:space="0" w:color="auto"/>
              <w:right w:val="single" w:sz="4" w:space="0" w:color="auto"/>
            </w:tcBorders>
            <w:shd w:val="clear" w:color="auto" w:fill="auto"/>
            <w:noWrap/>
            <w:vAlign w:val="center"/>
            <w:hideMark/>
          </w:tcPr>
          <w:p w14:paraId="7EDC143E"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105,9</w:t>
            </w:r>
          </w:p>
        </w:tc>
        <w:tc>
          <w:tcPr>
            <w:tcW w:w="1001" w:type="dxa"/>
            <w:tcBorders>
              <w:top w:val="nil"/>
              <w:left w:val="nil"/>
              <w:bottom w:val="single" w:sz="4" w:space="0" w:color="auto"/>
              <w:right w:val="single" w:sz="4" w:space="0" w:color="auto"/>
            </w:tcBorders>
            <w:shd w:val="clear" w:color="auto" w:fill="auto"/>
            <w:noWrap/>
            <w:vAlign w:val="center"/>
            <w:hideMark/>
          </w:tcPr>
          <w:p w14:paraId="5C0186C8"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112,1</w:t>
            </w:r>
          </w:p>
        </w:tc>
      </w:tr>
      <w:tr w:rsidR="00E45D3C" w:rsidRPr="00610417" w14:paraId="5CD22E6F" w14:textId="77777777" w:rsidTr="008138C1">
        <w:trPr>
          <w:divId w:val="926767640"/>
          <w:trHeight w:val="6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F0DF660" w14:textId="0E401349"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w:t>
            </w:r>
            <w:r w:rsidR="00610417">
              <w:rPr>
                <w:rFonts w:ascii="Times New Roman" w:eastAsia="Times New Roman" w:hAnsi="Times New Roman" w:cs="Times New Roman"/>
                <w:color w:val="000000"/>
                <w:sz w:val="20"/>
                <w:szCs w:val="20"/>
                <w:lang w:val="uk-UA" w:eastAsia="ru-RU"/>
              </w:rPr>
              <w:t>7</w:t>
            </w:r>
          </w:p>
        </w:tc>
        <w:tc>
          <w:tcPr>
            <w:tcW w:w="4098" w:type="dxa"/>
            <w:tcBorders>
              <w:top w:val="nil"/>
              <w:left w:val="nil"/>
              <w:bottom w:val="single" w:sz="4" w:space="0" w:color="auto"/>
              <w:right w:val="single" w:sz="4" w:space="0" w:color="auto"/>
            </w:tcBorders>
            <w:shd w:val="clear" w:color="auto" w:fill="auto"/>
            <w:vAlign w:val="center"/>
            <w:hideMark/>
          </w:tcPr>
          <w:p w14:paraId="45B189A1"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Обсяг імпортного товарообороту</w:t>
            </w:r>
          </w:p>
        </w:tc>
        <w:tc>
          <w:tcPr>
            <w:tcW w:w="1067" w:type="dxa"/>
            <w:tcBorders>
              <w:top w:val="nil"/>
              <w:left w:val="nil"/>
              <w:bottom w:val="single" w:sz="4" w:space="0" w:color="auto"/>
              <w:right w:val="single" w:sz="4" w:space="0" w:color="auto"/>
            </w:tcBorders>
            <w:shd w:val="clear" w:color="auto" w:fill="auto"/>
            <w:vAlign w:val="center"/>
            <w:hideMark/>
          </w:tcPr>
          <w:p w14:paraId="46F9CDA3" w14:textId="026A0F51" w:rsidR="00E45D3C" w:rsidRPr="00610417" w:rsidRDefault="00E45D3C" w:rsidP="008138C1">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млн</w:t>
            </w:r>
            <w:r w:rsidR="008138C1">
              <w:rPr>
                <w:rFonts w:ascii="Times New Roman" w:eastAsia="Times New Roman" w:hAnsi="Times New Roman" w:cs="Times New Roman"/>
                <w:color w:val="000000"/>
                <w:sz w:val="20"/>
                <w:szCs w:val="20"/>
                <w:lang w:val="uk-UA" w:eastAsia="ru-RU"/>
              </w:rPr>
              <w:t xml:space="preserve"> </w:t>
            </w:r>
            <w:r w:rsidRPr="00610417">
              <w:rPr>
                <w:rFonts w:ascii="Times New Roman" w:eastAsia="Times New Roman" w:hAnsi="Times New Roman" w:cs="Times New Roman"/>
                <w:color w:val="000000"/>
                <w:sz w:val="20"/>
                <w:szCs w:val="20"/>
                <w:lang w:val="uk-UA" w:eastAsia="ru-RU"/>
              </w:rPr>
              <w:t>дол</w:t>
            </w:r>
            <w:r w:rsidR="008138C1">
              <w:rPr>
                <w:rFonts w:ascii="Times New Roman" w:eastAsia="Times New Roman" w:hAnsi="Times New Roman" w:cs="Times New Roman"/>
                <w:color w:val="000000"/>
                <w:sz w:val="20"/>
                <w:szCs w:val="20"/>
                <w:lang w:val="uk-UA" w:eastAsia="ru-RU"/>
              </w:rPr>
              <w:t>.</w:t>
            </w:r>
            <w:r w:rsidRPr="00610417">
              <w:rPr>
                <w:rFonts w:ascii="Times New Roman" w:eastAsia="Times New Roman" w:hAnsi="Times New Roman" w:cs="Times New Roman"/>
                <w:color w:val="000000"/>
                <w:sz w:val="20"/>
                <w:szCs w:val="20"/>
                <w:lang w:val="uk-UA" w:eastAsia="ru-RU"/>
              </w:rPr>
              <w:t xml:space="preserve"> США</w:t>
            </w:r>
          </w:p>
        </w:tc>
        <w:tc>
          <w:tcPr>
            <w:tcW w:w="992" w:type="dxa"/>
            <w:tcBorders>
              <w:top w:val="nil"/>
              <w:left w:val="nil"/>
              <w:bottom w:val="single" w:sz="4" w:space="0" w:color="auto"/>
              <w:right w:val="single" w:sz="4" w:space="0" w:color="auto"/>
            </w:tcBorders>
            <w:shd w:val="clear" w:color="auto" w:fill="auto"/>
            <w:noWrap/>
            <w:vAlign w:val="center"/>
            <w:hideMark/>
          </w:tcPr>
          <w:p w14:paraId="7852D27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120,4</w:t>
            </w:r>
          </w:p>
        </w:tc>
        <w:tc>
          <w:tcPr>
            <w:tcW w:w="876" w:type="dxa"/>
            <w:tcBorders>
              <w:top w:val="nil"/>
              <w:left w:val="nil"/>
              <w:bottom w:val="single" w:sz="4" w:space="0" w:color="auto"/>
              <w:right w:val="single" w:sz="4" w:space="0" w:color="auto"/>
            </w:tcBorders>
            <w:shd w:val="clear" w:color="auto" w:fill="auto"/>
            <w:noWrap/>
            <w:vAlign w:val="center"/>
            <w:hideMark/>
          </w:tcPr>
          <w:p w14:paraId="1C61CAF2"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114,9</w:t>
            </w:r>
          </w:p>
        </w:tc>
        <w:tc>
          <w:tcPr>
            <w:tcW w:w="967" w:type="dxa"/>
            <w:tcBorders>
              <w:top w:val="nil"/>
              <w:left w:val="nil"/>
              <w:bottom w:val="single" w:sz="4" w:space="0" w:color="auto"/>
              <w:right w:val="single" w:sz="4" w:space="0" w:color="auto"/>
            </w:tcBorders>
            <w:shd w:val="clear" w:color="auto" w:fill="auto"/>
            <w:noWrap/>
            <w:vAlign w:val="center"/>
            <w:hideMark/>
          </w:tcPr>
          <w:p w14:paraId="6EB36EF7"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130,7</w:t>
            </w:r>
          </w:p>
        </w:tc>
        <w:tc>
          <w:tcPr>
            <w:tcW w:w="1201" w:type="dxa"/>
            <w:tcBorders>
              <w:top w:val="nil"/>
              <w:left w:val="nil"/>
              <w:bottom w:val="single" w:sz="4" w:space="0" w:color="auto"/>
              <w:right w:val="single" w:sz="4" w:space="0" w:color="auto"/>
            </w:tcBorders>
            <w:shd w:val="clear" w:color="auto" w:fill="auto"/>
            <w:noWrap/>
            <w:vAlign w:val="center"/>
            <w:hideMark/>
          </w:tcPr>
          <w:p w14:paraId="74B4FDC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65,7</w:t>
            </w:r>
          </w:p>
        </w:tc>
        <w:tc>
          <w:tcPr>
            <w:tcW w:w="1358" w:type="dxa"/>
            <w:tcBorders>
              <w:top w:val="nil"/>
              <w:left w:val="nil"/>
              <w:bottom w:val="single" w:sz="4" w:space="0" w:color="auto"/>
              <w:right w:val="single" w:sz="4" w:space="0" w:color="auto"/>
            </w:tcBorders>
            <w:shd w:val="clear" w:color="auto" w:fill="auto"/>
            <w:noWrap/>
            <w:vAlign w:val="center"/>
            <w:hideMark/>
          </w:tcPr>
          <w:p w14:paraId="5E77B10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131,4</w:t>
            </w:r>
          </w:p>
        </w:tc>
        <w:tc>
          <w:tcPr>
            <w:tcW w:w="1037" w:type="dxa"/>
            <w:tcBorders>
              <w:top w:val="nil"/>
              <w:left w:val="nil"/>
              <w:bottom w:val="single" w:sz="4" w:space="0" w:color="auto"/>
              <w:right w:val="single" w:sz="4" w:space="0" w:color="auto"/>
            </w:tcBorders>
            <w:shd w:val="clear" w:color="auto" w:fill="auto"/>
            <w:noWrap/>
            <w:vAlign w:val="center"/>
            <w:hideMark/>
          </w:tcPr>
          <w:p w14:paraId="30D014C4"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143,9</w:t>
            </w:r>
          </w:p>
        </w:tc>
        <w:tc>
          <w:tcPr>
            <w:tcW w:w="1001" w:type="dxa"/>
            <w:tcBorders>
              <w:top w:val="nil"/>
              <w:left w:val="nil"/>
              <w:bottom w:val="single" w:sz="4" w:space="0" w:color="auto"/>
              <w:right w:val="single" w:sz="4" w:space="0" w:color="auto"/>
            </w:tcBorders>
            <w:shd w:val="clear" w:color="auto" w:fill="auto"/>
            <w:noWrap/>
            <w:vAlign w:val="center"/>
            <w:hideMark/>
          </w:tcPr>
          <w:p w14:paraId="39B98343"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158,8</w:t>
            </w:r>
          </w:p>
        </w:tc>
        <w:tc>
          <w:tcPr>
            <w:tcW w:w="1001" w:type="dxa"/>
            <w:tcBorders>
              <w:top w:val="nil"/>
              <w:left w:val="nil"/>
              <w:bottom w:val="single" w:sz="4" w:space="0" w:color="auto"/>
              <w:right w:val="single" w:sz="4" w:space="0" w:color="auto"/>
            </w:tcBorders>
            <w:shd w:val="clear" w:color="auto" w:fill="auto"/>
            <w:noWrap/>
            <w:vAlign w:val="center"/>
            <w:hideMark/>
          </w:tcPr>
          <w:p w14:paraId="1CED75F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168,2</w:t>
            </w:r>
          </w:p>
        </w:tc>
      </w:tr>
      <w:tr w:rsidR="00E45D3C" w:rsidRPr="00610417" w14:paraId="2F4A58E0" w14:textId="77777777" w:rsidTr="008138C1">
        <w:trPr>
          <w:divId w:val="926767640"/>
          <w:trHeight w:val="637"/>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64C45A6" w14:textId="1F85137E" w:rsidR="00E45D3C" w:rsidRPr="00610417" w:rsidRDefault="00610417"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8</w:t>
            </w:r>
          </w:p>
        </w:tc>
        <w:tc>
          <w:tcPr>
            <w:tcW w:w="4098" w:type="dxa"/>
            <w:tcBorders>
              <w:top w:val="nil"/>
              <w:left w:val="nil"/>
              <w:bottom w:val="single" w:sz="4" w:space="0" w:color="auto"/>
              <w:right w:val="single" w:sz="4" w:space="0" w:color="auto"/>
            </w:tcBorders>
            <w:shd w:val="clear" w:color="auto" w:fill="auto"/>
            <w:vAlign w:val="center"/>
            <w:hideMark/>
          </w:tcPr>
          <w:p w14:paraId="3718A54E"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Загальний обсяг капітальних інвестицій за рахунок усіх джерел фінансування</w:t>
            </w:r>
          </w:p>
        </w:tc>
        <w:tc>
          <w:tcPr>
            <w:tcW w:w="1067" w:type="dxa"/>
            <w:tcBorders>
              <w:top w:val="nil"/>
              <w:left w:val="nil"/>
              <w:bottom w:val="single" w:sz="4" w:space="0" w:color="auto"/>
              <w:right w:val="single" w:sz="4" w:space="0" w:color="auto"/>
            </w:tcBorders>
            <w:shd w:val="clear" w:color="auto" w:fill="auto"/>
            <w:noWrap/>
            <w:vAlign w:val="center"/>
            <w:hideMark/>
          </w:tcPr>
          <w:p w14:paraId="478A7D6C" w14:textId="4EA43679" w:rsidR="00E45D3C" w:rsidRPr="00610417" w:rsidRDefault="00E45D3C" w:rsidP="008138C1">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млн</w:t>
            </w:r>
            <w:r w:rsidR="008138C1">
              <w:rPr>
                <w:rFonts w:ascii="Times New Roman" w:eastAsia="Times New Roman" w:hAnsi="Times New Roman" w:cs="Times New Roman"/>
                <w:color w:val="000000"/>
                <w:sz w:val="20"/>
                <w:szCs w:val="20"/>
                <w:lang w:val="uk-UA" w:eastAsia="ru-RU"/>
              </w:rPr>
              <w:t xml:space="preserve"> </w:t>
            </w:r>
            <w:r w:rsidRPr="00610417">
              <w:rPr>
                <w:rFonts w:ascii="Times New Roman" w:eastAsia="Times New Roman" w:hAnsi="Times New Roman" w:cs="Times New Roman"/>
                <w:color w:val="000000"/>
                <w:sz w:val="20"/>
                <w:szCs w:val="20"/>
                <w:lang w:val="uk-UA" w:eastAsia="ru-RU"/>
              </w:rPr>
              <w:t>грн</w:t>
            </w:r>
          </w:p>
        </w:tc>
        <w:tc>
          <w:tcPr>
            <w:tcW w:w="992" w:type="dxa"/>
            <w:tcBorders>
              <w:top w:val="nil"/>
              <w:left w:val="nil"/>
              <w:bottom w:val="single" w:sz="4" w:space="0" w:color="auto"/>
              <w:right w:val="single" w:sz="4" w:space="0" w:color="auto"/>
            </w:tcBorders>
            <w:shd w:val="clear" w:color="auto" w:fill="auto"/>
            <w:noWrap/>
            <w:vAlign w:val="center"/>
            <w:hideMark/>
          </w:tcPr>
          <w:p w14:paraId="26FA7B24"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1202,9</w:t>
            </w:r>
          </w:p>
        </w:tc>
        <w:tc>
          <w:tcPr>
            <w:tcW w:w="876" w:type="dxa"/>
            <w:tcBorders>
              <w:top w:val="nil"/>
              <w:left w:val="nil"/>
              <w:bottom w:val="single" w:sz="4" w:space="0" w:color="auto"/>
              <w:right w:val="single" w:sz="4" w:space="0" w:color="auto"/>
            </w:tcBorders>
            <w:shd w:val="clear" w:color="auto" w:fill="auto"/>
            <w:noWrap/>
            <w:vAlign w:val="center"/>
            <w:hideMark/>
          </w:tcPr>
          <w:p w14:paraId="7252E4E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558,1</w:t>
            </w:r>
          </w:p>
        </w:tc>
        <w:tc>
          <w:tcPr>
            <w:tcW w:w="967" w:type="dxa"/>
            <w:tcBorders>
              <w:top w:val="nil"/>
              <w:left w:val="nil"/>
              <w:bottom w:val="single" w:sz="4" w:space="0" w:color="auto"/>
              <w:right w:val="single" w:sz="4" w:space="0" w:color="auto"/>
            </w:tcBorders>
            <w:shd w:val="clear" w:color="auto" w:fill="auto"/>
            <w:noWrap/>
            <w:vAlign w:val="center"/>
            <w:hideMark/>
          </w:tcPr>
          <w:p w14:paraId="7125318F"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486,7</w:t>
            </w:r>
          </w:p>
        </w:tc>
        <w:tc>
          <w:tcPr>
            <w:tcW w:w="1201" w:type="dxa"/>
            <w:tcBorders>
              <w:top w:val="nil"/>
              <w:left w:val="nil"/>
              <w:bottom w:val="single" w:sz="4" w:space="0" w:color="auto"/>
              <w:right w:val="single" w:sz="4" w:space="0" w:color="auto"/>
            </w:tcBorders>
            <w:shd w:val="clear" w:color="auto" w:fill="auto"/>
            <w:noWrap/>
            <w:vAlign w:val="center"/>
            <w:hideMark/>
          </w:tcPr>
          <w:p w14:paraId="3AEB36A8"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437,3</w:t>
            </w:r>
          </w:p>
        </w:tc>
        <w:tc>
          <w:tcPr>
            <w:tcW w:w="1358" w:type="dxa"/>
            <w:tcBorders>
              <w:top w:val="nil"/>
              <w:left w:val="nil"/>
              <w:bottom w:val="single" w:sz="4" w:space="0" w:color="auto"/>
              <w:right w:val="single" w:sz="4" w:space="0" w:color="auto"/>
            </w:tcBorders>
            <w:shd w:val="clear" w:color="auto" w:fill="auto"/>
            <w:noWrap/>
            <w:vAlign w:val="center"/>
            <w:hideMark/>
          </w:tcPr>
          <w:p w14:paraId="6C9CA0A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874,6</w:t>
            </w:r>
          </w:p>
        </w:tc>
        <w:tc>
          <w:tcPr>
            <w:tcW w:w="1037" w:type="dxa"/>
            <w:tcBorders>
              <w:top w:val="nil"/>
              <w:left w:val="nil"/>
              <w:bottom w:val="single" w:sz="4" w:space="0" w:color="auto"/>
              <w:right w:val="single" w:sz="4" w:space="0" w:color="auto"/>
            </w:tcBorders>
            <w:shd w:val="clear" w:color="auto" w:fill="auto"/>
            <w:noWrap/>
            <w:vAlign w:val="center"/>
            <w:hideMark/>
          </w:tcPr>
          <w:p w14:paraId="4FCCD7ED"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756,2</w:t>
            </w:r>
          </w:p>
        </w:tc>
        <w:tc>
          <w:tcPr>
            <w:tcW w:w="1001" w:type="dxa"/>
            <w:tcBorders>
              <w:top w:val="nil"/>
              <w:left w:val="nil"/>
              <w:bottom w:val="single" w:sz="4" w:space="0" w:color="auto"/>
              <w:right w:val="single" w:sz="4" w:space="0" w:color="auto"/>
            </w:tcBorders>
            <w:shd w:val="clear" w:color="auto" w:fill="auto"/>
            <w:noWrap/>
            <w:vAlign w:val="center"/>
            <w:hideMark/>
          </w:tcPr>
          <w:p w14:paraId="0084793E"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916,5</w:t>
            </w:r>
          </w:p>
        </w:tc>
        <w:tc>
          <w:tcPr>
            <w:tcW w:w="1001" w:type="dxa"/>
            <w:tcBorders>
              <w:top w:val="nil"/>
              <w:left w:val="nil"/>
              <w:bottom w:val="single" w:sz="4" w:space="0" w:color="auto"/>
              <w:right w:val="single" w:sz="4" w:space="0" w:color="auto"/>
            </w:tcBorders>
            <w:shd w:val="clear" w:color="auto" w:fill="auto"/>
            <w:noWrap/>
            <w:vAlign w:val="center"/>
            <w:hideMark/>
          </w:tcPr>
          <w:p w14:paraId="752BE057"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901,6</w:t>
            </w:r>
          </w:p>
        </w:tc>
      </w:tr>
      <w:tr w:rsidR="00E45D3C" w:rsidRPr="00610417" w14:paraId="09F12615" w14:textId="77777777" w:rsidTr="008138C1">
        <w:trPr>
          <w:divId w:val="926767640"/>
          <w:trHeight w:val="419"/>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24064B6" w14:textId="54B9EC2F" w:rsidR="00E45D3C" w:rsidRPr="00610417" w:rsidRDefault="00610417"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9</w:t>
            </w:r>
          </w:p>
        </w:tc>
        <w:tc>
          <w:tcPr>
            <w:tcW w:w="4098" w:type="dxa"/>
            <w:tcBorders>
              <w:top w:val="nil"/>
              <w:left w:val="nil"/>
              <w:bottom w:val="single" w:sz="4" w:space="0" w:color="auto"/>
              <w:right w:val="single" w:sz="4" w:space="0" w:color="auto"/>
            </w:tcBorders>
            <w:shd w:val="clear" w:color="auto" w:fill="auto"/>
            <w:vAlign w:val="center"/>
            <w:hideMark/>
          </w:tcPr>
          <w:p w14:paraId="0B648412"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Обсяг виконаних будівельних робіт</w:t>
            </w:r>
          </w:p>
        </w:tc>
        <w:tc>
          <w:tcPr>
            <w:tcW w:w="1067" w:type="dxa"/>
            <w:tcBorders>
              <w:top w:val="nil"/>
              <w:left w:val="nil"/>
              <w:bottom w:val="single" w:sz="4" w:space="0" w:color="auto"/>
              <w:right w:val="single" w:sz="4" w:space="0" w:color="auto"/>
            </w:tcBorders>
            <w:shd w:val="clear" w:color="auto" w:fill="auto"/>
            <w:noWrap/>
            <w:vAlign w:val="center"/>
            <w:hideMark/>
          </w:tcPr>
          <w:p w14:paraId="2A2B53DF" w14:textId="6163F598" w:rsidR="00E45D3C" w:rsidRPr="00610417" w:rsidRDefault="00E45D3C" w:rsidP="008138C1">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млн</w:t>
            </w:r>
            <w:r w:rsidR="008138C1">
              <w:rPr>
                <w:rFonts w:ascii="Times New Roman" w:eastAsia="Times New Roman" w:hAnsi="Times New Roman" w:cs="Times New Roman"/>
                <w:color w:val="000000"/>
                <w:sz w:val="20"/>
                <w:szCs w:val="20"/>
                <w:lang w:val="uk-UA" w:eastAsia="ru-RU"/>
              </w:rPr>
              <w:t xml:space="preserve"> грн</w:t>
            </w:r>
          </w:p>
        </w:tc>
        <w:tc>
          <w:tcPr>
            <w:tcW w:w="992" w:type="dxa"/>
            <w:tcBorders>
              <w:top w:val="nil"/>
              <w:left w:val="nil"/>
              <w:bottom w:val="single" w:sz="4" w:space="0" w:color="auto"/>
              <w:right w:val="single" w:sz="4" w:space="0" w:color="auto"/>
            </w:tcBorders>
            <w:shd w:val="clear" w:color="auto" w:fill="auto"/>
            <w:noWrap/>
            <w:vAlign w:val="center"/>
            <w:hideMark/>
          </w:tcPr>
          <w:p w14:paraId="5B3D67BA"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208,8</w:t>
            </w:r>
          </w:p>
        </w:tc>
        <w:tc>
          <w:tcPr>
            <w:tcW w:w="876" w:type="dxa"/>
            <w:tcBorders>
              <w:top w:val="nil"/>
              <w:left w:val="nil"/>
              <w:bottom w:val="single" w:sz="4" w:space="0" w:color="auto"/>
              <w:right w:val="single" w:sz="4" w:space="0" w:color="auto"/>
            </w:tcBorders>
            <w:shd w:val="clear" w:color="auto" w:fill="auto"/>
            <w:noWrap/>
            <w:vAlign w:val="center"/>
            <w:hideMark/>
          </w:tcPr>
          <w:p w14:paraId="5DC142FB"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36,3</w:t>
            </w:r>
          </w:p>
        </w:tc>
        <w:tc>
          <w:tcPr>
            <w:tcW w:w="967" w:type="dxa"/>
            <w:tcBorders>
              <w:top w:val="nil"/>
              <w:left w:val="nil"/>
              <w:bottom w:val="single" w:sz="4" w:space="0" w:color="auto"/>
              <w:right w:val="single" w:sz="4" w:space="0" w:color="auto"/>
            </w:tcBorders>
            <w:shd w:val="clear" w:color="auto" w:fill="auto"/>
            <w:noWrap/>
            <w:vAlign w:val="center"/>
            <w:hideMark/>
          </w:tcPr>
          <w:p w14:paraId="5A336D0D"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32,2</w:t>
            </w:r>
          </w:p>
        </w:tc>
        <w:tc>
          <w:tcPr>
            <w:tcW w:w="1201" w:type="dxa"/>
            <w:tcBorders>
              <w:top w:val="nil"/>
              <w:left w:val="nil"/>
              <w:bottom w:val="single" w:sz="4" w:space="0" w:color="auto"/>
              <w:right w:val="single" w:sz="4" w:space="0" w:color="auto"/>
            </w:tcBorders>
            <w:shd w:val="clear" w:color="auto" w:fill="auto"/>
            <w:noWrap/>
            <w:vAlign w:val="center"/>
            <w:hideMark/>
          </w:tcPr>
          <w:p w14:paraId="01EB6BB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14,7</w:t>
            </w:r>
          </w:p>
        </w:tc>
        <w:tc>
          <w:tcPr>
            <w:tcW w:w="1358" w:type="dxa"/>
            <w:tcBorders>
              <w:top w:val="nil"/>
              <w:left w:val="nil"/>
              <w:bottom w:val="single" w:sz="4" w:space="0" w:color="auto"/>
              <w:right w:val="single" w:sz="4" w:space="0" w:color="auto"/>
            </w:tcBorders>
            <w:shd w:val="clear" w:color="auto" w:fill="auto"/>
            <w:noWrap/>
            <w:vAlign w:val="center"/>
            <w:hideMark/>
          </w:tcPr>
          <w:p w14:paraId="3F8FCC61"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29,4</w:t>
            </w:r>
          </w:p>
        </w:tc>
        <w:tc>
          <w:tcPr>
            <w:tcW w:w="1037" w:type="dxa"/>
            <w:tcBorders>
              <w:top w:val="nil"/>
              <w:left w:val="nil"/>
              <w:bottom w:val="single" w:sz="4" w:space="0" w:color="auto"/>
              <w:right w:val="single" w:sz="4" w:space="0" w:color="auto"/>
            </w:tcBorders>
            <w:shd w:val="clear" w:color="auto" w:fill="auto"/>
            <w:noWrap/>
            <w:vAlign w:val="center"/>
            <w:hideMark/>
          </w:tcPr>
          <w:p w14:paraId="0AA085FA"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34,2</w:t>
            </w:r>
          </w:p>
        </w:tc>
        <w:tc>
          <w:tcPr>
            <w:tcW w:w="1001" w:type="dxa"/>
            <w:tcBorders>
              <w:top w:val="nil"/>
              <w:left w:val="nil"/>
              <w:bottom w:val="single" w:sz="4" w:space="0" w:color="auto"/>
              <w:right w:val="single" w:sz="4" w:space="0" w:color="auto"/>
            </w:tcBorders>
            <w:shd w:val="clear" w:color="auto" w:fill="auto"/>
            <w:noWrap/>
            <w:vAlign w:val="center"/>
            <w:hideMark/>
          </w:tcPr>
          <w:p w14:paraId="4B407F0B"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35,8</w:t>
            </w:r>
          </w:p>
        </w:tc>
        <w:tc>
          <w:tcPr>
            <w:tcW w:w="1001" w:type="dxa"/>
            <w:tcBorders>
              <w:top w:val="nil"/>
              <w:left w:val="nil"/>
              <w:bottom w:val="single" w:sz="4" w:space="0" w:color="auto"/>
              <w:right w:val="single" w:sz="4" w:space="0" w:color="auto"/>
            </w:tcBorders>
            <w:shd w:val="clear" w:color="auto" w:fill="auto"/>
            <w:noWrap/>
            <w:vAlign w:val="center"/>
            <w:hideMark/>
          </w:tcPr>
          <w:p w14:paraId="04569DD2"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37,7</w:t>
            </w:r>
          </w:p>
        </w:tc>
      </w:tr>
      <w:tr w:rsidR="00E45D3C" w:rsidRPr="00610417" w14:paraId="66F7F51B" w14:textId="77777777" w:rsidTr="008138C1">
        <w:trPr>
          <w:divId w:val="926767640"/>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34EAE3A" w14:textId="435558B9" w:rsidR="00E45D3C" w:rsidRPr="00610417" w:rsidRDefault="00610417"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w:t>
            </w:r>
          </w:p>
        </w:tc>
        <w:tc>
          <w:tcPr>
            <w:tcW w:w="4098" w:type="dxa"/>
            <w:tcBorders>
              <w:top w:val="nil"/>
              <w:left w:val="nil"/>
              <w:bottom w:val="single" w:sz="4" w:space="0" w:color="auto"/>
              <w:right w:val="single" w:sz="4" w:space="0" w:color="auto"/>
            </w:tcBorders>
            <w:shd w:val="clear" w:color="auto" w:fill="auto"/>
            <w:vAlign w:val="center"/>
            <w:hideMark/>
          </w:tcPr>
          <w:p w14:paraId="7C7E9C31"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Введення в експлуатацію житла</w:t>
            </w:r>
          </w:p>
        </w:tc>
        <w:tc>
          <w:tcPr>
            <w:tcW w:w="1067" w:type="dxa"/>
            <w:tcBorders>
              <w:top w:val="nil"/>
              <w:left w:val="nil"/>
              <w:bottom w:val="single" w:sz="4" w:space="0" w:color="auto"/>
              <w:right w:val="single" w:sz="4" w:space="0" w:color="auto"/>
            </w:tcBorders>
            <w:shd w:val="clear" w:color="auto" w:fill="auto"/>
            <w:noWrap/>
            <w:vAlign w:val="center"/>
            <w:hideMark/>
          </w:tcPr>
          <w:p w14:paraId="203AFBB1" w14:textId="30C0ADFF"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тис.</w:t>
            </w:r>
            <w:r w:rsidR="008138C1">
              <w:rPr>
                <w:rFonts w:ascii="Times New Roman" w:eastAsia="Times New Roman" w:hAnsi="Times New Roman" w:cs="Times New Roman"/>
                <w:color w:val="000000"/>
                <w:sz w:val="20"/>
                <w:szCs w:val="20"/>
                <w:lang w:val="uk-UA" w:eastAsia="ru-RU"/>
              </w:rPr>
              <w:t xml:space="preserve"> </w:t>
            </w:r>
            <w:r w:rsidRPr="00610417">
              <w:rPr>
                <w:rFonts w:ascii="Times New Roman" w:eastAsia="Times New Roman" w:hAnsi="Times New Roman" w:cs="Times New Roman"/>
                <w:color w:val="000000"/>
                <w:sz w:val="20"/>
                <w:szCs w:val="20"/>
                <w:lang w:val="uk-UA" w:eastAsia="ru-RU"/>
              </w:rPr>
              <w:t>кв.м</w:t>
            </w:r>
          </w:p>
        </w:tc>
        <w:tc>
          <w:tcPr>
            <w:tcW w:w="992" w:type="dxa"/>
            <w:tcBorders>
              <w:top w:val="nil"/>
              <w:left w:val="nil"/>
              <w:bottom w:val="single" w:sz="4" w:space="0" w:color="auto"/>
              <w:right w:val="single" w:sz="4" w:space="0" w:color="auto"/>
            </w:tcBorders>
            <w:shd w:val="clear" w:color="auto" w:fill="auto"/>
            <w:noWrap/>
            <w:vAlign w:val="center"/>
            <w:hideMark/>
          </w:tcPr>
          <w:p w14:paraId="11D6717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12,9</w:t>
            </w:r>
          </w:p>
        </w:tc>
        <w:tc>
          <w:tcPr>
            <w:tcW w:w="876" w:type="dxa"/>
            <w:tcBorders>
              <w:top w:val="nil"/>
              <w:left w:val="nil"/>
              <w:bottom w:val="single" w:sz="4" w:space="0" w:color="auto"/>
              <w:right w:val="single" w:sz="4" w:space="0" w:color="auto"/>
            </w:tcBorders>
            <w:shd w:val="clear" w:color="auto" w:fill="auto"/>
            <w:noWrap/>
            <w:vAlign w:val="center"/>
            <w:hideMark/>
          </w:tcPr>
          <w:p w14:paraId="6ACBDCF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2,4</w:t>
            </w:r>
          </w:p>
        </w:tc>
        <w:tc>
          <w:tcPr>
            <w:tcW w:w="967" w:type="dxa"/>
            <w:tcBorders>
              <w:top w:val="nil"/>
              <w:left w:val="nil"/>
              <w:bottom w:val="single" w:sz="4" w:space="0" w:color="auto"/>
              <w:right w:val="single" w:sz="4" w:space="0" w:color="auto"/>
            </w:tcBorders>
            <w:shd w:val="clear" w:color="auto" w:fill="auto"/>
            <w:noWrap/>
            <w:vAlign w:val="center"/>
            <w:hideMark/>
          </w:tcPr>
          <w:p w14:paraId="29E8B77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3,6</w:t>
            </w:r>
          </w:p>
        </w:tc>
        <w:tc>
          <w:tcPr>
            <w:tcW w:w="1201" w:type="dxa"/>
            <w:tcBorders>
              <w:top w:val="nil"/>
              <w:left w:val="nil"/>
              <w:bottom w:val="single" w:sz="4" w:space="0" w:color="auto"/>
              <w:right w:val="single" w:sz="4" w:space="0" w:color="auto"/>
            </w:tcBorders>
            <w:shd w:val="clear" w:color="auto" w:fill="auto"/>
            <w:noWrap/>
            <w:vAlign w:val="center"/>
            <w:hideMark/>
          </w:tcPr>
          <w:p w14:paraId="5FD21715"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16,5</w:t>
            </w:r>
          </w:p>
        </w:tc>
        <w:tc>
          <w:tcPr>
            <w:tcW w:w="1358" w:type="dxa"/>
            <w:tcBorders>
              <w:top w:val="nil"/>
              <w:left w:val="nil"/>
              <w:bottom w:val="single" w:sz="4" w:space="0" w:color="auto"/>
              <w:right w:val="single" w:sz="4" w:space="0" w:color="auto"/>
            </w:tcBorders>
            <w:shd w:val="clear" w:color="auto" w:fill="auto"/>
            <w:noWrap/>
            <w:vAlign w:val="center"/>
            <w:hideMark/>
          </w:tcPr>
          <w:p w14:paraId="19CC60D7"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33,0</w:t>
            </w:r>
          </w:p>
        </w:tc>
        <w:tc>
          <w:tcPr>
            <w:tcW w:w="1037" w:type="dxa"/>
            <w:tcBorders>
              <w:top w:val="nil"/>
              <w:left w:val="nil"/>
              <w:bottom w:val="single" w:sz="4" w:space="0" w:color="auto"/>
              <w:right w:val="single" w:sz="4" w:space="0" w:color="auto"/>
            </w:tcBorders>
            <w:shd w:val="clear" w:color="auto" w:fill="auto"/>
            <w:noWrap/>
            <w:vAlign w:val="center"/>
            <w:hideMark/>
          </w:tcPr>
          <w:p w14:paraId="50ABD446"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49,5</w:t>
            </w:r>
          </w:p>
        </w:tc>
        <w:tc>
          <w:tcPr>
            <w:tcW w:w="1001" w:type="dxa"/>
            <w:tcBorders>
              <w:top w:val="nil"/>
              <w:left w:val="nil"/>
              <w:bottom w:val="single" w:sz="4" w:space="0" w:color="auto"/>
              <w:right w:val="single" w:sz="4" w:space="0" w:color="auto"/>
            </w:tcBorders>
            <w:shd w:val="clear" w:color="auto" w:fill="auto"/>
            <w:noWrap/>
            <w:vAlign w:val="center"/>
            <w:hideMark/>
          </w:tcPr>
          <w:p w14:paraId="6AFB55C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69,3</w:t>
            </w:r>
          </w:p>
        </w:tc>
        <w:tc>
          <w:tcPr>
            <w:tcW w:w="1001" w:type="dxa"/>
            <w:tcBorders>
              <w:top w:val="nil"/>
              <w:left w:val="nil"/>
              <w:bottom w:val="single" w:sz="4" w:space="0" w:color="auto"/>
              <w:right w:val="single" w:sz="4" w:space="0" w:color="auto"/>
            </w:tcBorders>
            <w:shd w:val="clear" w:color="auto" w:fill="auto"/>
            <w:noWrap/>
            <w:vAlign w:val="center"/>
            <w:hideMark/>
          </w:tcPr>
          <w:p w14:paraId="4717612E"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104,0</w:t>
            </w:r>
          </w:p>
        </w:tc>
      </w:tr>
      <w:tr w:rsidR="00E45D3C" w:rsidRPr="00610417" w14:paraId="7427083B" w14:textId="77777777" w:rsidTr="008138C1">
        <w:trPr>
          <w:divId w:val="926767640"/>
          <w:trHeight w:val="373"/>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182ED04" w14:textId="04FA2FA8" w:rsidR="00E45D3C" w:rsidRPr="00610417" w:rsidRDefault="00610417"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11</w:t>
            </w:r>
          </w:p>
        </w:tc>
        <w:tc>
          <w:tcPr>
            <w:tcW w:w="4098" w:type="dxa"/>
            <w:tcBorders>
              <w:top w:val="nil"/>
              <w:left w:val="nil"/>
              <w:bottom w:val="single" w:sz="4" w:space="0" w:color="auto"/>
              <w:right w:val="single" w:sz="4" w:space="0" w:color="auto"/>
            </w:tcBorders>
            <w:shd w:val="clear" w:color="auto" w:fill="auto"/>
            <w:vAlign w:val="center"/>
            <w:hideMark/>
          </w:tcPr>
          <w:p w14:paraId="26CB94FC"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Середньомісячна заробітна плата</w:t>
            </w:r>
          </w:p>
        </w:tc>
        <w:tc>
          <w:tcPr>
            <w:tcW w:w="1067" w:type="dxa"/>
            <w:tcBorders>
              <w:top w:val="nil"/>
              <w:left w:val="nil"/>
              <w:bottom w:val="single" w:sz="4" w:space="0" w:color="auto"/>
              <w:right w:val="single" w:sz="4" w:space="0" w:color="auto"/>
            </w:tcBorders>
            <w:shd w:val="clear" w:color="auto" w:fill="auto"/>
            <w:noWrap/>
            <w:vAlign w:val="center"/>
            <w:hideMark/>
          </w:tcPr>
          <w:p w14:paraId="6B1F5BEA" w14:textId="7C1445A4" w:rsidR="00E45D3C" w:rsidRPr="00610417" w:rsidRDefault="008138C1"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грн</w:t>
            </w:r>
          </w:p>
        </w:tc>
        <w:tc>
          <w:tcPr>
            <w:tcW w:w="992" w:type="dxa"/>
            <w:tcBorders>
              <w:top w:val="nil"/>
              <w:left w:val="nil"/>
              <w:bottom w:val="single" w:sz="4" w:space="0" w:color="auto"/>
              <w:right w:val="single" w:sz="4" w:space="0" w:color="auto"/>
            </w:tcBorders>
            <w:shd w:val="clear" w:color="auto" w:fill="auto"/>
            <w:noWrap/>
            <w:vAlign w:val="center"/>
            <w:hideMark/>
          </w:tcPr>
          <w:p w14:paraId="2D160E14"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13417</w:t>
            </w:r>
          </w:p>
        </w:tc>
        <w:tc>
          <w:tcPr>
            <w:tcW w:w="876" w:type="dxa"/>
            <w:tcBorders>
              <w:top w:val="nil"/>
              <w:left w:val="nil"/>
              <w:bottom w:val="single" w:sz="4" w:space="0" w:color="auto"/>
              <w:right w:val="single" w:sz="4" w:space="0" w:color="auto"/>
            </w:tcBorders>
            <w:shd w:val="clear" w:color="auto" w:fill="auto"/>
            <w:noWrap/>
            <w:vAlign w:val="center"/>
            <w:hideMark/>
          </w:tcPr>
          <w:p w14:paraId="4226E8A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12911</w:t>
            </w:r>
          </w:p>
        </w:tc>
        <w:tc>
          <w:tcPr>
            <w:tcW w:w="967" w:type="dxa"/>
            <w:tcBorders>
              <w:top w:val="nil"/>
              <w:left w:val="nil"/>
              <w:bottom w:val="single" w:sz="4" w:space="0" w:color="auto"/>
              <w:right w:val="single" w:sz="4" w:space="0" w:color="auto"/>
            </w:tcBorders>
            <w:shd w:val="clear" w:color="auto" w:fill="auto"/>
            <w:noWrap/>
            <w:vAlign w:val="center"/>
            <w:hideMark/>
          </w:tcPr>
          <w:p w14:paraId="69B87B9A"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15792</w:t>
            </w:r>
          </w:p>
        </w:tc>
        <w:tc>
          <w:tcPr>
            <w:tcW w:w="1201" w:type="dxa"/>
            <w:tcBorders>
              <w:top w:val="nil"/>
              <w:left w:val="nil"/>
              <w:bottom w:val="single" w:sz="4" w:space="0" w:color="auto"/>
              <w:right w:val="single" w:sz="4" w:space="0" w:color="auto"/>
            </w:tcBorders>
            <w:shd w:val="clear" w:color="auto" w:fill="auto"/>
            <w:noWrap/>
            <w:vAlign w:val="center"/>
            <w:hideMark/>
          </w:tcPr>
          <w:p w14:paraId="656AA57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21930</w:t>
            </w:r>
          </w:p>
        </w:tc>
        <w:tc>
          <w:tcPr>
            <w:tcW w:w="1358" w:type="dxa"/>
            <w:tcBorders>
              <w:top w:val="nil"/>
              <w:left w:val="nil"/>
              <w:bottom w:val="single" w:sz="4" w:space="0" w:color="auto"/>
              <w:right w:val="single" w:sz="4" w:space="0" w:color="auto"/>
            </w:tcBorders>
            <w:shd w:val="clear" w:color="auto" w:fill="auto"/>
            <w:noWrap/>
            <w:vAlign w:val="center"/>
            <w:hideMark/>
          </w:tcPr>
          <w:p w14:paraId="475B0DB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22 588</w:t>
            </w:r>
          </w:p>
        </w:tc>
        <w:tc>
          <w:tcPr>
            <w:tcW w:w="1037" w:type="dxa"/>
            <w:tcBorders>
              <w:top w:val="nil"/>
              <w:left w:val="nil"/>
              <w:bottom w:val="single" w:sz="4" w:space="0" w:color="auto"/>
              <w:right w:val="single" w:sz="4" w:space="0" w:color="auto"/>
            </w:tcBorders>
            <w:shd w:val="clear" w:color="auto" w:fill="auto"/>
            <w:noWrap/>
            <w:vAlign w:val="center"/>
            <w:hideMark/>
          </w:tcPr>
          <w:p w14:paraId="0B290703"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25 095</w:t>
            </w:r>
          </w:p>
        </w:tc>
        <w:tc>
          <w:tcPr>
            <w:tcW w:w="1001" w:type="dxa"/>
            <w:tcBorders>
              <w:top w:val="nil"/>
              <w:left w:val="nil"/>
              <w:bottom w:val="single" w:sz="4" w:space="0" w:color="auto"/>
              <w:right w:val="single" w:sz="4" w:space="0" w:color="auto"/>
            </w:tcBorders>
            <w:shd w:val="clear" w:color="auto" w:fill="auto"/>
            <w:noWrap/>
            <w:vAlign w:val="center"/>
            <w:hideMark/>
          </w:tcPr>
          <w:p w14:paraId="3FFEAB0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28 207</w:t>
            </w:r>
          </w:p>
        </w:tc>
        <w:tc>
          <w:tcPr>
            <w:tcW w:w="1001" w:type="dxa"/>
            <w:tcBorders>
              <w:top w:val="nil"/>
              <w:left w:val="nil"/>
              <w:bottom w:val="single" w:sz="4" w:space="0" w:color="auto"/>
              <w:right w:val="single" w:sz="4" w:space="0" w:color="auto"/>
            </w:tcBorders>
            <w:shd w:val="clear" w:color="auto" w:fill="auto"/>
            <w:noWrap/>
            <w:vAlign w:val="center"/>
            <w:hideMark/>
          </w:tcPr>
          <w:p w14:paraId="27F4C49A"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30 407</w:t>
            </w:r>
          </w:p>
        </w:tc>
      </w:tr>
      <w:tr w:rsidR="00E45D3C" w:rsidRPr="00610417" w14:paraId="707B812A" w14:textId="77777777" w:rsidTr="008138C1">
        <w:trPr>
          <w:divId w:val="926767640"/>
          <w:trHeight w:val="407"/>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1873B9CB" w14:textId="47E535A3" w:rsidR="00E45D3C" w:rsidRPr="00610417" w:rsidRDefault="00610417"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12</w:t>
            </w:r>
          </w:p>
        </w:tc>
        <w:tc>
          <w:tcPr>
            <w:tcW w:w="4098" w:type="dxa"/>
            <w:tcBorders>
              <w:top w:val="nil"/>
              <w:left w:val="nil"/>
              <w:bottom w:val="single" w:sz="4" w:space="0" w:color="auto"/>
              <w:right w:val="single" w:sz="4" w:space="0" w:color="auto"/>
            </w:tcBorders>
            <w:shd w:val="clear" w:color="auto" w:fill="auto"/>
            <w:vAlign w:val="center"/>
            <w:hideMark/>
          </w:tcPr>
          <w:p w14:paraId="2AAB6C0D" w14:textId="39A57F50" w:rsidR="00E45D3C" w:rsidRPr="00610417" w:rsidRDefault="00E45D3C" w:rsidP="008138C1">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Заборгованість з заробітної плати</w:t>
            </w:r>
          </w:p>
        </w:tc>
        <w:tc>
          <w:tcPr>
            <w:tcW w:w="1067" w:type="dxa"/>
            <w:tcBorders>
              <w:top w:val="nil"/>
              <w:left w:val="nil"/>
              <w:bottom w:val="single" w:sz="4" w:space="0" w:color="auto"/>
              <w:right w:val="single" w:sz="4" w:space="0" w:color="auto"/>
            </w:tcBorders>
            <w:shd w:val="clear" w:color="auto" w:fill="auto"/>
            <w:noWrap/>
            <w:vAlign w:val="center"/>
            <w:hideMark/>
          </w:tcPr>
          <w:p w14:paraId="0D5CF742" w14:textId="2BD03633" w:rsidR="00E45D3C" w:rsidRPr="00610417" w:rsidRDefault="00E45D3C" w:rsidP="008138C1">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тис.</w:t>
            </w:r>
            <w:r w:rsidR="008138C1">
              <w:rPr>
                <w:rFonts w:ascii="Times New Roman" w:eastAsia="Times New Roman" w:hAnsi="Times New Roman" w:cs="Times New Roman"/>
                <w:color w:val="000000"/>
                <w:sz w:val="20"/>
                <w:szCs w:val="20"/>
                <w:lang w:val="uk-UA" w:eastAsia="ru-RU"/>
              </w:rPr>
              <w:t xml:space="preserve"> </w:t>
            </w:r>
            <w:r w:rsidRPr="00610417">
              <w:rPr>
                <w:rFonts w:ascii="Times New Roman" w:eastAsia="Times New Roman" w:hAnsi="Times New Roman" w:cs="Times New Roman"/>
                <w:color w:val="000000"/>
                <w:sz w:val="20"/>
                <w:szCs w:val="20"/>
                <w:lang w:val="uk-UA" w:eastAsia="ru-RU"/>
              </w:rPr>
              <w:t>грн</w:t>
            </w:r>
          </w:p>
        </w:tc>
        <w:tc>
          <w:tcPr>
            <w:tcW w:w="992" w:type="dxa"/>
            <w:tcBorders>
              <w:top w:val="nil"/>
              <w:left w:val="nil"/>
              <w:bottom w:val="single" w:sz="4" w:space="0" w:color="auto"/>
              <w:right w:val="single" w:sz="4" w:space="0" w:color="auto"/>
            </w:tcBorders>
            <w:shd w:val="clear" w:color="auto" w:fill="auto"/>
            <w:noWrap/>
            <w:vAlign w:val="bottom"/>
            <w:hideMark/>
          </w:tcPr>
          <w:p w14:paraId="42864BD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10483</w:t>
            </w:r>
          </w:p>
        </w:tc>
        <w:tc>
          <w:tcPr>
            <w:tcW w:w="876" w:type="dxa"/>
            <w:tcBorders>
              <w:top w:val="nil"/>
              <w:left w:val="nil"/>
              <w:bottom w:val="single" w:sz="4" w:space="0" w:color="auto"/>
              <w:right w:val="single" w:sz="4" w:space="0" w:color="auto"/>
            </w:tcBorders>
            <w:shd w:val="clear" w:color="auto" w:fill="auto"/>
            <w:noWrap/>
            <w:vAlign w:val="bottom"/>
            <w:hideMark/>
          </w:tcPr>
          <w:p w14:paraId="35190932" w14:textId="77777777" w:rsidR="00E45D3C" w:rsidRPr="00610417" w:rsidRDefault="00E45D3C" w:rsidP="00E45D3C">
            <w:pPr>
              <w:spacing w:after="0" w:line="240" w:lineRule="auto"/>
              <w:ind w:hanging="205"/>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9711</w:t>
            </w:r>
          </w:p>
        </w:tc>
        <w:tc>
          <w:tcPr>
            <w:tcW w:w="967" w:type="dxa"/>
            <w:tcBorders>
              <w:top w:val="nil"/>
              <w:left w:val="nil"/>
              <w:bottom w:val="single" w:sz="4" w:space="0" w:color="auto"/>
              <w:right w:val="single" w:sz="4" w:space="0" w:color="auto"/>
            </w:tcBorders>
            <w:shd w:val="clear" w:color="auto" w:fill="auto"/>
            <w:noWrap/>
            <w:vAlign w:val="bottom"/>
            <w:hideMark/>
          </w:tcPr>
          <w:p w14:paraId="1C828793"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7030,1</w:t>
            </w:r>
          </w:p>
        </w:tc>
        <w:tc>
          <w:tcPr>
            <w:tcW w:w="1201" w:type="dxa"/>
            <w:tcBorders>
              <w:top w:val="nil"/>
              <w:left w:val="nil"/>
              <w:bottom w:val="single" w:sz="4" w:space="0" w:color="auto"/>
              <w:right w:val="single" w:sz="4" w:space="0" w:color="auto"/>
            </w:tcBorders>
            <w:shd w:val="clear" w:color="auto" w:fill="auto"/>
            <w:noWrap/>
            <w:vAlign w:val="bottom"/>
            <w:hideMark/>
          </w:tcPr>
          <w:p w14:paraId="5697E605"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9860,9</w:t>
            </w:r>
          </w:p>
        </w:tc>
        <w:tc>
          <w:tcPr>
            <w:tcW w:w="1358" w:type="dxa"/>
            <w:tcBorders>
              <w:top w:val="nil"/>
              <w:left w:val="nil"/>
              <w:bottom w:val="single" w:sz="4" w:space="0" w:color="auto"/>
              <w:right w:val="single" w:sz="4" w:space="0" w:color="auto"/>
            </w:tcBorders>
            <w:shd w:val="clear" w:color="auto" w:fill="auto"/>
            <w:noWrap/>
            <w:vAlign w:val="bottom"/>
            <w:hideMark/>
          </w:tcPr>
          <w:p w14:paraId="1C6042EF"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6 800,0</w:t>
            </w:r>
          </w:p>
        </w:tc>
        <w:tc>
          <w:tcPr>
            <w:tcW w:w="1037" w:type="dxa"/>
            <w:tcBorders>
              <w:top w:val="nil"/>
              <w:left w:val="nil"/>
              <w:bottom w:val="single" w:sz="4" w:space="0" w:color="auto"/>
              <w:right w:val="single" w:sz="4" w:space="0" w:color="auto"/>
            </w:tcBorders>
            <w:shd w:val="clear" w:color="auto" w:fill="auto"/>
            <w:noWrap/>
            <w:vAlign w:val="bottom"/>
            <w:hideMark/>
          </w:tcPr>
          <w:p w14:paraId="33F47AA1"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4 650,0</w:t>
            </w:r>
          </w:p>
        </w:tc>
        <w:tc>
          <w:tcPr>
            <w:tcW w:w="1001" w:type="dxa"/>
            <w:tcBorders>
              <w:top w:val="nil"/>
              <w:left w:val="nil"/>
              <w:bottom w:val="single" w:sz="4" w:space="0" w:color="auto"/>
              <w:right w:val="single" w:sz="4" w:space="0" w:color="auto"/>
            </w:tcBorders>
            <w:shd w:val="clear" w:color="auto" w:fill="auto"/>
            <w:noWrap/>
            <w:vAlign w:val="bottom"/>
            <w:hideMark/>
          </w:tcPr>
          <w:p w14:paraId="451147FB"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2 540</w:t>
            </w:r>
          </w:p>
        </w:tc>
        <w:tc>
          <w:tcPr>
            <w:tcW w:w="1001" w:type="dxa"/>
            <w:tcBorders>
              <w:top w:val="nil"/>
              <w:left w:val="nil"/>
              <w:bottom w:val="single" w:sz="4" w:space="0" w:color="auto"/>
              <w:right w:val="single" w:sz="4" w:space="0" w:color="auto"/>
            </w:tcBorders>
            <w:shd w:val="clear" w:color="auto" w:fill="auto"/>
            <w:noWrap/>
            <w:vAlign w:val="bottom"/>
            <w:hideMark/>
          </w:tcPr>
          <w:p w14:paraId="43034BB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1 460,0</w:t>
            </w:r>
          </w:p>
        </w:tc>
      </w:tr>
      <w:tr w:rsidR="00E45D3C" w:rsidRPr="00610417" w14:paraId="74230B94" w14:textId="77777777" w:rsidTr="008138C1">
        <w:trPr>
          <w:divId w:val="926767640"/>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D172D7B" w14:textId="3560DC96" w:rsidR="00E45D3C" w:rsidRPr="00610417" w:rsidRDefault="00610417"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13</w:t>
            </w:r>
          </w:p>
        </w:tc>
        <w:tc>
          <w:tcPr>
            <w:tcW w:w="4098" w:type="dxa"/>
            <w:tcBorders>
              <w:top w:val="nil"/>
              <w:left w:val="nil"/>
              <w:bottom w:val="single" w:sz="4" w:space="0" w:color="auto"/>
              <w:right w:val="single" w:sz="4" w:space="0" w:color="auto"/>
            </w:tcBorders>
            <w:shd w:val="clear" w:color="auto" w:fill="auto"/>
            <w:vAlign w:val="center"/>
            <w:hideMark/>
          </w:tcPr>
          <w:p w14:paraId="0D38A007"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Чисельність населення, всього</w:t>
            </w:r>
          </w:p>
        </w:tc>
        <w:tc>
          <w:tcPr>
            <w:tcW w:w="1067" w:type="dxa"/>
            <w:tcBorders>
              <w:top w:val="nil"/>
              <w:left w:val="nil"/>
              <w:bottom w:val="single" w:sz="4" w:space="0" w:color="auto"/>
              <w:right w:val="single" w:sz="4" w:space="0" w:color="auto"/>
            </w:tcBorders>
            <w:shd w:val="clear" w:color="auto" w:fill="auto"/>
            <w:noWrap/>
            <w:vAlign w:val="center"/>
            <w:hideMark/>
          </w:tcPr>
          <w:p w14:paraId="505FE5F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осіб</w:t>
            </w:r>
          </w:p>
        </w:tc>
        <w:tc>
          <w:tcPr>
            <w:tcW w:w="992" w:type="dxa"/>
            <w:tcBorders>
              <w:top w:val="nil"/>
              <w:left w:val="nil"/>
              <w:bottom w:val="single" w:sz="4" w:space="0" w:color="auto"/>
              <w:right w:val="single" w:sz="4" w:space="0" w:color="auto"/>
            </w:tcBorders>
            <w:shd w:val="clear" w:color="auto" w:fill="auto"/>
            <w:noWrap/>
            <w:vAlign w:val="bottom"/>
            <w:hideMark/>
          </w:tcPr>
          <w:p w14:paraId="0A050746" w14:textId="77777777" w:rsidR="00E45D3C" w:rsidRPr="00610417" w:rsidRDefault="00E45D3C" w:rsidP="00E45D3C">
            <w:pPr>
              <w:spacing w:after="0" w:line="240" w:lineRule="auto"/>
              <w:ind w:left="-183"/>
              <w:jc w:val="center"/>
              <w:rPr>
                <w:rFonts w:ascii="Times New Roman" w:eastAsia="Times New Roman" w:hAnsi="Times New Roman" w:cs="Times New Roman"/>
                <w:color w:val="000000"/>
                <w:sz w:val="20"/>
                <w:szCs w:val="20"/>
                <w:lang w:val="uk-UA" w:eastAsia="uk-UA"/>
              </w:rPr>
            </w:pPr>
            <w:r w:rsidRPr="00610417">
              <w:rPr>
                <w:rFonts w:ascii="Times New Roman" w:eastAsia="Times New Roman" w:hAnsi="Times New Roman" w:cs="Times New Roman"/>
                <w:color w:val="000000"/>
                <w:sz w:val="20"/>
                <w:szCs w:val="20"/>
                <w:lang w:val="uk-UA" w:eastAsia="ru-RU"/>
              </w:rPr>
              <w:t xml:space="preserve">       71 308 </w:t>
            </w:r>
          </w:p>
        </w:tc>
        <w:tc>
          <w:tcPr>
            <w:tcW w:w="876" w:type="dxa"/>
            <w:tcBorders>
              <w:top w:val="nil"/>
              <w:left w:val="nil"/>
              <w:bottom w:val="single" w:sz="4" w:space="0" w:color="auto"/>
              <w:right w:val="single" w:sz="4" w:space="0" w:color="auto"/>
            </w:tcBorders>
            <w:shd w:val="clear" w:color="auto" w:fill="auto"/>
            <w:noWrap/>
            <w:vAlign w:val="bottom"/>
            <w:hideMark/>
          </w:tcPr>
          <w:p w14:paraId="7DF4CF29" w14:textId="77777777" w:rsidR="00E45D3C" w:rsidRPr="00610417" w:rsidRDefault="00E45D3C" w:rsidP="00E45D3C">
            <w:pPr>
              <w:spacing w:after="0" w:line="240" w:lineRule="auto"/>
              <w:ind w:left="-183" w:hanging="183"/>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70 739 </w:t>
            </w:r>
          </w:p>
        </w:tc>
        <w:tc>
          <w:tcPr>
            <w:tcW w:w="967" w:type="dxa"/>
            <w:tcBorders>
              <w:top w:val="nil"/>
              <w:left w:val="nil"/>
              <w:bottom w:val="single" w:sz="4" w:space="0" w:color="auto"/>
              <w:right w:val="single" w:sz="4" w:space="0" w:color="auto"/>
            </w:tcBorders>
            <w:shd w:val="clear" w:color="auto" w:fill="auto"/>
            <w:noWrap/>
            <w:vAlign w:val="bottom"/>
            <w:hideMark/>
          </w:tcPr>
          <w:p w14:paraId="33BC43B8" w14:textId="77777777" w:rsidR="00E45D3C" w:rsidRPr="00610417" w:rsidRDefault="00E45D3C" w:rsidP="00E45D3C">
            <w:pPr>
              <w:spacing w:after="0" w:line="240" w:lineRule="auto"/>
              <w:ind w:left="-208"/>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70 235 </w:t>
            </w:r>
          </w:p>
        </w:tc>
        <w:tc>
          <w:tcPr>
            <w:tcW w:w="1201" w:type="dxa"/>
            <w:tcBorders>
              <w:top w:val="nil"/>
              <w:left w:val="nil"/>
              <w:bottom w:val="single" w:sz="4" w:space="0" w:color="auto"/>
              <w:right w:val="single" w:sz="4" w:space="0" w:color="auto"/>
            </w:tcBorders>
            <w:shd w:val="clear" w:color="auto" w:fill="auto"/>
            <w:noWrap/>
            <w:vAlign w:val="bottom"/>
            <w:hideMark/>
          </w:tcPr>
          <w:p w14:paraId="587EAC01" w14:textId="77777777" w:rsidR="00E45D3C" w:rsidRPr="00610417" w:rsidRDefault="00E45D3C" w:rsidP="00E45D3C">
            <w:pPr>
              <w:spacing w:after="0" w:line="240" w:lineRule="auto"/>
              <w:ind w:left="-183"/>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69 726 </w:t>
            </w:r>
          </w:p>
        </w:tc>
        <w:tc>
          <w:tcPr>
            <w:tcW w:w="1358" w:type="dxa"/>
            <w:tcBorders>
              <w:top w:val="nil"/>
              <w:left w:val="nil"/>
              <w:bottom w:val="single" w:sz="4" w:space="0" w:color="auto"/>
              <w:right w:val="single" w:sz="4" w:space="0" w:color="auto"/>
            </w:tcBorders>
            <w:shd w:val="clear" w:color="auto" w:fill="auto"/>
            <w:noWrap/>
            <w:vAlign w:val="bottom"/>
            <w:hideMark/>
          </w:tcPr>
          <w:p w14:paraId="0E998B1E"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69 123 </w:t>
            </w:r>
          </w:p>
        </w:tc>
        <w:tc>
          <w:tcPr>
            <w:tcW w:w="1037" w:type="dxa"/>
            <w:tcBorders>
              <w:top w:val="nil"/>
              <w:left w:val="nil"/>
              <w:bottom w:val="single" w:sz="4" w:space="0" w:color="auto"/>
              <w:right w:val="single" w:sz="4" w:space="0" w:color="auto"/>
            </w:tcBorders>
            <w:shd w:val="clear" w:color="auto" w:fill="auto"/>
            <w:noWrap/>
            <w:vAlign w:val="bottom"/>
            <w:hideMark/>
          </w:tcPr>
          <w:p w14:paraId="337AAED4" w14:textId="77777777" w:rsidR="00E45D3C" w:rsidRPr="00610417" w:rsidRDefault="00E45D3C" w:rsidP="00E45D3C">
            <w:pPr>
              <w:spacing w:after="0" w:line="240" w:lineRule="auto"/>
              <w:ind w:left="-63" w:hanging="142"/>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68 543 </w:t>
            </w:r>
          </w:p>
        </w:tc>
        <w:tc>
          <w:tcPr>
            <w:tcW w:w="1001" w:type="dxa"/>
            <w:tcBorders>
              <w:top w:val="nil"/>
              <w:left w:val="nil"/>
              <w:bottom w:val="single" w:sz="4" w:space="0" w:color="auto"/>
              <w:right w:val="single" w:sz="4" w:space="0" w:color="auto"/>
            </w:tcBorders>
            <w:shd w:val="clear" w:color="auto" w:fill="auto"/>
            <w:noWrap/>
            <w:vAlign w:val="bottom"/>
            <w:hideMark/>
          </w:tcPr>
          <w:p w14:paraId="0491C5F3" w14:textId="77777777" w:rsidR="00E45D3C" w:rsidRPr="00610417" w:rsidRDefault="00E45D3C" w:rsidP="00E45D3C">
            <w:pPr>
              <w:spacing w:after="0" w:line="240" w:lineRule="auto"/>
              <w:ind w:left="-250"/>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68 243 </w:t>
            </w:r>
          </w:p>
        </w:tc>
        <w:tc>
          <w:tcPr>
            <w:tcW w:w="1001" w:type="dxa"/>
            <w:tcBorders>
              <w:top w:val="nil"/>
              <w:left w:val="nil"/>
              <w:bottom w:val="single" w:sz="4" w:space="0" w:color="auto"/>
              <w:right w:val="single" w:sz="4" w:space="0" w:color="auto"/>
            </w:tcBorders>
            <w:shd w:val="clear" w:color="auto" w:fill="auto"/>
            <w:noWrap/>
            <w:vAlign w:val="bottom"/>
            <w:hideMark/>
          </w:tcPr>
          <w:p w14:paraId="6763A0F7" w14:textId="77777777" w:rsidR="00E45D3C" w:rsidRPr="00610417" w:rsidRDefault="00E45D3C" w:rsidP="00E45D3C">
            <w:pPr>
              <w:spacing w:after="0" w:line="240" w:lineRule="auto"/>
              <w:ind w:left="-117"/>
              <w:jc w:val="center"/>
              <w:rPr>
                <w:rFonts w:ascii="Times New Roman" w:eastAsia="Times New Roman" w:hAnsi="Times New Roman" w:cs="Times New Roman"/>
                <w:color w:val="000000"/>
                <w:sz w:val="20"/>
                <w:szCs w:val="20"/>
                <w:lang w:val="uk-UA" w:eastAsia="uk-UA"/>
              </w:rPr>
            </w:pPr>
            <w:r w:rsidRPr="00610417">
              <w:rPr>
                <w:rFonts w:ascii="Times New Roman" w:eastAsia="Times New Roman" w:hAnsi="Times New Roman" w:cs="Times New Roman"/>
                <w:color w:val="000000"/>
                <w:sz w:val="20"/>
                <w:szCs w:val="20"/>
                <w:lang w:val="uk-UA" w:eastAsia="ru-RU"/>
              </w:rPr>
              <w:t xml:space="preserve">       68 103 </w:t>
            </w:r>
          </w:p>
        </w:tc>
      </w:tr>
      <w:tr w:rsidR="00E45D3C" w:rsidRPr="00610417" w14:paraId="33A310B4" w14:textId="77777777" w:rsidTr="008138C1">
        <w:trPr>
          <w:divId w:val="926767640"/>
          <w:trHeight w:val="37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F802386" w14:textId="45C00477" w:rsidR="00E45D3C" w:rsidRPr="00610417" w:rsidRDefault="00610417"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14</w:t>
            </w:r>
          </w:p>
        </w:tc>
        <w:tc>
          <w:tcPr>
            <w:tcW w:w="4098" w:type="dxa"/>
            <w:tcBorders>
              <w:top w:val="nil"/>
              <w:left w:val="nil"/>
              <w:bottom w:val="single" w:sz="4" w:space="0" w:color="auto"/>
              <w:right w:val="single" w:sz="4" w:space="0" w:color="auto"/>
            </w:tcBorders>
            <w:shd w:val="clear" w:color="auto" w:fill="auto"/>
            <w:vAlign w:val="center"/>
            <w:hideMark/>
          </w:tcPr>
          <w:p w14:paraId="71DFC822"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Кількість зареєстрованих безробітних</w:t>
            </w:r>
          </w:p>
        </w:tc>
        <w:tc>
          <w:tcPr>
            <w:tcW w:w="1067" w:type="dxa"/>
            <w:tcBorders>
              <w:top w:val="nil"/>
              <w:left w:val="nil"/>
              <w:bottom w:val="single" w:sz="4" w:space="0" w:color="auto"/>
              <w:right w:val="single" w:sz="4" w:space="0" w:color="auto"/>
            </w:tcBorders>
            <w:shd w:val="clear" w:color="auto" w:fill="auto"/>
            <w:noWrap/>
            <w:vAlign w:val="center"/>
            <w:hideMark/>
          </w:tcPr>
          <w:p w14:paraId="310DB551"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осіб</w:t>
            </w:r>
          </w:p>
        </w:tc>
        <w:tc>
          <w:tcPr>
            <w:tcW w:w="992" w:type="dxa"/>
            <w:tcBorders>
              <w:top w:val="nil"/>
              <w:left w:val="nil"/>
              <w:bottom w:val="single" w:sz="4" w:space="0" w:color="auto"/>
              <w:right w:val="single" w:sz="4" w:space="0" w:color="auto"/>
            </w:tcBorders>
            <w:shd w:val="clear" w:color="auto" w:fill="auto"/>
            <w:noWrap/>
            <w:vAlign w:val="bottom"/>
            <w:hideMark/>
          </w:tcPr>
          <w:p w14:paraId="75F1ACBB"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133 </w:t>
            </w:r>
          </w:p>
        </w:tc>
        <w:tc>
          <w:tcPr>
            <w:tcW w:w="876" w:type="dxa"/>
            <w:tcBorders>
              <w:top w:val="nil"/>
              <w:left w:val="nil"/>
              <w:bottom w:val="single" w:sz="4" w:space="0" w:color="auto"/>
              <w:right w:val="single" w:sz="4" w:space="0" w:color="auto"/>
            </w:tcBorders>
            <w:shd w:val="clear" w:color="auto" w:fill="auto"/>
            <w:noWrap/>
            <w:vAlign w:val="bottom"/>
            <w:hideMark/>
          </w:tcPr>
          <w:p w14:paraId="537C66A3"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180 </w:t>
            </w:r>
          </w:p>
        </w:tc>
        <w:tc>
          <w:tcPr>
            <w:tcW w:w="967" w:type="dxa"/>
            <w:tcBorders>
              <w:top w:val="nil"/>
              <w:left w:val="nil"/>
              <w:bottom w:val="single" w:sz="4" w:space="0" w:color="auto"/>
              <w:right w:val="single" w:sz="4" w:space="0" w:color="auto"/>
            </w:tcBorders>
            <w:shd w:val="clear" w:color="auto" w:fill="auto"/>
            <w:noWrap/>
            <w:vAlign w:val="bottom"/>
            <w:hideMark/>
          </w:tcPr>
          <w:p w14:paraId="667A59D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50 </w:t>
            </w:r>
          </w:p>
        </w:tc>
        <w:tc>
          <w:tcPr>
            <w:tcW w:w="1201" w:type="dxa"/>
            <w:tcBorders>
              <w:top w:val="nil"/>
              <w:left w:val="nil"/>
              <w:bottom w:val="single" w:sz="4" w:space="0" w:color="auto"/>
              <w:right w:val="single" w:sz="4" w:space="0" w:color="auto"/>
            </w:tcBorders>
            <w:shd w:val="clear" w:color="auto" w:fill="auto"/>
            <w:noWrap/>
            <w:vAlign w:val="bottom"/>
            <w:hideMark/>
          </w:tcPr>
          <w:p w14:paraId="7ED5C37A"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58 </w:t>
            </w:r>
          </w:p>
        </w:tc>
        <w:tc>
          <w:tcPr>
            <w:tcW w:w="1358" w:type="dxa"/>
            <w:tcBorders>
              <w:top w:val="nil"/>
              <w:left w:val="nil"/>
              <w:bottom w:val="single" w:sz="4" w:space="0" w:color="auto"/>
              <w:right w:val="single" w:sz="4" w:space="0" w:color="auto"/>
            </w:tcBorders>
            <w:shd w:val="clear" w:color="auto" w:fill="auto"/>
            <w:noWrap/>
            <w:vAlign w:val="bottom"/>
            <w:hideMark/>
          </w:tcPr>
          <w:p w14:paraId="69B923DE"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53 </w:t>
            </w:r>
          </w:p>
        </w:tc>
        <w:tc>
          <w:tcPr>
            <w:tcW w:w="1037" w:type="dxa"/>
            <w:tcBorders>
              <w:top w:val="nil"/>
              <w:left w:val="nil"/>
              <w:bottom w:val="single" w:sz="4" w:space="0" w:color="auto"/>
              <w:right w:val="single" w:sz="4" w:space="0" w:color="auto"/>
            </w:tcBorders>
            <w:shd w:val="clear" w:color="auto" w:fill="auto"/>
            <w:noWrap/>
            <w:vAlign w:val="bottom"/>
            <w:hideMark/>
          </w:tcPr>
          <w:p w14:paraId="7EA1E1E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74 </w:t>
            </w:r>
          </w:p>
        </w:tc>
        <w:tc>
          <w:tcPr>
            <w:tcW w:w="1001" w:type="dxa"/>
            <w:tcBorders>
              <w:top w:val="nil"/>
              <w:left w:val="nil"/>
              <w:bottom w:val="single" w:sz="4" w:space="0" w:color="auto"/>
              <w:right w:val="single" w:sz="4" w:space="0" w:color="auto"/>
            </w:tcBorders>
            <w:shd w:val="clear" w:color="auto" w:fill="auto"/>
            <w:noWrap/>
            <w:vAlign w:val="bottom"/>
            <w:hideMark/>
          </w:tcPr>
          <w:p w14:paraId="2365189E"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118 </w:t>
            </w:r>
          </w:p>
        </w:tc>
        <w:tc>
          <w:tcPr>
            <w:tcW w:w="1001" w:type="dxa"/>
            <w:tcBorders>
              <w:top w:val="nil"/>
              <w:left w:val="nil"/>
              <w:bottom w:val="single" w:sz="4" w:space="0" w:color="auto"/>
              <w:right w:val="single" w:sz="4" w:space="0" w:color="auto"/>
            </w:tcBorders>
            <w:shd w:val="clear" w:color="auto" w:fill="auto"/>
            <w:noWrap/>
            <w:vAlign w:val="bottom"/>
            <w:hideMark/>
          </w:tcPr>
          <w:p w14:paraId="786E1EDE"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137 </w:t>
            </w:r>
          </w:p>
        </w:tc>
      </w:tr>
      <w:tr w:rsidR="00E45D3C" w:rsidRPr="00610417" w14:paraId="25434629" w14:textId="77777777" w:rsidTr="008138C1">
        <w:trPr>
          <w:divId w:val="926767640"/>
          <w:trHeight w:val="75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11C48C28" w14:textId="03A75515" w:rsidR="00E45D3C" w:rsidRPr="00610417" w:rsidRDefault="00610417" w:rsidP="00E45D3C">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15</w:t>
            </w:r>
          </w:p>
        </w:tc>
        <w:tc>
          <w:tcPr>
            <w:tcW w:w="4098" w:type="dxa"/>
            <w:tcBorders>
              <w:top w:val="nil"/>
              <w:left w:val="nil"/>
              <w:bottom w:val="single" w:sz="4" w:space="0" w:color="auto"/>
              <w:right w:val="single" w:sz="4" w:space="0" w:color="auto"/>
            </w:tcBorders>
            <w:shd w:val="clear" w:color="auto" w:fill="auto"/>
            <w:vAlign w:val="center"/>
            <w:hideMark/>
          </w:tcPr>
          <w:p w14:paraId="3C4187F0"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Знаходяться на обліку в Єдиному державному реєстрі юридичних осіб - підприємств, всього</w:t>
            </w:r>
          </w:p>
        </w:tc>
        <w:tc>
          <w:tcPr>
            <w:tcW w:w="1067" w:type="dxa"/>
            <w:tcBorders>
              <w:top w:val="nil"/>
              <w:left w:val="nil"/>
              <w:bottom w:val="single" w:sz="4" w:space="0" w:color="auto"/>
              <w:right w:val="single" w:sz="4" w:space="0" w:color="auto"/>
            </w:tcBorders>
            <w:shd w:val="clear" w:color="auto" w:fill="auto"/>
            <w:noWrap/>
            <w:vAlign w:val="center"/>
            <w:hideMark/>
          </w:tcPr>
          <w:p w14:paraId="3908DEE0"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245B054D" w14:textId="77777777" w:rsidR="00E45D3C" w:rsidRPr="00610417" w:rsidRDefault="00E45D3C" w:rsidP="008138C1">
            <w:pPr>
              <w:spacing w:after="0" w:line="240" w:lineRule="auto"/>
              <w:ind w:left="-183"/>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7 519 </w:t>
            </w:r>
          </w:p>
        </w:tc>
        <w:tc>
          <w:tcPr>
            <w:tcW w:w="876" w:type="dxa"/>
            <w:tcBorders>
              <w:top w:val="nil"/>
              <w:left w:val="nil"/>
              <w:bottom w:val="single" w:sz="4" w:space="0" w:color="auto"/>
              <w:right w:val="single" w:sz="4" w:space="0" w:color="auto"/>
            </w:tcBorders>
            <w:shd w:val="clear" w:color="auto" w:fill="auto"/>
            <w:noWrap/>
            <w:vAlign w:val="center"/>
            <w:hideMark/>
          </w:tcPr>
          <w:p w14:paraId="52E73137" w14:textId="77777777" w:rsidR="00E45D3C" w:rsidRPr="00610417" w:rsidRDefault="00E45D3C" w:rsidP="008138C1">
            <w:pPr>
              <w:spacing w:after="0" w:line="240" w:lineRule="auto"/>
              <w:ind w:left="-183" w:right="-149" w:hanging="142"/>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7 026 </w:t>
            </w:r>
          </w:p>
        </w:tc>
        <w:tc>
          <w:tcPr>
            <w:tcW w:w="967" w:type="dxa"/>
            <w:tcBorders>
              <w:top w:val="nil"/>
              <w:left w:val="nil"/>
              <w:bottom w:val="single" w:sz="4" w:space="0" w:color="auto"/>
              <w:right w:val="single" w:sz="4" w:space="0" w:color="auto"/>
            </w:tcBorders>
            <w:shd w:val="clear" w:color="auto" w:fill="auto"/>
            <w:noWrap/>
            <w:vAlign w:val="center"/>
            <w:hideMark/>
          </w:tcPr>
          <w:p w14:paraId="0A57E772" w14:textId="77777777" w:rsidR="00E45D3C" w:rsidRPr="00610417" w:rsidRDefault="00E45D3C" w:rsidP="008138C1">
            <w:pPr>
              <w:spacing w:after="0" w:line="240" w:lineRule="auto"/>
              <w:ind w:hanging="208"/>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6 847 </w:t>
            </w:r>
          </w:p>
        </w:tc>
        <w:tc>
          <w:tcPr>
            <w:tcW w:w="1201" w:type="dxa"/>
            <w:tcBorders>
              <w:top w:val="nil"/>
              <w:left w:val="nil"/>
              <w:bottom w:val="single" w:sz="4" w:space="0" w:color="auto"/>
              <w:right w:val="single" w:sz="4" w:space="0" w:color="auto"/>
            </w:tcBorders>
            <w:shd w:val="clear" w:color="auto" w:fill="auto"/>
            <w:noWrap/>
            <w:vAlign w:val="center"/>
            <w:hideMark/>
          </w:tcPr>
          <w:p w14:paraId="6956B96F" w14:textId="77777777" w:rsidR="00E45D3C" w:rsidRPr="00610417" w:rsidRDefault="00E45D3C" w:rsidP="008138C1">
            <w:pPr>
              <w:spacing w:after="0" w:line="240" w:lineRule="auto"/>
              <w:ind w:hanging="325"/>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6 398 </w:t>
            </w:r>
          </w:p>
        </w:tc>
        <w:tc>
          <w:tcPr>
            <w:tcW w:w="1358" w:type="dxa"/>
            <w:tcBorders>
              <w:top w:val="nil"/>
              <w:left w:val="nil"/>
              <w:bottom w:val="single" w:sz="4" w:space="0" w:color="auto"/>
              <w:right w:val="single" w:sz="4" w:space="0" w:color="auto"/>
            </w:tcBorders>
            <w:shd w:val="clear" w:color="auto" w:fill="auto"/>
            <w:noWrap/>
            <w:vAlign w:val="center"/>
            <w:hideMark/>
          </w:tcPr>
          <w:p w14:paraId="3F14B9EE" w14:textId="77777777" w:rsidR="00E45D3C" w:rsidRPr="00610417" w:rsidRDefault="00E45D3C" w:rsidP="008138C1">
            <w:pPr>
              <w:spacing w:after="0" w:line="240" w:lineRule="auto"/>
              <w:ind w:hanging="108"/>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6 637 </w:t>
            </w:r>
          </w:p>
        </w:tc>
        <w:tc>
          <w:tcPr>
            <w:tcW w:w="1037" w:type="dxa"/>
            <w:tcBorders>
              <w:top w:val="nil"/>
              <w:left w:val="nil"/>
              <w:bottom w:val="single" w:sz="4" w:space="0" w:color="auto"/>
              <w:right w:val="single" w:sz="4" w:space="0" w:color="auto"/>
            </w:tcBorders>
            <w:shd w:val="clear" w:color="auto" w:fill="auto"/>
            <w:noWrap/>
            <w:vAlign w:val="center"/>
            <w:hideMark/>
          </w:tcPr>
          <w:p w14:paraId="192DBACD" w14:textId="77777777" w:rsidR="00E45D3C" w:rsidRPr="00610417" w:rsidRDefault="00E45D3C" w:rsidP="008138C1">
            <w:pPr>
              <w:spacing w:after="0" w:line="240" w:lineRule="auto"/>
              <w:ind w:hanging="191"/>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6 780 </w:t>
            </w:r>
          </w:p>
        </w:tc>
        <w:tc>
          <w:tcPr>
            <w:tcW w:w="1001" w:type="dxa"/>
            <w:tcBorders>
              <w:top w:val="nil"/>
              <w:left w:val="nil"/>
              <w:bottom w:val="single" w:sz="4" w:space="0" w:color="auto"/>
              <w:right w:val="single" w:sz="4" w:space="0" w:color="auto"/>
            </w:tcBorders>
            <w:shd w:val="clear" w:color="auto" w:fill="auto"/>
            <w:noWrap/>
            <w:vAlign w:val="center"/>
            <w:hideMark/>
          </w:tcPr>
          <w:p w14:paraId="0A640E10" w14:textId="77777777" w:rsidR="00E45D3C" w:rsidRPr="00610417" w:rsidRDefault="00E45D3C" w:rsidP="008138C1">
            <w:pPr>
              <w:spacing w:after="0" w:line="240" w:lineRule="auto"/>
              <w:ind w:hanging="235"/>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7 005 </w:t>
            </w:r>
          </w:p>
        </w:tc>
        <w:tc>
          <w:tcPr>
            <w:tcW w:w="1001" w:type="dxa"/>
            <w:tcBorders>
              <w:top w:val="nil"/>
              <w:left w:val="nil"/>
              <w:bottom w:val="single" w:sz="4" w:space="0" w:color="auto"/>
              <w:right w:val="single" w:sz="4" w:space="0" w:color="auto"/>
            </w:tcBorders>
            <w:shd w:val="clear" w:color="auto" w:fill="auto"/>
            <w:noWrap/>
            <w:vAlign w:val="center"/>
            <w:hideMark/>
          </w:tcPr>
          <w:p w14:paraId="3B7C2925" w14:textId="77777777" w:rsidR="00E45D3C" w:rsidRPr="00610417" w:rsidRDefault="00E45D3C" w:rsidP="008138C1">
            <w:pPr>
              <w:spacing w:after="0" w:line="240" w:lineRule="auto"/>
              <w:ind w:hanging="244"/>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7 460 </w:t>
            </w:r>
          </w:p>
        </w:tc>
      </w:tr>
      <w:tr w:rsidR="00E45D3C" w:rsidRPr="00610417" w14:paraId="453C4976" w14:textId="77777777" w:rsidTr="008138C1">
        <w:trPr>
          <w:divId w:val="926767640"/>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0E764F1"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w:t>
            </w:r>
          </w:p>
        </w:tc>
        <w:tc>
          <w:tcPr>
            <w:tcW w:w="4098" w:type="dxa"/>
            <w:tcBorders>
              <w:top w:val="nil"/>
              <w:left w:val="nil"/>
              <w:bottom w:val="single" w:sz="4" w:space="0" w:color="auto"/>
              <w:right w:val="single" w:sz="4" w:space="0" w:color="auto"/>
            </w:tcBorders>
            <w:shd w:val="clear" w:color="auto" w:fill="auto"/>
            <w:vAlign w:val="center"/>
            <w:hideMark/>
          </w:tcPr>
          <w:p w14:paraId="6818476B"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фізичних осіб</w:t>
            </w:r>
          </w:p>
        </w:tc>
        <w:tc>
          <w:tcPr>
            <w:tcW w:w="1067" w:type="dxa"/>
            <w:tcBorders>
              <w:top w:val="nil"/>
              <w:left w:val="nil"/>
              <w:bottom w:val="single" w:sz="4" w:space="0" w:color="auto"/>
              <w:right w:val="single" w:sz="4" w:space="0" w:color="auto"/>
            </w:tcBorders>
            <w:shd w:val="clear" w:color="auto" w:fill="auto"/>
            <w:noWrap/>
            <w:vAlign w:val="center"/>
            <w:hideMark/>
          </w:tcPr>
          <w:p w14:paraId="0678B3DC"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осіб</w:t>
            </w:r>
          </w:p>
        </w:tc>
        <w:tc>
          <w:tcPr>
            <w:tcW w:w="992" w:type="dxa"/>
            <w:tcBorders>
              <w:top w:val="nil"/>
              <w:left w:val="nil"/>
              <w:bottom w:val="single" w:sz="4" w:space="0" w:color="auto"/>
              <w:right w:val="single" w:sz="4" w:space="0" w:color="auto"/>
            </w:tcBorders>
            <w:shd w:val="clear" w:color="auto" w:fill="auto"/>
            <w:noWrap/>
            <w:vAlign w:val="center"/>
            <w:hideMark/>
          </w:tcPr>
          <w:p w14:paraId="5F98A62F" w14:textId="77777777" w:rsidR="00E45D3C" w:rsidRPr="00610417" w:rsidRDefault="00E45D3C" w:rsidP="008138C1">
            <w:pPr>
              <w:spacing w:after="0" w:line="240" w:lineRule="auto"/>
              <w:ind w:left="-183"/>
              <w:rPr>
                <w:rFonts w:ascii="Times New Roman" w:eastAsia="Times New Roman" w:hAnsi="Times New Roman" w:cs="Times New Roman"/>
                <w:color w:val="000000"/>
                <w:sz w:val="20"/>
                <w:szCs w:val="20"/>
                <w:lang w:val="uk-UA" w:eastAsia="uk-UA"/>
              </w:rPr>
            </w:pPr>
            <w:r w:rsidRPr="00610417">
              <w:rPr>
                <w:rFonts w:ascii="Times New Roman" w:eastAsia="Times New Roman" w:hAnsi="Times New Roman" w:cs="Times New Roman"/>
                <w:color w:val="000000"/>
                <w:sz w:val="20"/>
                <w:szCs w:val="20"/>
                <w:lang w:val="uk-UA" w:eastAsia="ru-RU"/>
              </w:rPr>
              <w:t xml:space="preserve">         4 537 </w:t>
            </w:r>
          </w:p>
        </w:tc>
        <w:tc>
          <w:tcPr>
            <w:tcW w:w="876" w:type="dxa"/>
            <w:tcBorders>
              <w:top w:val="nil"/>
              <w:left w:val="nil"/>
              <w:bottom w:val="single" w:sz="4" w:space="0" w:color="auto"/>
              <w:right w:val="single" w:sz="4" w:space="0" w:color="auto"/>
            </w:tcBorders>
            <w:shd w:val="clear" w:color="auto" w:fill="auto"/>
            <w:noWrap/>
            <w:vAlign w:val="center"/>
            <w:hideMark/>
          </w:tcPr>
          <w:p w14:paraId="7E2C39CE" w14:textId="77777777" w:rsidR="00E45D3C" w:rsidRPr="00610417" w:rsidRDefault="00E45D3C" w:rsidP="008138C1">
            <w:pPr>
              <w:spacing w:after="0" w:line="240" w:lineRule="auto"/>
              <w:ind w:left="-183" w:hanging="283"/>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3 957 </w:t>
            </w:r>
          </w:p>
        </w:tc>
        <w:tc>
          <w:tcPr>
            <w:tcW w:w="967" w:type="dxa"/>
            <w:tcBorders>
              <w:top w:val="nil"/>
              <w:left w:val="nil"/>
              <w:bottom w:val="single" w:sz="4" w:space="0" w:color="auto"/>
              <w:right w:val="single" w:sz="4" w:space="0" w:color="auto"/>
            </w:tcBorders>
            <w:shd w:val="clear" w:color="auto" w:fill="auto"/>
            <w:noWrap/>
            <w:vAlign w:val="center"/>
            <w:hideMark/>
          </w:tcPr>
          <w:p w14:paraId="01B280C9" w14:textId="77777777" w:rsidR="00E45D3C" w:rsidRPr="00610417" w:rsidRDefault="00E45D3C" w:rsidP="008138C1">
            <w:pPr>
              <w:spacing w:after="0" w:line="240" w:lineRule="auto"/>
              <w:ind w:hanging="350"/>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3 925 </w:t>
            </w:r>
          </w:p>
        </w:tc>
        <w:tc>
          <w:tcPr>
            <w:tcW w:w="1201" w:type="dxa"/>
            <w:tcBorders>
              <w:top w:val="nil"/>
              <w:left w:val="nil"/>
              <w:bottom w:val="single" w:sz="4" w:space="0" w:color="auto"/>
              <w:right w:val="single" w:sz="4" w:space="0" w:color="auto"/>
            </w:tcBorders>
            <w:shd w:val="clear" w:color="auto" w:fill="auto"/>
            <w:noWrap/>
            <w:vAlign w:val="center"/>
            <w:hideMark/>
          </w:tcPr>
          <w:p w14:paraId="380356B1" w14:textId="77777777" w:rsidR="00E45D3C" w:rsidRPr="00610417" w:rsidRDefault="00E45D3C" w:rsidP="008138C1">
            <w:pPr>
              <w:spacing w:after="0" w:line="240" w:lineRule="auto"/>
              <w:ind w:hanging="183"/>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3 943 </w:t>
            </w:r>
          </w:p>
        </w:tc>
        <w:tc>
          <w:tcPr>
            <w:tcW w:w="1358" w:type="dxa"/>
            <w:tcBorders>
              <w:top w:val="nil"/>
              <w:left w:val="nil"/>
              <w:bottom w:val="single" w:sz="4" w:space="0" w:color="auto"/>
              <w:right w:val="single" w:sz="4" w:space="0" w:color="auto"/>
            </w:tcBorders>
            <w:shd w:val="clear" w:color="auto" w:fill="auto"/>
            <w:noWrap/>
            <w:vAlign w:val="center"/>
            <w:hideMark/>
          </w:tcPr>
          <w:p w14:paraId="73219C91" w14:textId="77777777" w:rsidR="00E45D3C" w:rsidRPr="00610417" w:rsidRDefault="00E45D3C" w:rsidP="008138C1">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3 987 </w:t>
            </w:r>
          </w:p>
        </w:tc>
        <w:tc>
          <w:tcPr>
            <w:tcW w:w="1037" w:type="dxa"/>
            <w:tcBorders>
              <w:top w:val="nil"/>
              <w:left w:val="nil"/>
              <w:bottom w:val="single" w:sz="4" w:space="0" w:color="auto"/>
              <w:right w:val="single" w:sz="4" w:space="0" w:color="auto"/>
            </w:tcBorders>
            <w:shd w:val="clear" w:color="auto" w:fill="auto"/>
            <w:noWrap/>
            <w:vAlign w:val="center"/>
            <w:hideMark/>
          </w:tcPr>
          <w:p w14:paraId="6B805677" w14:textId="77777777" w:rsidR="00E45D3C" w:rsidRPr="00610417" w:rsidRDefault="00E45D3C" w:rsidP="008138C1">
            <w:pPr>
              <w:spacing w:after="0" w:line="240" w:lineRule="auto"/>
              <w:ind w:hanging="191"/>
              <w:rPr>
                <w:rFonts w:ascii="Times New Roman" w:eastAsia="Times New Roman" w:hAnsi="Times New Roman" w:cs="Times New Roman"/>
                <w:color w:val="000000"/>
                <w:sz w:val="20"/>
                <w:szCs w:val="20"/>
                <w:lang w:val="uk-UA" w:eastAsia="uk-UA"/>
              </w:rPr>
            </w:pPr>
            <w:r w:rsidRPr="00610417">
              <w:rPr>
                <w:rFonts w:ascii="Times New Roman" w:eastAsia="Times New Roman" w:hAnsi="Times New Roman" w:cs="Times New Roman"/>
                <w:color w:val="000000"/>
                <w:sz w:val="20"/>
                <w:szCs w:val="20"/>
                <w:lang w:val="uk-UA" w:eastAsia="ru-RU"/>
              </w:rPr>
              <w:t xml:space="preserve">          4 073 </w:t>
            </w:r>
          </w:p>
        </w:tc>
        <w:tc>
          <w:tcPr>
            <w:tcW w:w="1001" w:type="dxa"/>
            <w:tcBorders>
              <w:top w:val="nil"/>
              <w:left w:val="nil"/>
              <w:bottom w:val="single" w:sz="4" w:space="0" w:color="auto"/>
              <w:right w:val="single" w:sz="4" w:space="0" w:color="auto"/>
            </w:tcBorders>
            <w:shd w:val="clear" w:color="auto" w:fill="auto"/>
            <w:noWrap/>
            <w:vAlign w:val="center"/>
            <w:hideMark/>
          </w:tcPr>
          <w:p w14:paraId="358213BC" w14:textId="77777777" w:rsidR="00E45D3C" w:rsidRPr="00610417" w:rsidRDefault="00E45D3C" w:rsidP="005660EC">
            <w:pPr>
              <w:spacing w:after="0" w:line="240" w:lineRule="auto"/>
              <w:ind w:hanging="235"/>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4 145 </w:t>
            </w:r>
          </w:p>
        </w:tc>
        <w:tc>
          <w:tcPr>
            <w:tcW w:w="1001" w:type="dxa"/>
            <w:tcBorders>
              <w:top w:val="nil"/>
              <w:left w:val="nil"/>
              <w:bottom w:val="single" w:sz="4" w:space="0" w:color="auto"/>
              <w:right w:val="single" w:sz="4" w:space="0" w:color="auto"/>
            </w:tcBorders>
            <w:shd w:val="clear" w:color="auto" w:fill="auto"/>
            <w:noWrap/>
            <w:vAlign w:val="center"/>
            <w:hideMark/>
          </w:tcPr>
          <w:p w14:paraId="5A3BDA8D" w14:textId="77777777" w:rsidR="00E45D3C" w:rsidRPr="00610417" w:rsidRDefault="00E45D3C" w:rsidP="005660EC">
            <w:pPr>
              <w:spacing w:after="0" w:line="240" w:lineRule="auto"/>
              <w:ind w:hanging="244"/>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4 525 </w:t>
            </w:r>
          </w:p>
        </w:tc>
      </w:tr>
      <w:tr w:rsidR="00E45D3C" w:rsidRPr="00610417" w14:paraId="721AD6F7" w14:textId="77777777" w:rsidTr="008138C1">
        <w:trPr>
          <w:divId w:val="926767640"/>
          <w:trHeight w:val="31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4DAFF79"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w:t>
            </w:r>
          </w:p>
        </w:tc>
        <w:tc>
          <w:tcPr>
            <w:tcW w:w="4098" w:type="dxa"/>
            <w:tcBorders>
              <w:top w:val="nil"/>
              <w:left w:val="nil"/>
              <w:bottom w:val="single" w:sz="4" w:space="0" w:color="auto"/>
              <w:right w:val="single" w:sz="4" w:space="0" w:color="auto"/>
            </w:tcBorders>
            <w:shd w:val="clear" w:color="auto" w:fill="auto"/>
            <w:vAlign w:val="center"/>
            <w:hideMark/>
          </w:tcPr>
          <w:p w14:paraId="508782FF" w14:textId="77777777" w:rsidR="00E45D3C" w:rsidRPr="00610417" w:rsidRDefault="00E45D3C" w:rsidP="00E45D3C">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юридичних осіб</w:t>
            </w:r>
          </w:p>
        </w:tc>
        <w:tc>
          <w:tcPr>
            <w:tcW w:w="1067" w:type="dxa"/>
            <w:tcBorders>
              <w:top w:val="nil"/>
              <w:left w:val="nil"/>
              <w:bottom w:val="single" w:sz="4" w:space="0" w:color="auto"/>
              <w:right w:val="single" w:sz="4" w:space="0" w:color="auto"/>
            </w:tcBorders>
            <w:shd w:val="clear" w:color="auto" w:fill="auto"/>
            <w:noWrap/>
            <w:vAlign w:val="center"/>
            <w:hideMark/>
          </w:tcPr>
          <w:p w14:paraId="79B959C2" w14:textId="77777777" w:rsidR="00E45D3C" w:rsidRPr="00610417" w:rsidRDefault="00E45D3C" w:rsidP="00E45D3C">
            <w:pPr>
              <w:spacing w:after="0" w:line="240" w:lineRule="auto"/>
              <w:jc w:val="center"/>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одиниць</w:t>
            </w:r>
          </w:p>
        </w:tc>
        <w:tc>
          <w:tcPr>
            <w:tcW w:w="992" w:type="dxa"/>
            <w:tcBorders>
              <w:top w:val="nil"/>
              <w:left w:val="nil"/>
              <w:bottom w:val="single" w:sz="4" w:space="0" w:color="auto"/>
              <w:right w:val="single" w:sz="4" w:space="0" w:color="auto"/>
            </w:tcBorders>
            <w:shd w:val="clear" w:color="auto" w:fill="auto"/>
            <w:noWrap/>
            <w:vAlign w:val="center"/>
            <w:hideMark/>
          </w:tcPr>
          <w:p w14:paraId="56B5619C" w14:textId="77777777" w:rsidR="00E45D3C" w:rsidRPr="00610417" w:rsidRDefault="00E45D3C" w:rsidP="008138C1">
            <w:pPr>
              <w:spacing w:after="0" w:line="240" w:lineRule="auto"/>
              <w:ind w:left="-183"/>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2 982 </w:t>
            </w:r>
          </w:p>
        </w:tc>
        <w:tc>
          <w:tcPr>
            <w:tcW w:w="876" w:type="dxa"/>
            <w:tcBorders>
              <w:top w:val="nil"/>
              <w:left w:val="nil"/>
              <w:bottom w:val="single" w:sz="4" w:space="0" w:color="auto"/>
              <w:right w:val="single" w:sz="4" w:space="0" w:color="auto"/>
            </w:tcBorders>
            <w:shd w:val="clear" w:color="auto" w:fill="auto"/>
            <w:noWrap/>
            <w:vAlign w:val="center"/>
            <w:hideMark/>
          </w:tcPr>
          <w:p w14:paraId="076E7A83" w14:textId="77777777" w:rsidR="00E45D3C" w:rsidRPr="00610417" w:rsidRDefault="00E45D3C" w:rsidP="005660EC">
            <w:pPr>
              <w:spacing w:after="0" w:line="240" w:lineRule="auto"/>
              <w:ind w:left="-183" w:hanging="283"/>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3 069 </w:t>
            </w:r>
          </w:p>
        </w:tc>
        <w:tc>
          <w:tcPr>
            <w:tcW w:w="967" w:type="dxa"/>
            <w:tcBorders>
              <w:top w:val="nil"/>
              <w:left w:val="nil"/>
              <w:bottom w:val="single" w:sz="4" w:space="0" w:color="auto"/>
              <w:right w:val="single" w:sz="4" w:space="0" w:color="auto"/>
            </w:tcBorders>
            <w:shd w:val="clear" w:color="auto" w:fill="auto"/>
            <w:noWrap/>
            <w:vAlign w:val="center"/>
            <w:hideMark/>
          </w:tcPr>
          <w:p w14:paraId="345EA917" w14:textId="77777777" w:rsidR="00E45D3C" w:rsidRPr="00610417" w:rsidRDefault="00E45D3C" w:rsidP="005660EC">
            <w:pPr>
              <w:spacing w:after="0" w:line="240" w:lineRule="auto"/>
              <w:ind w:hanging="208"/>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2 922 </w:t>
            </w:r>
          </w:p>
        </w:tc>
        <w:tc>
          <w:tcPr>
            <w:tcW w:w="1201" w:type="dxa"/>
            <w:tcBorders>
              <w:top w:val="nil"/>
              <w:left w:val="nil"/>
              <w:bottom w:val="single" w:sz="4" w:space="0" w:color="auto"/>
              <w:right w:val="single" w:sz="4" w:space="0" w:color="auto"/>
            </w:tcBorders>
            <w:shd w:val="clear" w:color="auto" w:fill="auto"/>
            <w:noWrap/>
            <w:vAlign w:val="center"/>
            <w:hideMark/>
          </w:tcPr>
          <w:p w14:paraId="2E89A55B" w14:textId="77777777" w:rsidR="00E45D3C" w:rsidRPr="00610417" w:rsidRDefault="00E45D3C" w:rsidP="005660EC">
            <w:pPr>
              <w:spacing w:after="0" w:line="240" w:lineRule="auto"/>
              <w:ind w:hanging="183"/>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2 455 </w:t>
            </w:r>
          </w:p>
        </w:tc>
        <w:tc>
          <w:tcPr>
            <w:tcW w:w="1358" w:type="dxa"/>
            <w:tcBorders>
              <w:top w:val="nil"/>
              <w:left w:val="nil"/>
              <w:bottom w:val="single" w:sz="4" w:space="0" w:color="auto"/>
              <w:right w:val="single" w:sz="4" w:space="0" w:color="auto"/>
            </w:tcBorders>
            <w:shd w:val="clear" w:color="auto" w:fill="auto"/>
            <w:noWrap/>
            <w:vAlign w:val="center"/>
            <w:hideMark/>
          </w:tcPr>
          <w:p w14:paraId="71997144" w14:textId="77777777" w:rsidR="00E45D3C" w:rsidRPr="00610417" w:rsidRDefault="00E45D3C" w:rsidP="008138C1">
            <w:pPr>
              <w:spacing w:after="0" w:line="240" w:lineRule="auto"/>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2 650 </w:t>
            </w:r>
          </w:p>
        </w:tc>
        <w:tc>
          <w:tcPr>
            <w:tcW w:w="1037" w:type="dxa"/>
            <w:tcBorders>
              <w:top w:val="nil"/>
              <w:left w:val="nil"/>
              <w:bottom w:val="single" w:sz="4" w:space="0" w:color="auto"/>
              <w:right w:val="single" w:sz="4" w:space="0" w:color="auto"/>
            </w:tcBorders>
            <w:shd w:val="clear" w:color="auto" w:fill="auto"/>
            <w:noWrap/>
            <w:vAlign w:val="center"/>
            <w:hideMark/>
          </w:tcPr>
          <w:p w14:paraId="269B3C69" w14:textId="77777777" w:rsidR="00E45D3C" w:rsidRPr="00610417" w:rsidRDefault="00E45D3C" w:rsidP="005660EC">
            <w:pPr>
              <w:spacing w:after="0" w:line="240" w:lineRule="auto"/>
              <w:ind w:hanging="332"/>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2 707 </w:t>
            </w:r>
          </w:p>
        </w:tc>
        <w:tc>
          <w:tcPr>
            <w:tcW w:w="1001" w:type="dxa"/>
            <w:tcBorders>
              <w:top w:val="nil"/>
              <w:left w:val="nil"/>
              <w:bottom w:val="single" w:sz="4" w:space="0" w:color="auto"/>
              <w:right w:val="single" w:sz="4" w:space="0" w:color="auto"/>
            </w:tcBorders>
            <w:shd w:val="clear" w:color="auto" w:fill="auto"/>
            <w:noWrap/>
            <w:vAlign w:val="center"/>
            <w:hideMark/>
          </w:tcPr>
          <w:p w14:paraId="2C69419E" w14:textId="77777777" w:rsidR="00E45D3C" w:rsidRPr="00610417" w:rsidRDefault="00E45D3C" w:rsidP="005660EC">
            <w:pPr>
              <w:spacing w:after="0" w:line="240" w:lineRule="auto"/>
              <w:ind w:hanging="235"/>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2 860 </w:t>
            </w:r>
          </w:p>
        </w:tc>
        <w:tc>
          <w:tcPr>
            <w:tcW w:w="1001" w:type="dxa"/>
            <w:tcBorders>
              <w:top w:val="nil"/>
              <w:left w:val="nil"/>
              <w:bottom w:val="single" w:sz="4" w:space="0" w:color="auto"/>
              <w:right w:val="single" w:sz="4" w:space="0" w:color="auto"/>
            </w:tcBorders>
            <w:shd w:val="clear" w:color="auto" w:fill="auto"/>
            <w:noWrap/>
            <w:vAlign w:val="center"/>
            <w:hideMark/>
          </w:tcPr>
          <w:p w14:paraId="5D070A16" w14:textId="77777777" w:rsidR="00E45D3C" w:rsidRPr="00610417" w:rsidRDefault="00E45D3C" w:rsidP="005660EC">
            <w:pPr>
              <w:spacing w:after="0" w:line="240" w:lineRule="auto"/>
              <w:ind w:hanging="244"/>
              <w:rPr>
                <w:rFonts w:ascii="Times New Roman" w:eastAsia="Times New Roman" w:hAnsi="Times New Roman" w:cs="Times New Roman"/>
                <w:color w:val="000000"/>
                <w:sz w:val="20"/>
                <w:szCs w:val="20"/>
                <w:lang w:val="uk-UA" w:eastAsia="ru-RU"/>
              </w:rPr>
            </w:pPr>
            <w:r w:rsidRPr="00610417">
              <w:rPr>
                <w:rFonts w:ascii="Times New Roman" w:eastAsia="Times New Roman" w:hAnsi="Times New Roman" w:cs="Times New Roman"/>
                <w:color w:val="000000"/>
                <w:sz w:val="20"/>
                <w:szCs w:val="20"/>
                <w:lang w:val="uk-UA" w:eastAsia="ru-RU"/>
              </w:rPr>
              <w:t xml:space="preserve">         2 935 </w:t>
            </w:r>
          </w:p>
        </w:tc>
      </w:tr>
    </w:tbl>
    <w:p w14:paraId="4FBED2B6" w14:textId="77777777" w:rsidR="00774F1D" w:rsidRDefault="000B04B1" w:rsidP="000B04B1">
      <w:pPr>
        <w:tabs>
          <w:tab w:val="left" w:pos="5280"/>
          <w:tab w:val="left" w:pos="5385"/>
        </w:tabs>
        <w:spacing w:after="0" w:line="280" w:lineRule="exact"/>
        <w:ind w:firstLine="567"/>
        <w:jc w:val="both"/>
        <w:outlineLvl w:val="0"/>
        <w:rPr>
          <w:rFonts w:ascii="Times New Roman" w:eastAsia="Calibri" w:hAnsi="Times New Roman" w:cs="Times New Roman"/>
          <w:color w:val="000000"/>
          <w:kern w:val="28"/>
          <w:sz w:val="24"/>
          <w:szCs w:val="24"/>
          <w:lang w:val="uk-UA" w:eastAsia="ru-RU"/>
        </w:rPr>
        <w:sectPr w:rsidR="00774F1D" w:rsidSect="008138C1">
          <w:pgSz w:w="16838" w:h="11906" w:orient="landscape"/>
          <w:pgMar w:top="851" w:right="567" w:bottom="851" w:left="709" w:header="709" w:footer="6" w:gutter="0"/>
          <w:pgNumType w:start="1"/>
          <w:cols w:space="708"/>
          <w:titlePg/>
          <w:docGrid w:linePitch="360"/>
        </w:sectPr>
      </w:pPr>
      <w:r w:rsidRPr="00610417">
        <w:rPr>
          <w:rFonts w:ascii="Times New Roman" w:eastAsia="Calibri" w:hAnsi="Times New Roman" w:cs="Times New Roman"/>
          <w:color w:val="000000"/>
          <w:kern w:val="28"/>
          <w:sz w:val="24"/>
          <w:szCs w:val="24"/>
          <w:lang w:val="uk-UA" w:eastAsia="ru-RU"/>
        </w:rPr>
        <w:fldChar w:fldCharType="end"/>
      </w:r>
    </w:p>
    <w:p w14:paraId="208DC4FE" w14:textId="77777777" w:rsidR="000B04B1" w:rsidRPr="007620A2" w:rsidRDefault="000B04B1" w:rsidP="000B04B1">
      <w:pPr>
        <w:spacing w:line="240" w:lineRule="auto"/>
        <w:contextualSpacing/>
        <w:jc w:val="center"/>
        <w:rPr>
          <w:rFonts w:ascii="Times New Roman" w:hAnsi="Times New Roman" w:cs="Times New Roman"/>
          <w:b/>
          <w:sz w:val="28"/>
          <w:szCs w:val="28"/>
          <w:lang w:val="uk-UA"/>
        </w:rPr>
      </w:pPr>
      <w:r w:rsidRPr="007620A2">
        <w:rPr>
          <w:rFonts w:ascii="Times New Roman" w:hAnsi="Times New Roman" w:cs="Times New Roman"/>
          <w:b/>
          <w:sz w:val="28"/>
          <w:szCs w:val="28"/>
          <w:lang w:val="uk-UA"/>
        </w:rPr>
        <w:t>2. Інформація про хід виконання  бюджету Чорноморської міської територіальної громади за  січень - вересень 2024 року</w:t>
      </w:r>
    </w:p>
    <w:p w14:paraId="79CAF978" w14:textId="77777777" w:rsidR="000B04B1" w:rsidRPr="007620A2" w:rsidRDefault="000B04B1" w:rsidP="000B04B1">
      <w:pPr>
        <w:spacing w:line="240" w:lineRule="auto"/>
        <w:contextualSpacing/>
        <w:jc w:val="center"/>
        <w:rPr>
          <w:rFonts w:ascii="Times New Roman" w:hAnsi="Times New Roman" w:cs="Times New Roman"/>
          <w:b/>
          <w:sz w:val="24"/>
          <w:szCs w:val="24"/>
          <w:lang w:val="uk-UA"/>
        </w:rPr>
      </w:pPr>
    </w:p>
    <w:p w14:paraId="7AD16F72"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b/>
          <w:sz w:val="24"/>
          <w:szCs w:val="24"/>
          <w:lang w:val="uk-UA" w:eastAsia="ru-RU"/>
        </w:rPr>
        <w:t xml:space="preserve">Планові показники доходів бюджету Чорноморської міської територіальної громади, </w:t>
      </w:r>
      <w:r w:rsidRPr="007620A2">
        <w:rPr>
          <w:rFonts w:ascii="Times New Roman" w:eastAsia="Times New Roman" w:hAnsi="Times New Roman" w:cs="Times New Roman"/>
          <w:sz w:val="24"/>
          <w:szCs w:val="24"/>
          <w:lang w:val="uk-UA" w:eastAsia="ru-RU"/>
        </w:rPr>
        <w:t xml:space="preserve">які затверджені в розписі бюджету громади на січень-вересень 2024 року, виконані на 103,3 %, тобто при плані на зазначений період </w:t>
      </w:r>
      <w:r w:rsidRPr="007620A2">
        <w:rPr>
          <w:rFonts w:ascii="Times New Roman" w:hAnsi="Times New Roman" w:cs="Times New Roman"/>
          <w:sz w:val="24"/>
          <w:szCs w:val="24"/>
          <w:lang w:val="uk-UA"/>
        </w:rPr>
        <w:t xml:space="preserve">862 692,4 </w:t>
      </w:r>
      <w:r w:rsidRPr="007620A2">
        <w:rPr>
          <w:rFonts w:ascii="Times New Roman" w:eastAsia="Times New Roman" w:hAnsi="Times New Roman" w:cs="Times New Roman"/>
          <w:sz w:val="24"/>
          <w:szCs w:val="24"/>
          <w:lang w:val="uk-UA" w:eastAsia="ru-RU"/>
        </w:rPr>
        <w:t xml:space="preserve">тис. грн, фактично надійшло – </w:t>
      </w:r>
      <w:r w:rsidRPr="007620A2">
        <w:rPr>
          <w:rFonts w:ascii="Times New Roman" w:hAnsi="Times New Roman" w:cs="Times New Roman"/>
          <w:sz w:val="24"/>
          <w:szCs w:val="24"/>
          <w:lang w:val="uk-UA"/>
        </w:rPr>
        <w:t xml:space="preserve">891 457,1 </w:t>
      </w:r>
      <w:r w:rsidRPr="007620A2">
        <w:rPr>
          <w:rFonts w:ascii="Times New Roman" w:eastAsia="Times New Roman" w:hAnsi="Times New Roman" w:cs="Times New Roman"/>
          <w:sz w:val="24"/>
          <w:szCs w:val="24"/>
          <w:lang w:val="uk-UA" w:eastAsia="ru-RU"/>
        </w:rPr>
        <w:t>тис. грн. В порівнянні з аналогічним періодом минулого року надходження до бюджету міської громади збільшились на 2,8 % або на 24 551,0 тис грн.</w:t>
      </w:r>
    </w:p>
    <w:p w14:paraId="4FAD562F" w14:textId="77777777" w:rsidR="000B04B1" w:rsidRPr="007620A2" w:rsidRDefault="000B04B1" w:rsidP="002336A2">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Власних доходів (без урахування міжбюджетних трансфертів) надійшло у сумі                             685 501,3 тис. грн, що становить 105,1 % уточненого планового показника на 9 місяців поточного року, який затверджено в розписі бюджету міської громади у сумі 652 502,3 тис. грн.</w:t>
      </w:r>
    </w:p>
    <w:p w14:paraId="47D026F6" w14:textId="03B5B191" w:rsidR="000B04B1" w:rsidRPr="007620A2" w:rsidRDefault="000B04B1" w:rsidP="000B04B1">
      <w:pPr>
        <w:spacing w:after="0" w:line="240" w:lineRule="auto"/>
        <w:ind w:firstLine="567"/>
        <w:jc w:val="both"/>
        <w:rPr>
          <w:rFonts w:ascii="Times New Roman" w:hAnsi="Times New Roman" w:cs="Times New Roman"/>
          <w:bCs/>
          <w:sz w:val="24"/>
          <w:szCs w:val="24"/>
          <w:shd w:val="clear" w:color="auto" w:fill="FFFFFF"/>
          <w:lang w:val="uk-UA"/>
        </w:rPr>
      </w:pPr>
      <w:r w:rsidRPr="007620A2">
        <w:rPr>
          <w:rFonts w:ascii="Times New Roman" w:hAnsi="Times New Roman" w:cs="Times New Roman"/>
          <w:sz w:val="24"/>
          <w:szCs w:val="24"/>
          <w:lang w:val="uk-UA"/>
        </w:rPr>
        <w:t xml:space="preserve">В порівнянні з аналогічним періодом минулого року надходження власних доходів зменшились на 71 228,2 тис. грн або на 9,4 %, переважно </w:t>
      </w:r>
      <w:r w:rsidR="00E85CC5">
        <w:rPr>
          <w:rFonts w:ascii="Times New Roman" w:hAnsi="Times New Roman" w:cs="Times New Roman"/>
          <w:sz w:val="24"/>
          <w:szCs w:val="24"/>
          <w:lang w:val="uk-UA"/>
        </w:rPr>
        <w:t xml:space="preserve">внаслідок </w:t>
      </w:r>
      <w:r w:rsidRPr="007620A2">
        <w:rPr>
          <w:rFonts w:ascii="Times New Roman" w:hAnsi="Times New Roman" w:cs="Times New Roman"/>
          <w:sz w:val="24"/>
          <w:szCs w:val="24"/>
          <w:lang w:val="uk-UA"/>
        </w:rPr>
        <w:t xml:space="preserve">того, що з 1 жовтня 2023 року </w:t>
      </w:r>
      <w:r w:rsidRPr="007620A2">
        <w:rPr>
          <w:rFonts w:ascii="Times New Roman" w:hAnsi="Times New Roman" w:cs="Times New Roman"/>
          <w:bCs/>
          <w:sz w:val="24"/>
          <w:szCs w:val="24"/>
          <w:shd w:val="clear" w:color="auto" w:fill="FFFFFF"/>
          <w:lang w:val="uk-UA"/>
        </w:rPr>
        <w:t xml:space="preserve"> «військовий» ПДФО зараховується до державного бюджету</w:t>
      </w:r>
    </w:p>
    <w:p w14:paraId="177375B3"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p>
    <w:p w14:paraId="43770EB2" w14:textId="77777777" w:rsidR="000B04B1" w:rsidRPr="007620A2" w:rsidRDefault="000B04B1" w:rsidP="000B04B1">
      <w:pPr>
        <w:spacing w:after="0" w:line="240" w:lineRule="auto"/>
        <w:jc w:val="both"/>
        <w:rPr>
          <w:rFonts w:ascii="Times New Roman" w:eastAsia="Times New Roman" w:hAnsi="Times New Roman" w:cs="Times New Roman"/>
          <w:sz w:val="24"/>
          <w:szCs w:val="24"/>
          <w:lang w:val="uk-UA" w:eastAsia="ru-RU"/>
        </w:rPr>
      </w:pPr>
      <w:r w:rsidRPr="007620A2">
        <w:rPr>
          <w:noProof/>
          <w:sz w:val="26"/>
          <w:szCs w:val="26"/>
          <w:lang w:eastAsia="ru-RU"/>
        </w:rPr>
        <w:drawing>
          <wp:inline distT="0" distB="0" distL="0" distR="0" wp14:anchorId="1248AF60" wp14:editId="2B2975A8">
            <wp:extent cx="6438900" cy="3147060"/>
            <wp:effectExtent l="0" t="0" r="0" b="1524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7BA51F"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p>
    <w:p w14:paraId="277A63AA" w14:textId="77777777" w:rsidR="000B04B1" w:rsidRPr="007620A2" w:rsidRDefault="000B04B1" w:rsidP="000B04B1">
      <w:pPr>
        <w:spacing w:after="0" w:line="240" w:lineRule="auto"/>
        <w:ind w:firstLine="567"/>
        <w:jc w:val="both"/>
        <w:rPr>
          <w:rFonts w:ascii="Times New Roman" w:eastAsia="Times New Roman" w:hAnsi="Times New Roman" w:cs="Times New Roman"/>
          <w:sz w:val="12"/>
          <w:szCs w:val="12"/>
          <w:lang w:val="uk-UA" w:eastAsia="ru-RU"/>
        </w:rPr>
      </w:pPr>
    </w:p>
    <w:p w14:paraId="1D4E3C96" w14:textId="77777777" w:rsidR="000B04B1" w:rsidRPr="007620A2" w:rsidRDefault="000B04B1" w:rsidP="002336A2">
      <w:pPr>
        <w:tabs>
          <w:tab w:val="left" w:pos="567"/>
        </w:tabs>
        <w:spacing w:after="0" w:line="240" w:lineRule="auto"/>
        <w:ind w:firstLine="567"/>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 xml:space="preserve">В загальних обсягах надходжень до бюджету міської громади за 9 місяців 2024 року  23,1 % або 205 955,8 тис. гривень складають надходження офіційних трансфертів від органів державного управління та міжнародного гранту, що надійшов до бюджету громади, а саме: </w:t>
      </w:r>
    </w:p>
    <w:p w14:paraId="5D771970" w14:textId="328CAAAE" w:rsidR="000B04B1" w:rsidRPr="007620A2" w:rsidRDefault="000B04B1" w:rsidP="000B04B1">
      <w:pPr>
        <w:pStyle w:val="a4"/>
        <w:numPr>
          <w:ilvl w:val="0"/>
          <w:numId w:val="7"/>
        </w:numPr>
        <w:tabs>
          <w:tab w:val="left" w:pos="284"/>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44 560,5 тис. грн -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а саме на облаштування безпечних умов у заклад</w:t>
      </w:r>
      <w:r w:rsidR="002336A2">
        <w:rPr>
          <w:rFonts w:ascii="Times New Roman" w:hAnsi="Times New Roman" w:cs="Times New Roman"/>
          <w:sz w:val="24"/>
          <w:szCs w:val="24"/>
          <w:lang w:val="uk-UA"/>
        </w:rPr>
        <w:t>і</w:t>
      </w:r>
      <w:r w:rsidRPr="007620A2">
        <w:rPr>
          <w:rFonts w:ascii="Times New Roman" w:hAnsi="Times New Roman" w:cs="Times New Roman"/>
          <w:sz w:val="24"/>
          <w:szCs w:val="24"/>
          <w:lang w:val="uk-UA"/>
        </w:rPr>
        <w:t xml:space="preserve"> освіти – Чорноморському ліцеї № 3;</w:t>
      </w:r>
    </w:p>
    <w:p w14:paraId="3D17BA73" w14:textId="77777777" w:rsidR="000B04B1" w:rsidRPr="007620A2" w:rsidRDefault="000B04B1" w:rsidP="000B04B1">
      <w:pPr>
        <w:pStyle w:val="a4"/>
        <w:numPr>
          <w:ilvl w:val="0"/>
          <w:numId w:val="7"/>
        </w:numPr>
        <w:tabs>
          <w:tab w:val="left" w:pos="284"/>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125 134,8 тис. грн – субвенції освітньої галузі; </w:t>
      </w:r>
    </w:p>
    <w:p w14:paraId="5258A2AC" w14:textId="77777777" w:rsidR="000B04B1" w:rsidRPr="007620A2" w:rsidRDefault="000B04B1" w:rsidP="000B04B1">
      <w:pPr>
        <w:pStyle w:val="a4"/>
        <w:numPr>
          <w:ilvl w:val="0"/>
          <w:numId w:val="7"/>
        </w:numPr>
        <w:tabs>
          <w:tab w:val="left" w:pos="284"/>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1 859,2 - субвенція з місцевого бюджету на виплату грошової компенсації за належні для отримання жилі приміщення для сімей осіб, визначених </w:t>
      </w:r>
      <w:hyperlink r:id="rId14" w:anchor="n659" w:tgtFrame="_blank" w:history="1">
        <w:r w:rsidRPr="007620A2">
          <w:rPr>
            <w:rFonts w:ascii="Times New Roman" w:hAnsi="Times New Roman" w:cs="Times New Roman"/>
            <w:sz w:val="24"/>
            <w:szCs w:val="24"/>
            <w:lang w:val="uk-UA"/>
          </w:rPr>
          <w:t>пунктами 2 - 5</w:t>
        </w:r>
      </w:hyperlink>
      <w:r w:rsidRPr="007620A2">
        <w:rPr>
          <w:rFonts w:ascii="Times New Roman" w:hAnsi="Times New Roman" w:cs="Times New Roman"/>
          <w:sz w:val="24"/>
          <w:szCs w:val="24"/>
          <w:lang w:val="uk-UA"/>
        </w:rPr>
        <w:t>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w:t>
      </w:r>
      <w:hyperlink r:id="rId15" w:anchor="n103" w:tgtFrame="_blank" w:history="1">
        <w:r w:rsidRPr="007620A2">
          <w:rPr>
            <w:rFonts w:ascii="Times New Roman" w:hAnsi="Times New Roman" w:cs="Times New Roman"/>
            <w:sz w:val="24"/>
            <w:szCs w:val="24"/>
            <w:lang w:val="uk-UA"/>
          </w:rPr>
          <w:t>пунктами 11 - 14</w:t>
        </w:r>
      </w:hyperlink>
      <w:r w:rsidRPr="007620A2">
        <w:rPr>
          <w:rFonts w:ascii="Times New Roman" w:hAnsi="Times New Roman" w:cs="Times New Roman"/>
          <w:sz w:val="24"/>
          <w:szCs w:val="24"/>
          <w:lang w:val="uk-UA"/>
        </w:rPr>
        <w:t>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14:paraId="2D65729B" w14:textId="77777777" w:rsidR="000B04B1" w:rsidRPr="007620A2" w:rsidRDefault="000B04B1" w:rsidP="000B04B1">
      <w:pPr>
        <w:pStyle w:val="a4"/>
        <w:numPr>
          <w:ilvl w:val="0"/>
          <w:numId w:val="7"/>
        </w:numPr>
        <w:tabs>
          <w:tab w:val="left" w:pos="284"/>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4 744,7 - 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w:t>
      </w:r>
      <w:hyperlink r:id="rId16" w:anchor="n149" w:tgtFrame="_blank" w:history="1">
        <w:r w:rsidRPr="007620A2">
          <w:rPr>
            <w:rFonts w:ascii="Times New Roman" w:hAnsi="Times New Roman" w:cs="Times New Roman"/>
            <w:sz w:val="24"/>
            <w:szCs w:val="24"/>
            <w:lang w:val="uk-UA"/>
          </w:rPr>
          <w:t>абзаці першому</w:t>
        </w:r>
      </w:hyperlink>
      <w:r w:rsidRPr="007620A2">
        <w:rPr>
          <w:rFonts w:ascii="Times New Roman" w:hAnsi="Times New Roman" w:cs="Times New Roman"/>
          <w:sz w:val="24"/>
          <w:szCs w:val="24"/>
          <w:lang w:val="uk-UA"/>
        </w:rPr>
        <w:t>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17" w:anchor="n92" w:tgtFrame="_blank" w:history="1">
        <w:r w:rsidRPr="007620A2">
          <w:rPr>
            <w:rFonts w:ascii="Times New Roman" w:hAnsi="Times New Roman" w:cs="Times New Roman"/>
            <w:sz w:val="24"/>
            <w:szCs w:val="24"/>
            <w:lang w:val="uk-UA"/>
          </w:rPr>
          <w:t>пунктом 7</w:t>
        </w:r>
      </w:hyperlink>
      <w:r w:rsidRPr="007620A2">
        <w:rPr>
          <w:rFonts w:ascii="Times New Roman" w:hAnsi="Times New Roman" w:cs="Times New Roman"/>
          <w:sz w:val="24"/>
          <w:szCs w:val="24"/>
          <w:lang w:val="uk-UA"/>
        </w:rPr>
        <w:t>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14:paraId="27EA8126" w14:textId="77777777" w:rsidR="000B04B1" w:rsidRPr="007620A2" w:rsidRDefault="000B04B1" w:rsidP="002336A2">
      <w:pPr>
        <w:pStyle w:val="a4"/>
        <w:numPr>
          <w:ilvl w:val="0"/>
          <w:numId w:val="7"/>
        </w:numPr>
        <w:tabs>
          <w:tab w:val="left" w:pos="284"/>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2 671,6 тис. грн – інші субвенції з місцевого бюджету, із яких:</w:t>
      </w:r>
    </w:p>
    <w:p w14:paraId="6A69444D" w14:textId="77777777" w:rsidR="000B04B1" w:rsidRPr="007620A2" w:rsidRDefault="000B04B1" w:rsidP="002336A2">
      <w:pPr>
        <w:tabs>
          <w:tab w:val="left" w:pos="284"/>
        </w:tabs>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- 304,6 тис. грн – субвенція з обласного бюджету Одеської області  для надання інших пільг окремим категоріям громадян;</w:t>
      </w:r>
    </w:p>
    <w:p w14:paraId="636E3256" w14:textId="77777777" w:rsidR="000B04B1" w:rsidRPr="007620A2" w:rsidRDefault="000B04B1" w:rsidP="002336A2">
      <w:pPr>
        <w:tabs>
          <w:tab w:val="left" w:pos="284"/>
        </w:tabs>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- 584,6 тис. грн – субвенція  з бюджету  Дальницької сільської ТГ  для надання фінансової підтримки комунальному некомерційному підприємству «Чорноморська лікарня» Чорноморської міської ради Одеського району Одеської області на оплату частини комунальних послуг та енергоносіїв для надання підприємством вторинної (спеціалізованої) медичної допомоги населенню Дальницької сільської територіальної громади Одеського району Одеської області;</w:t>
      </w:r>
    </w:p>
    <w:p w14:paraId="158DEA75" w14:textId="1845CEF7" w:rsidR="000B04B1" w:rsidRPr="007620A2" w:rsidRDefault="000B04B1" w:rsidP="002336A2">
      <w:pPr>
        <w:tabs>
          <w:tab w:val="left" w:pos="284"/>
        </w:tabs>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- 1 782,4 тис. грн – субвенція з бюджету Великодолинської селищної ТГ, в тому   числі 982,4 тис. грн на фінансування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для надання соціальних послуг у 2024 році за місцем проживання громадянам Великодолинської селищної територіальної громади Одеського району Одеської області  та 800,0 тис. грн  для надання фінансової підтримки комунальному некомерційному підприємству «Чорноморська лікарня» Чорноморської міської ради Одеського району Одеської області на оплату частини комунальних послуг та енергоносіїв  для надання підприємством вторинної (спеціалізованої) медичної допомоги населенню Великодолинської селищної територіальної громади Одеського району Одеської області; </w:t>
      </w:r>
    </w:p>
    <w:p w14:paraId="00683C7C" w14:textId="77777777" w:rsidR="000B04B1" w:rsidRPr="007620A2" w:rsidRDefault="000B04B1" w:rsidP="000B04B1">
      <w:pPr>
        <w:pStyle w:val="a4"/>
        <w:numPr>
          <w:ilvl w:val="0"/>
          <w:numId w:val="7"/>
        </w:numPr>
        <w:tabs>
          <w:tab w:val="left" w:pos="0"/>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72,8 тис. грн -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p w14:paraId="39E51A71" w14:textId="77777777" w:rsidR="000B04B1" w:rsidRPr="007620A2" w:rsidRDefault="000B04B1" w:rsidP="002336A2">
      <w:pPr>
        <w:pStyle w:val="a4"/>
        <w:numPr>
          <w:ilvl w:val="0"/>
          <w:numId w:val="7"/>
        </w:numPr>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26 491,4 тис. грн - субвенція з місцевого бюджету на виконання інвестиційних проектів, а саме на нове будівництво захисної споруди цивільного захисту подвійного призначення Бурлачобалківської гімназії Чорноморської міської ради Одеського району Одеської області за адресою: с. Бурлача Балка, вул. Інститутська, 22.</w:t>
      </w:r>
    </w:p>
    <w:p w14:paraId="25344023" w14:textId="77777777" w:rsidR="000B04B1" w:rsidRPr="007620A2" w:rsidRDefault="000B04B1" w:rsidP="002336A2">
      <w:pPr>
        <w:pStyle w:val="a4"/>
        <w:numPr>
          <w:ilvl w:val="0"/>
          <w:numId w:val="7"/>
        </w:numPr>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420,8 тис. грн – кошти у гривневому еквіваленті, які надійшли відповідно до п. 3.10 Грантової угоди </w:t>
      </w:r>
      <w:r w:rsidRPr="007620A2">
        <w:rPr>
          <w:rFonts w:ascii="Times New Roman" w:hAnsi="Times New Roman" w:cs="Times New Roman"/>
          <w:iCs/>
          <w:sz w:val="24"/>
          <w:szCs w:val="24"/>
          <w:lang w:val="uk-UA"/>
        </w:rPr>
        <w:t xml:space="preserve">№ 81291166 від 25.11.2022р. </w:t>
      </w:r>
      <w:r w:rsidRPr="007620A2">
        <w:rPr>
          <w:rFonts w:ascii="Times New Roman" w:hAnsi="Times New Roman" w:cs="Times New Roman"/>
          <w:sz w:val="24"/>
          <w:szCs w:val="24"/>
          <w:lang w:val="uk-UA"/>
        </w:rPr>
        <w:t>в рамках  проєкту міжнародної технічної допомоги GIZ «Просування енергоефективності та імплементації Директиви ЄС про енергоефективність в Україні» від Німецького товариства міжнародного співробітництва (Deutsche Gesellschaft für Internationale Zusammenarbeit (GIZ) GmbH у сумі 10 000 євро,  для фінансування продовження реалізації демо-проєкту:</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«Технічне переобладнання системи очищення каналізаційних стічних вод міста Чорноморськ Одеського району Одеської області» відповідно до вимог п. 3.4. вищезазначеної Грантової угоди.</w:t>
      </w:r>
    </w:p>
    <w:p w14:paraId="608D53D5" w14:textId="226CAF3A" w:rsidR="000B04B1" w:rsidRPr="007620A2" w:rsidRDefault="000B04B1" w:rsidP="002336A2">
      <w:pPr>
        <w:tabs>
          <w:tab w:val="left" w:pos="-4820"/>
        </w:tabs>
        <w:spacing w:after="0" w:line="240" w:lineRule="auto"/>
        <w:ind w:firstLine="567"/>
        <w:jc w:val="both"/>
        <w:rPr>
          <w:rFonts w:ascii="Times New Roman" w:hAnsi="Times New Roman" w:cs="Times New Roman"/>
          <w:sz w:val="24"/>
          <w:szCs w:val="24"/>
          <w:lang w:val="uk-UA"/>
        </w:rPr>
      </w:pPr>
      <w:r w:rsidRPr="007620A2">
        <w:rPr>
          <w:rFonts w:ascii="Times New Roman" w:eastAsia="Times New Roman" w:hAnsi="Times New Roman" w:cs="Times New Roman"/>
          <w:b/>
          <w:sz w:val="24"/>
          <w:szCs w:val="24"/>
          <w:lang w:val="uk-UA" w:eastAsia="ru-RU"/>
        </w:rPr>
        <w:t>До загального фонду</w:t>
      </w:r>
      <w:r w:rsidRPr="007620A2">
        <w:rPr>
          <w:rFonts w:ascii="Times New Roman" w:eastAsia="Times New Roman" w:hAnsi="Times New Roman" w:cs="Times New Roman"/>
          <w:sz w:val="24"/>
          <w:szCs w:val="24"/>
          <w:lang w:val="uk-UA" w:eastAsia="ru-RU"/>
        </w:rPr>
        <w:t xml:space="preserve"> </w:t>
      </w:r>
      <w:r w:rsidRPr="007620A2">
        <w:rPr>
          <w:rFonts w:ascii="Times New Roman" w:hAnsi="Times New Roman" w:cs="Times New Roman"/>
          <w:sz w:val="24"/>
          <w:szCs w:val="24"/>
          <w:lang w:val="uk-UA"/>
        </w:rPr>
        <w:t>бюджету Чорноморської міської територіальної громади надійшло доходів (без урахування міжбюджетних трансфертів) у сумі 662 633,5 тис. грн, що становить  104,3 % до затвердженого розпису доходів на січень - вересень. В порівнянні з аналогічним періодом минулого року такі  надходження зменшились на  10,2 % або на  75 127,9 тис. грн.</w:t>
      </w:r>
    </w:p>
    <w:p w14:paraId="28D5F968" w14:textId="74478787" w:rsidR="000B04B1" w:rsidRPr="007620A2" w:rsidRDefault="000B04B1" w:rsidP="002336A2">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 xml:space="preserve">До  спеціального  фонду  бюджету Чорноморської міської територіальної громади  </w:t>
      </w:r>
      <w:r w:rsidRPr="007620A2">
        <w:rPr>
          <w:rFonts w:ascii="Times New Roman" w:hAnsi="Times New Roman" w:cs="Times New Roman"/>
          <w:sz w:val="24"/>
          <w:szCs w:val="24"/>
          <w:lang w:val="uk-UA"/>
        </w:rPr>
        <w:t>(без урахування офіційних трансфертів)</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за 9 місяців  2024 року надійшло 22 867,8 тис. грн. Планові показники звітного періоду виконані на 135,3 %. У порівнянні до аналогічного періоду минулого року надходження до спеціального фонду збільшились  на 3 899,7 тис. грн або на 20,6%.</w:t>
      </w:r>
    </w:p>
    <w:p w14:paraId="33CDDB41" w14:textId="2DC325FA" w:rsidR="000B04B1" w:rsidRPr="007620A2" w:rsidRDefault="000B04B1" w:rsidP="002336A2">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Виходячи з обсягу отриманих доходів та вільних залишків коштів бюджету на початок року, </w:t>
      </w:r>
      <w:r w:rsidRPr="002336A2">
        <w:rPr>
          <w:rFonts w:ascii="Times New Roman" w:hAnsi="Times New Roman" w:cs="Times New Roman"/>
          <w:b/>
          <w:bCs/>
          <w:sz w:val="24"/>
          <w:szCs w:val="24"/>
          <w:lang w:val="uk-UA"/>
        </w:rPr>
        <w:t>видатки бюджету Чорноморської міської територіальної громади за 9 місяців</w:t>
      </w:r>
      <w:r w:rsidRPr="007620A2">
        <w:rPr>
          <w:rFonts w:ascii="Times New Roman" w:hAnsi="Times New Roman" w:cs="Times New Roman"/>
          <w:sz w:val="24"/>
          <w:szCs w:val="24"/>
          <w:lang w:val="uk-UA"/>
        </w:rPr>
        <w:t xml:space="preserve"> поточного року проведені у сумі 748 877,2 тис. грн, що складає 56,5 % річних бюджетних призначень та 73 % до затвердженого розпису на звітний період.</w:t>
      </w:r>
    </w:p>
    <w:p w14:paraId="7B612999" w14:textId="25E4192B" w:rsidR="000B04B1" w:rsidRDefault="000B04B1" w:rsidP="002336A2">
      <w:pPr>
        <w:spacing w:after="0" w:line="240" w:lineRule="auto"/>
        <w:ind w:firstLine="567"/>
        <w:jc w:val="both"/>
        <w:rPr>
          <w:rFonts w:ascii="Times New Roman" w:hAnsi="Times New Roman" w:cs="Times New Roman"/>
          <w:color w:val="000000" w:themeColor="text1"/>
          <w:sz w:val="24"/>
          <w:szCs w:val="24"/>
          <w:shd w:val="clear" w:color="auto" w:fill="FFFFFF"/>
          <w:lang w:val="uk-UA"/>
        </w:rPr>
      </w:pPr>
      <w:r w:rsidRPr="007620A2">
        <w:rPr>
          <w:rFonts w:ascii="Times New Roman" w:hAnsi="Times New Roman" w:cs="Times New Roman"/>
          <w:sz w:val="24"/>
          <w:szCs w:val="24"/>
          <w:lang w:val="uk-UA"/>
        </w:rPr>
        <w:t xml:space="preserve"> В умовах воєнного стану, введеного Указом Президента України від 24 лютого 2022 р. № 64/2022</w:t>
      </w:r>
      <w:r w:rsidRPr="007620A2">
        <w:rPr>
          <w:rFonts w:ascii="Times New Roman" w:eastAsia="MS Mincho" w:hAnsi="Times New Roman" w:cs="Times New Roman"/>
          <w:color w:val="000000" w:themeColor="text1"/>
          <w:sz w:val="24"/>
          <w:szCs w:val="24"/>
          <w:lang w:val="uk-UA"/>
        </w:rPr>
        <w:t xml:space="preserve"> "Про введення воєнного стану в Україні" та продовженого </w:t>
      </w:r>
      <w:r w:rsidRPr="007620A2">
        <w:rPr>
          <w:rFonts w:ascii="Times New Roman" w:hAnsi="Times New Roman" w:cs="Times New Roman"/>
          <w:color w:val="000000" w:themeColor="text1"/>
          <w:sz w:val="24"/>
          <w:szCs w:val="24"/>
          <w:shd w:val="clear" w:color="auto" w:fill="FFFFFF"/>
          <w:lang w:val="uk-UA"/>
        </w:rPr>
        <w:t>Указ</w:t>
      </w:r>
      <w:r w:rsidR="00E85CC5">
        <w:rPr>
          <w:rFonts w:ascii="Times New Roman" w:hAnsi="Times New Roman" w:cs="Times New Roman"/>
          <w:color w:val="000000" w:themeColor="text1"/>
          <w:sz w:val="24"/>
          <w:szCs w:val="24"/>
          <w:shd w:val="clear" w:color="auto" w:fill="FFFFFF"/>
          <w:lang w:val="uk-UA"/>
        </w:rPr>
        <w:t>ами</w:t>
      </w:r>
      <w:r w:rsidRPr="007620A2">
        <w:rPr>
          <w:rFonts w:ascii="Times New Roman" w:hAnsi="Times New Roman" w:cs="Times New Roman"/>
          <w:color w:val="000000" w:themeColor="text1"/>
          <w:sz w:val="24"/>
          <w:szCs w:val="24"/>
          <w:shd w:val="clear" w:color="auto" w:fill="FFFFFF"/>
          <w:lang w:val="uk-UA"/>
        </w:rPr>
        <w:t xml:space="preserve"> Президента від</w:t>
      </w:r>
      <w:r w:rsidR="00E85CC5">
        <w:rPr>
          <w:rFonts w:ascii="Times New Roman" w:hAnsi="Times New Roman" w:cs="Times New Roman"/>
          <w:color w:val="000000" w:themeColor="text1"/>
          <w:sz w:val="24"/>
          <w:szCs w:val="24"/>
          <w:shd w:val="clear" w:color="auto" w:fill="FFFFFF"/>
          <w:lang w:val="uk-UA"/>
        </w:rPr>
        <w:t> </w:t>
      </w:r>
      <w:r w:rsidRPr="007620A2">
        <w:rPr>
          <w:rFonts w:ascii="Times New Roman" w:hAnsi="Times New Roman" w:cs="Times New Roman"/>
          <w:color w:val="000000" w:themeColor="text1"/>
          <w:sz w:val="24"/>
          <w:szCs w:val="24"/>
          <w:shd w:val="clear" w:color="auto" w:fill="FFFFFF"/>
          <w:lang w:val="uk-UA"/>
        </w:rPr>
        <w:t>14.03.2022 № 133/2022</w:t>
      </w:r>
      <w:r w:rsidRPr="007620A2">
        <w:rPr>
          <w:rFonts w:ascii="Times New Roman" w:eastAsia="MS Mincho" w:hAnsi="Times New Roman" w:cs="Times New Roman"/>
          <w:color w:val="000000" w:themeColor="text1"/>
          <w:sz w:val="24"/>
          <w:szCs w:val="24"/>
          <w:lang w:val="uk-UA"/>
        </w:rPr>
        <w:t>,</w:t>
      </w:r>
      <w:r w:rsidRPr="007620A2">
        <w:rPr>
          <w:rFonts w:ascii="Times New Roman" w:hAnsi="Times New Roman" w:cs="Times New Roman"/>
          <w:sz w:val="24"/>
          <w:szCs w:val="24"/>
          <w:lang w:val="uk-UA"/>
        </w:rPr>
        <w:t xml:space="preserve"> від 18.04.2022 № 259/2022, від 17.05.2022 № 341/2022, від 12.08.2022 №</w:t>
      </w:r>
      <w:r w:rsidR="00E85CC5">
        <w:rPr>
          <w:rFonts w:ascii="Times New Roman" w:hAnsi="Times New Roman" w:cs="Times New Roman"/>
          <w:sz w:val="24"/>
          <w:szCs w:val="24"/>
          <w:lang w:val="uk-UA"/>
        </w:rPr>
        <w:t> </w:t>
      </w:r>
      <w:r w:rsidRPr="007620A2">
        <w:rPr>
          <w:rFonts w:ascii="Times New Roman" w:hAnsi="Times New Roman" w:cs="Times New Roman"/>
          <w:sz w:val="24"/>
          <w:szCs w:val="24"/>
          <w:lang w:val="uk-UA"/>
        </w:rPr>
        <w:t>573/2022, від 07.11.2022 № 757/2022, від 0</w:t>
      </w:r>
      <w:r w:rsidRPr="007620A2">
        <w:rPr>
          <w:rStyle w:val="rvts44"/>
          <w:rFonts w:ascii="Times New Roman" w:hAnsi="Times New Roman" w:cs="Times New Roman"/>
          <w:sz w:val="24"/>
          <w:szCs w:val="24"/>
          <w:lang w:val="uk-UA"/>
        </w:rPr>
        <w:t xml:space="preserve">6.02.2023 № 58/2023, від 01.05.2023 № 254/2023, від </w:t>
      </w:r>
      <w:r w:rsidR="00E85CC5">
        <w:rPr>
          <w:rStyle w:val="rvts44"/>
          <w:rFonts w:ascii="Times New Roman" w:hAnsi="Times New Roman" w:cs="Times New Roman"/>
          <w:sz w:val="24"/>
          <w:szCs w:val="24"/>
          <w:lang w:val="en-US"/>
        </w:rPr>
        <w:t> </w:t>
      </w:r>
      <w:r w:rsidR="00E85CC5" w:rsidRPr="00D00BC0">
        <w:rPr>
          <w:rStyle w:val="rvts44"/>
          <w:rFonts w:ascii="Times New Roman" w:hAnsi="Times New Roman" w:cs="Times New Roman"/>
          <w:sz w:val="24"/>
          <w:szCs w:val="24"/>
          <w:lang w:val="uk-UA"/>
        </w:rPr>
        <w:t>0</w:t>
      </w:r>
      <w:r w:rsidRPr="007620A2">
        <w:rPr>
          <w:rStyle w:val="rvts44"/>
          <w:rFonts w:ascii="Times New Roman" w:hAnsi="Times New Roman" w:cs="Times New Roman"/>
          <w:sz w:val="24"/>
          <w:szCs w:val="24"/>
          <w:lang w:val="uk-UA"/>
        </w:rPr>
        <w:t>6.07.2023 № 451/2023, від 06.11.2023 № 734/2023, від 05.02.2024 № 49/2024, від 06.05.2024 №</w:t>
      </w:r>
      <w:r w:rsidR="00E85CC5">
        <w:rPr>
          <w:rStyle w:val="rvts44"/>
          <w:rFonts w:ascii="Times New Roman" w:hAnsi="Times New Roman" w:cs="Times New Roman"/>
          <w:sz w:val="24"/>
          <w:szCs w:val="24"/>
          <w:lang w:val="en-US"/>
        </w:rPr>
        <w:t> </w:t>
      </w:r>
      <w:r w:rsidRPr="007620A2">
        <w:rPr>
          <w:rStyle w:val="rvts44"/>
          <w:rFonts w:ascii="Times New Roman" w:hAnsi="Times New Roman" w:cs="Times New Roman"/>
          <w:sz w:val="24"/>
          <w:szCs w:val="24"/>
          <w:lang w:val="uk-UA"/>
        </w:rPr>
        <w:t xml:space="preserve">271/2024, від 23.07.2024  №469/2024, від 28.10.2024 № 740/2024 від </w:t>
      </w:r>
      <w:r w:rsidRPr="007620A2">
        <w:rPr>
          <w:rFonts w:ascii="Times New Roman" w:hAnsi="Times New Roman" w:cs="Times New Roman"/>
          <w:sz w:val="24"/>
          <w:szCs w:val="24"/>
          <w:lang w:val="uk-UA"/>
        </w:rPr>
        <w:t xml:space="preserve"> проведення видатків з державного та місцевих бюджетів здійснюється </w:t>
      </w:r>
      <w:r w:rsidRPr="007620A2">
        <w:rPr>
          <w:rFonts w:ascii="Times New Roman" w:hAnsi="Times New Roman" w:cs="Times New Roman"/>
          <w:color w:val="000000" w:themeColor="text1"/>
          <w:sz w:val="24"/>
          <w:szCs w:val="24"/>
          <w:lang w:val="uk-UA"/>
        </w:rPr>
        <w:t xml:space="preserve">за черговістю </w:t>
      </w:r>
      <w:r w:rsidRPr="007620A2">
        <w:rPr>
          <w:rFonts w:ascii="Times New Roman" w:hAnsi="Times New Roman" w:cs="Times New Roman"/>
          <w:color w:val="000000" w:themeColor="text1"/>
          <w:sz w:val="24"/>
          <w:szCs w:val="24"/>
          <w:shd w:val="clear" w:color="auto" w:fill="FFFFFF"/>
          <w:lang w:val="uk-UA"/>
        </w:rPr>
        <w:t>видатків, визначених у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9 червня 2021 р. №590 (зі змінами).</w:t>
      </w:r>
    </w:p>
    <w:p w14:paraId="08A18BD7" w14:textId="77777777" w:rsidR="002336A2" w:rsidRPr="007620A2" w:rsidRDefault="002336A2" w:rsidP="002336A2">
      <w:pPr>
        <w:spacing w:after="0" w:line="240" w:lineRule="auto"/>
        <w:ind w:firstLine="567"/>
        <w:jc w:val="both"/>
        <w:rPr>
          <w:rFonts w:ascii="Times New Roman" w:hAnsi="Times New Roman" w:cs="Times New Roman"/>
          <w:sz w:val="24"/>
          <w:szCs w:val="24"/>
          <w:lang w:val="uk-UA"/>
        </w:rPr>
      </w:pPr>
    </w:p>
    <w:p w14:paraId="67D6A4C0" w14:textId="1BB678B1" w:rsidR="002336A2" w:rsidRPr="002336A2" w:rsidRDefault="000B04B1" w:rsidP="0048369A">
      <w:pPr>
        <w:pStyle w:val="a4"/>
        <w:numPr>
          <w:ilvl w:val="0"/>
          <w:numId w:val="9"/>
        </w:numPr>
        <w:spacing w:line="240" w:lineRule="auto"/>
        <w:jc w:val="center"/>
        <w:rPr>
          <w:rFonts w:ascii="Times New Roman" w:hAnsi="Times New Roman" w:cs="Times New Roman"/>
          <w:b/>
          <w:sz w:val="28"/>
          <w:szCs w:val="28"/>
          <w:lang w:val="uk-UA"/>
        </w:rPr>
      </w:pPr>
      <w:r w:rsidRPr="002336A2">
        <w:rPr>
          <w:rFonts w:ascii="Times New Roman" w:hAnsi="Times New Roman" w:cs="Times New Roman"/>
          <w:b/>
          <w:sz w:val="28"/>
          <w:szCs w:val="28"/>
          <w:lang w:val="uk-UA"/>
        </w:rPr>
        <w:t>Очікуване виконання бюджету</w:t>
      </w:r>
    </w:p>
    <w:p w14:paraId="7A98C15B" w14:textId="387E7EE3" w:rsidR="000B04B1" w:rsidRPr="002336A2" w:rsidRDefault="000B04B1" w:rsidP="0048369A">
      <w:pPr>
        <w:pStyle w:val="a4"/>
        <w:spacing w:line="240" w:lineRule="auto"/>
        <w:jc w:val="center"/>
        <w:rPr>
          <w:rFonts w:ascii="Times New Roman" w:hAnsi="Times New Roman" w:cs="Times New Roman"/>
          <w:b/>
          <w:sz w:val="28"/>
          <w:szCs w:val="28"/>
          <w:lang w:val="uk-UA"/>
        </w:rPr>
      </w:pPr>
      <w:r w:rsidRPr="002336A2">
        <w:rPr>
          <w:rFonts w:ascii="Times New Roman" w:hAnsi="Times New Roman" w:cs="Times New Roman"/>
          <w:b/>
          <w:sz w:val="28"/>
          <w:szCs w:val="28"/>
          <w:lang w:val="uk-UA"/>
        </w:rPr>
        <w:t>Чорноморської міської територіальної громади за 2024 рік</w:t>
      </w:r>
    </w:p>
    <w:p w14:paraId="45293C1D" w14:textId="77777777" w:rsidR="0011405C" w:rsidRDefault="0011405C" w:rsidP="00A626D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Уточнені доходи б</w:t>
      </w:r>
      <w:r w:rsidR="000B04B1" w:rsidRPr="007620A2">
        <w:rPr>
          <w:rFonts w:ascii="Times New Roman" w:hAnsi="Times New Roman" w:cs="Times New Roman"/>
          <w:sz w:val="24"/>
          <w:szCs w:val="24"/>
          <w:lang w:val="uk-UA"/>
        </w:rPr>
        <w:t>юджет</w:t>
      </w:r>
      <w:r>
        <w:rPr>
          <w:rFonts w:ascii="Times New Roman" w:hAnsi="Times New Roman" w:cs="Times New Roman"/>
          <w:sz w:val="24"/>
          <w:szCs w:val="24"/>
          <w:lang w:val="uk-UA"/>
        </w:rPr>
        <w:t>у</w:t>
      </w:r>
      <w:r w:rsidR="000B04B1" w:rsidRPr="007620A2">
        <w:rPr>
          <w:rFonts w:ascii="Times New Roman" w:hAnsi="Times New Roman" w:cs="Times New Roman"/>
          <w:sz w:val="24"/>
          <w:szCs w:val="24"/>
          <w:lang w:val="uk-UA"/>
        </w:rPr>
        <w:t xml:space="preserve"> Чорноморської міської територіальної громади на 2024 рік</w:t>
      </w:r>
      <w:r w:rsidR="00A626D3">
        <w:rPr>
          <w:rFonts w:ascii="Times New Roman" w:hAnsi="Times New Roman" w:cs="Times New Roman"/>
          <w:sz w:val="24"/>
          <w:szCs w:val="24"/>
          <w:lang w:val="uk-UA"/>
        </w:rPr>
        <w:t>, затверджен</w:t>
      </w:r>
      <w:r>
        <w:rPr>
          <w:rFonts w:ascii="Times New Roman" w:hAnsi="Times New Roman" w:cs="Times New Roman"/>
          <w:sz w:val="24"/>
          <w:szCs w:val="24"/>
          <w:lang w:val="uk-UA"/>
        </w:rPr>
        <w:t>ого</w:t>
      </w:r>
      <w:r w:rsidR="002336A2">
        <w:rPr>
          <w:rFonts w:ascii="Times New Roman" w:hAnsi="Times New Roman" w:cs="Times New Roman"/>
          <w:sz w:val="24"/>
          <w:szCs w:val="24"/>
          <w:lang w:val="uk-UA"/>
        </w:rPr>
        <w:t xml:space="preserve"> рішенням </w:t>
      </w:r>
      <w:r w:rsidR="000B04B1" w:rsidRPr="007620A2">
        <w:rPr>
          <w:rFonts w:ascii="Times New Roman" w:hAnsi="Times New Roman" w:cs="Times New Roman"/>
          <w:sz w:val="24"/>
          <w:szCs w:val="24"/>
          <w:lang w:val="uk-UA"/>
        </w:rPr>
        <w:t>Чорноморської міської ради Одеського району Одеської області від 22.12.2023р</w:t>
      </w:r>
      <w:r w:rsidR="000B04B1" w:rsidRPr="007620A2">
        <w:rPr>
          <w:rFonts w:ascii="Times New Roman" w:hAnsi="Times New Roman" w:cs="Times New Roman"/>
          <w:b/>
          <w:bCs/>
          <w:sz w:val="24"/>
          <w:szCs w:val="24"/>
          <w:lang w:val="uk-UA"/>
        </w:rPr>
        <w:t xml:space="preserve"> </w:t>
      </w:r>
      <w:r w:rsidR="000B04B1" w:rsidRPr="007620A2">
        <w:rPr>
          <w:rFonts w:ascii="Times New Roman" w:hAnsi="Times New Roman" w:cs="Times New Roman"/>
          <w:sz w:val="24"/>
          <w:szCs w:val="24"/>
          <w:lang w:val="uk-UA"/>
        </w:rPr>
        <w:t>№</w:t>
      </w:r>
      <w:r w:rsidR="002336A2">
        <w:rPr>
          <w:rFonts w:ascii="Times New Roman" w:hAnsi="Times New Roman" w:cs="Times New Roman"/>
          <w:sz w:val="24"/>
          <w:szCs w:val="24"/>
          <w:lang w:val="uk-UA"/>
        </w:rPr>
        <w:t> </w:t>
      </w:r>
      <w:r w:rsidR="000B04B1" w:rsidRPr="007620A2">
        <w:rPr>
          <w:rFonts w:ascii="Times New Roman" w:hAnsi="Times New Roman" w:cs="Times New Roman"/>
          <w:sz w:val="24"/>
          <w:szCs w:val="24"/>
          <w:lang w:val="uk-UA"/>
        </w:rPr>
        <w:t xml:space="preserve">522 </w:t>
      </w:r>
      <w:r w:rsidR="00A626D3">
        <w:rPr>
          <w:rFonts w:ascii="Times New Roman" w:hAnsi="Times New Roman" w:cs="Times New Roman"/>
          <w:sz w:val="24"/>
          <w:szCs w:val="24"/>
          <w:lang w:val="uk-UA"/>
        </w:rPr>
        <w:t>–</w:t>
      </w:r>
      <w:r w:rsidR="000B04B1" w:rsidRPr="007620A2">
        <w:rPr>
          <w:rFonts w:ascii="Times New Roman" w:hAnsi="Times New Roman" w:cs="Times New Roman"/>
          <w:sz w:val="24"/>
          <w:szCs w:val="24"/>
          <w:lang w:val="uk-UA"/>
        </w:rPr>
        <w:t xml:space="preserve"> VІII</w:t>
      </w:r>
      <w:r w:rsidR="00A626D3">
        <w:rPr>
          <w:rFonts w:ascii="Times New Roman" w:hAnsi="Times New Roman" w:cs="Times New Roman"/>
          <w:sz w:val="24"/>
          <w:szCs w:val="24"/>
          <w:lang w:val="uk-UA"/>
        </w:rPr>
        <w:t xml:space="preserve"> (зі змінами</w:t>
      </w:r>
      <w:r w:rsidR="00A626D3" w:rsidRPr="0011405C">
        <w:rPr>
          <w:rFonts w:ascii="Times New Roman" w:hAnsi="Times New Roman" w:cs="Times New Roman"/>
          <w:sz w:val="24"/>
          <w:szCs w:val="24"/>
          <w:lang w:val="uk-UA"/>
        </w:rPr>
        <w:t>)</w:t>
      </w:r>
      <w:r w:rsidRPr="0011405C">
        <w:rPr>
          <w:rFonts w:ascii="Times New Roman" w:hAnsi="Times New Roman" w:cs="Times New Roman"/>
          <w:sz w:val="24"/>
          <w:szCs w:val="24"/>
          <w:lang w:val="uk-UA"/>
        </w:rPr>
        <w:t>,</w:t>
      </w:r>
      <w:r w:rsidR="00A626D3" w:rsidRPr="0011405C">
        <w:rPr>
          <w:rFonts w:ascii="Times New Roman" w:hAnsi="Times New Roman" w:cs="Times New Roman"/>
          <w:sz w:val="24"/>
          <w:szCs w:val="24"/>
          <w:lang w:val="uk-UA"/>
        </w:rPr>
        <w:t xml:space="preserve"> </w:t>
      </w:r>
      <w:r w:rsidR="000B04B1" w:rsidRPr="0011405C">
        <w:rPr>
          <w:rFonts w:ascii="Times New Roman" w:hAnsi="Times New Roman" w:cs="Times New Roman"/>
          <w:sz w:val="24"/>
          <w:szCs w:val="24"/>
          <w:lang w:val="uk-UA"/>
        </w:rPr>
        <w:t xml:space="preserve"> </w:t>
      </w:r>
      <w:r w:rsidRPr="0011405C">
        <w:rPr>
          <w:rFonts w:ascii="Times New Roman" w:hAnsi="Times New Roman" w:cs="Times New Roman"/>
          <w:bCs/>
          <w:sz w:val="24"/>
          <w:szCs w:val="24"/>
          <w:lang w:val="uk-UA"/>
        </w:rPr>
        <w:t>визначені</w:t>
      </w:r>
      <w:r>
        <w:rPr>
          <w:rFonts w:ascii="Times New Roman" w:hAnsi="Times New Roman" w:cs="Times New Roman"/>
          <w:b/>
          <w:bCs/>
          <w:sz w:val="24"/>
          <w:szCs w:val="24"/>
          <w:lang w:val="uk-UA"/>
        </w:rPr>
        <w:t xml:space="preserve"> </w:t>
      </w:r>
      <w:r w:rsidR="00A626D3" w:rsidRPr="007620A2">
        <w:rPr>
          <w:rFonts w:ascii="Times New Roman" w:hAnsi="Times New Roman" w:cs="Times New Roman"/>
          <w:sz w:val="24"/>
          <w:szCs w:val="24"/>
          <w:lang w:val="uk-UA"/>
        </w:rPr>
        <w:t xml:space="preserve"> у сумі 1 238 375,9 тис. грн, у тому числі</w:t>
      </w:r>
      <w:r w:rsidR="00A626D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 </w:t>
      </w:r>
      <w:r w:rsidR="00A626D3">
        <w:rPr>
          <w:rFonts w:ascii="Times New Roman" w:hAnsi="Times New Roman" w:cs="Times New Roman"/>
          <w:sz w:val="24"/>
          <w:szCs w:val="24"/>
          <w:lang w:val="uk-UA"/>
        </w:rPr>
        <w:t xml:space="preserve"> </w:t>
      </w:r>
      <w:r w:rsidR="00A626D3" w:rsidRPr="007620A2">
        <w:rPr>
          <w:rFonts w:ascii="Times New Roman" w:hAnsi="Times New Roman" w:cs="Times New Roman"/>
          <w:sz w:val="24"/>
          <w:szCs w:val="24"/>
          <w:lang w:val="uk-UA"/>
        </w:rPr>
        <w:t>загальн</w:t>
      </w:r>
      <w:r>
        <w:rPr>
          <w:rFonts w:ascii="Times New Roman" w:hAnsi="Times New Roman" w:cs="Times New Roman"/>
          <w:sz w:val="24"/>
          <w:szCs w:val="24"/>
          <w:lang w:val="uk-UA"/>
        </w:rPr>
        <w:t xml:space="preserve">им </w:t>
      </w:r>
      <w:r w:rsidR="00A626D3" w:rsidRPr="007620A2">
        <w:rPr>
          <w:rFonts w:ascii="Times New Roman" w:hAnsi="Times New Roman" w:cs="Times New Roman"/>
          <w:sz w:val="24"/>
          <w:szCs w:val="24"/>
          <w:lang w:val="uk-UA"/>
        </w:rPr>
        <w:t>фонд</w:t>
      </w:r>
      <w:r>
        <w:rPr>
          <w:rFonts w:ascii="Times New Roman" w:hAnsi="Times New Roman" w:cs="Times New Roman"/>
          <w:sz w:val="24"/>
          <w:szCs w:val="24"/>
          <w:lang w:val="uk-UA"/>
        </w:rPr>
        <w:t>ом</w:t>
      </w:r>
      <w:r w:rsidR="00A626D3" w:rsidRPr="007620A2">
        <w:rPr>
          <w:rFonts w:ascii="Times New Roman" w:hAnsi="Times New Roman" w:cs="Times New Roman"/>
          <w:sz w:val="24"/>
          <w:szCs w:val="24"/>
          <w:lang w:val="uk-UA"/>
        </w:rPr>
        <w:t xml:space="preserve"> – 1 183 622,4 тис. грн</w:t>
      </w:r>
      <w:r w:rsidR="00A626D3">
        <w:rPr>
          <w:rFonts w:ascii="Times New Roman" w:hAnsi="Times New Roman" w:cs="Times New Roman"/>
          <w:sz w:val="24"/>
          <w:szCs w:val="24"/>
          <w:lang w:val="uk-UA"/>
        </w:rPr>
        <w:t xml:space="preserve"> </w:t>
      </w:r>
      <w:r w:rsidR="00A626D3" w:rsidRPr="007620A2">
        <w:rPr>
          <w:rFonts w:ascii="Times New Roman" w:hAnsi="Times New Roman" w:cs="Times New Roman"/>
          <w:sz w:val="24"/>
          <w:szCs w:val="24"/>
          <w:lang w:val="uk-UA"/>
        </w:rPr>
        <w:t>та спеціальн</w:t>
      </w:r>
      <w:r>
        <w:rPr>
          <w:rFonts w:ascii="Times New Roman" w:hAnsi="Times New Roman" w:cs="Times New Roman"/>
          <w:sz w:val="24"/>
          <w:szCs w:val="24"/>
          <w:lang w:val="uk-UA"/>
        </w:rPr>
        <w:t xml:space="preserve">им </w:t>
      </w:r>
      <w:r w:rsidR="00A626D3" w:rsidRPr="007620A2">
        <w:rPr>
          <w:rFonts w:ascii="Times New Roman" w:hAnsi="Times New Roman" w:cs="Times New Roman"/>
          <w:sz w:val="24"/>
          <w:szCs w:val="24"/>
          <w:lang w:val="uk-UA"/>
        </w:rPr>
        <w:t>фонд</w:t>
      </w:r>
      <w:r>
        <w:rPr>
          <w:rFonts w:ascii="Times New Roman" w:hAnsi="Times New Roman" w:cs="Times New Roman"/>
          <w:sz w:val="24"/>
          <w:szCs w:val="24"/>
          <w:lang w:val="uk-UA"/>
        </w:rPr>
        <w:t>ом</w:t>
      </w:r>
      <w:r w:rsidR="00A626D3" w:rsidRPr="007620A2">
        <w:rPr>
          <w:rFonts w:ascii="Times New Roman" w:hAnsi="Times New Roman" w:cs="Times New Roman"/>
          <w:sz w:val="24"/>
          <w:szCs w:val="24"/>
          <w:lang w:val="uk-UA"/>
        </w:rPr>
        <w:t xml:space="preserve"> – 54 753,5 тис. грн</w:t>
      </w:r>
      <w:r>
        <w:rPr>
          <w:rFonts w:ascii="Times New Roman" w:hAnsi="Times New Roman" w:cs="Times New Roman"/>
          <w:sz w:val="24"/>
          <w:szCs w:val="24"/>
          <w:lang w:val="uk-UA"/>
        </w:rPr>
        <w:t>.</w:t>
      </w:r>
    </w:p>
    <w:p w14:paraId="6DBCD84C" w14:textId="4CE0A704" w:rsidR="00A626D3" w:rsidRPr="007620A2" w:rsidRDefault="0011405C" w:rsidP="00A626D3">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Уточнені видатки затверджені </w:t>
      </w:r>
      <w:r w:rsidR="00A626D3" w:rsidRPr="007620A2">
        <w:rPr>
          <w:rFonts w:ascii="Times New Roman" w:hAnsi="Times New Roman" w:cs="Times New Roman"/>
          <w:sz w:val="24"/>
          <w:szCs w:val="24"/>
          <w:lang w:val="uk-UA"/>
        </w:rPr>
        <w:t xml:space="preserve">у сумі 1 408 064,1 тис. грн, у тому числі </w:t>
      </w:r>
      <w:r>
        <w:rPr>
          <w:rFonts w:ascii="Times New Roman" w:hAnsi="Times New Roman" w:cs="Times New Roman"/>
          <w:sz w:val="24"/>
          <w:szCs w:val="24"/>
          <w:lang w:val="uk-UA"/>
        </w:rPr>
        <w:t xml:space="preserve">видатки </w:t>
      </w:r>
      <w:r w:rsidR="00A626D3" w:rsidRPr="007620A2">
        <w:rPr>
          <w:rFonts w:ascii="Times New Roman" w:hAnsi="Times New Roman" w:cs="Times New Roman"/>
          <w:sz w:val="24"/>
          <w:szCs w:val="24"/>
          <w:lang w:val="uk-UA"/>
        </w:rPr>
        <w:t>загальн</w:t>
      </w:r>
      <w:r>
        <w:rPr>
          <w:rFonts w:ascii="Times New Roman" w:hAnsi="Times New Roman" w:cs="Times New Roman"/>
          <w:sz w:val="24"/>
          <w:szCs w:val="24"/>
          <w:lang w:val="uk-UA"/>
        </w:rPr>
        <w:t xml:space="preserve">ого </w:t>
      </w:r>
      <w:r w:rsidR="00A626D3" w:rsidRPr="007620A2">
        <w:rPr>
          <w:rFonts w:ascii="Times New Roman" w:hAnsi="Times New Roman" w:cs="Times New Roman"/>
          <w:sz w:val="24"/>
          <w:szCs w:val="24"/>
          <w:lang w:val="uk-UA"/>
        </w:rPr>
        <w:t xml:space="preserve"> фонд</w:t>
      </w:r>
      <w:r>
        <w:rPr>
          <w:rFonts w:ascii="Times New Roman" w:hAnsi="Times New Roman" w:cs="Times New Roman"/>
          <w:sz w:val="24"/>
          <w:szCs w:val="24"/>
          <w:lang w:val="uk-UA"/>
        </w:rPr>
        <w:t>у</w:t>
      </w:r>
      <w:r w:rsidR="00A626D3" w:rsidRPr="007620A2">
        <w:rPr>
          <w:rFonts w:ascii="Times New Roman" w:hAnsi="Times New Roman" w:cs="Times New Roman"/>
          <w:sz w:val="24"/>
          <w:szCs w:val="24"/>
          <w:lang w:val="uk-UA"/>
        </w:rPr>
        <w:t xml:space="preserve"> – 991 942,6 тис. грн та спеціальн</w:t>
      </w:r>
      <w:r>
        <w:rPr>
          <w:rFonts w:ascii="Times New Roman" w:hAnsi="Times New Roman" w:cs="Times New Roman"/>
          <w:sz w:val="24"/>
          <w:szCs w:val="24"/>
          <w:lang w:val="uk-UA"/>
        </w:rPr>
        <w:t xml:space="preserve">ого </w:t>
      </w:r>
      <w:r w:rsidR="00A626D3" w:rsidRPr="007620A2">
        <w:rPr>
          <w:rFonts w:ascii="Times New Roman" w:hAnsi="Times New Roman" w:cs="Times New Roman"/>
          <w:sz w:val="24"/>
          <w:szCs w:val="24"/>
          <w:lang w:val="uk-UA"/>
        </w:rPr>
        <w:t>фонд</w:t>
      </w:r>
      <w:r>
        <w:rPr>
          <w:rFonts w:ascii="Times New Roman" w:hAnsi="Times New Roman" w:cs="Times New Roman"/>
          <w:sz w:val="24"/>
          <w:szCs w:val="24"/>
          <w:lang w:val="uk-UA"/>
        </w:rPr>
        <w:t>у</w:t>
      </w:r>
      <w:r w:rsidR="00A626D3" w:rsidRPr="007620A2">
        <w:rPr>
          <w:rFonts w:ascii="Times New Roman" w:hAnsi="Times New Roman" w:cs="Times New Roman"/>
          <w:sz w:val="24"/>
          <w:szCs w:val="24"/>
          <w:lang w:val="uk-UA"/>
        </w:rPr>
        <w:t xml:space="preserve"> – 416 121,5 тис. грн.</w:t>
      </w:r>
    </w:p>
    <w:p w14:paraId="5186DE31" w14:textId="285B0E9B" w:rsidR="000B04B1" w:rsidRPr="007620A2" w:rsidRDefault="000B04B1" w:rsidP="000B04B1">
      <w:pPr>
        <w:spacing w:after="0" w:line="240" w:lineRule="auto"/>
        <w:ind w:firstLine="567"/>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 xml:space="preserve">Очікуване виконання бюджету Чорноморської міської територіальної громади за 2024 рік за доходами прогнозуються у сумі </w:t>
      </w:r>
      <w:r w:rsidRPr="007620A2">
        <w:rPr>
          <w:rFonts w:ascii="Times New Roman" w:hAnsi="Times New Roman" w:cs="Times New Roman"/>
          <w:sz w:val="24"/>
          <w:szCs w:val="24"/>
          <w:lang w:val="uk-UA"/>
        </w:rPr>
        <w:t xml:space="preserve"> </w:t>
      </w:r>
      <w:r w:rsidR="00D84BB4">
        <w:rPr>
          <w:rFonts w:ascii="Times New Roman" w:hAnsi="Times New Roman" w:cs="Times New Roman"/>
          <w:sz w:val="24"/>
          <w:szCs w:val="24"/>
          <w:lang w:val="uk-UA"/>
        </w:rPr>
        <w:t>близько</w:t>
      </w:r>
      <w:r w:rsidRPr="007620A2">
        <w:rPr>
          <w:rFonts w:ascii="Times New Roman" w:hAnsi="Times New Roman" w:cs="Times New Roman"/>
          <w:sz w:val="24"/>
          <w:szCs w:val="24"/>
          <w:lang w:val="uk-UA"/>
        </w:rPr>
        <w:t xml:space="preserve"> 1 млрд 258 млн </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 xml:space="preserve">грн, що може скласти 101,6 % уточненого планового показника. </w:t>
      </w:r>
    </w:p>
    <w:p w14:paraId="3E06D039" w14:textId="3FD34AC8" w:rsidR="000B04B1" w:rsidRPr="007620A2" w:rsidRDefault="000B04B1" w:rsidP="000B04B1">
      <w:pPr>
        <w:pStyle w:val="a4"/>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b/>
          <w:sz w:val="24"/>
          <w:szCs w:val="24"/>
          <w:lang w:val="uk-UA" w:eastAsia="ru-RU"/>
        </w:rPr>
        <w:t>До загального фонду бюджету</w:t>
      </w:r>
      <w:r w:rsidRPr="007620A2">
        <w:rPr>
          <w:rFonts w:ascii="Times New Roman" w:eastAsia="Times New Roman" w:hAnsi="Times New Roman" w:cs="Times New Roman"/>
          <w:sz w:val="24"/>
          <w:szCs w:val="24"/>
          <w:lang w:val="uk-UA" w:eastAsia="ru-RU"/>
        </w:rPr>
        <w:t xml:space="preserve"> Чорноморської міської територіальної громади (без врахування субвенцій) очікуються надходження за 2024 рік близько 910,3 млн грн, що складе </w:t>
      </w:r>
      <w:r w:rsidR="00E65BDD">
        <w:rPr>
          <w:rFonts w:ascii="Times New Roman" w:eastAsia="Times New Roman" w:hAnsi="Times New Roman" w:cs="Times New Roman"/>
          <w:sz w:val="24"/>
          <w:szCs w:val="24"/>
          <w:lang w:val="uk-UA" w:eastAsia="ru-RU"/>
        </w:rPr>
        <w:t xml:space="preserve">                   </w:t>
      </w:r>
      <w:r w:rsidRPr="007620A2">
        <w:rPr>
          <w:rFonts w:ascii="Times New Roman" w:eastAsia="Times New Roman" w:hAnsi="Times New Roman" w:cs="Times New Roman"/>
          <w:sz w:val="24"/>
          <w:szCs w:val="24"/>
          <w:lang w:val="uk-UA" w:eastAsia="ru-RU"/>
        </w:rPr>
        <w:t xml:space="preserve">101,6 %. </w:t>
      </w:r>
    </w:p>
    <w:p w14:paraId="266EED0E" w14:textId="27E8AF6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 xml:space="preserve">Доходи спеціального фонду </w:t>
      </w:r>
      <w:r w:rsidRPr="007620A2">
        <w:rPr>
          <w:rFonts w:ascii="Times New Roman" w:hAnsi="Times New Roman" w:cs="Times New Roman"/>
          <w:sz w:val="24"/>
          <w:szCs w:val="24"/>
          <w:lang w:val="uk-UA"/>
        </w:rPr>
        <w:t xml:space="preserve">(без урахування субвенцій) очікуються у сумі понад                      27,6 млн грн, що може  скласти майже 125,2 % річного  плану з урахуванням змін.   </w:t>
      </w:r>
    </w:p>
    <w:p w14:paraId="0888FD78" w14:textId="5C36362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Перевиконання оч</w:t>
      </w:r>
      <w:r w:rsidR="004810E3">
        <w:rPr>
          <w:rFonts w:ascii="Times New Roman" w:hAnsi="Times New Roman" w:cs="Times New Roman"/>
          <w:sz w:val="24"/>
          <w:szCs w:val="24"/>
          <w:lang w:val="uk-UA"/>
        </w:rPr>
        <w:t>і</w:t>
      </w:r>
      <w:r w:rsidRPr="007620A2">
        <w:rPr>
          <w:rFonts w:ascii="Times New Roman" w:hAnsi="Times New Roman" w:cs="Times New Roman"/>
          <w:sz w:val="24"/>
          <w:szCs w:val="24"/>
          <w:lang w:val="uk-UA"/>
        </w:rPr>
        <w:t xml:space="preserve">кується, в основному, за рахунок отримання бюджетними установами благодійної допомоги від міжнародних організацій та органів державної влади. </w:t>
      </w:r>
    </w:p>
    <w:p w14:paraId="1AFA0E0F" w14:textId="6E7B9A08"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EE5F0A">
        <w:rPr>
          <w:rFonts w:ascii="Times New Roman" w:hAnsi="Times New Roman" w:cs="Times New Roman"/>
          <w:b/>
          <w:sz w:val="24"/>
          <w:szCs w:val="24"/>
          <w:lang w:val="uk-UA"/>
        </w:rPr>
        <w:t>Отримання офіційних трансфертів</w:t>
      </w:r>
      <w:r w:rsidRPr="00EE5F0A">
        <w:rPr>
          <w:rFonts w:ascii="Times New Roman" w:hAnsi="Times New Roman" w:cs="Times New Roman"/>
          <w:sz w:val="24"/>
          <w:szCs w:val="24"/>
          <w:lang w:val="uk-UA"/>
        </w:rPr>
        <w:t xml:space="preserve"> у 2024 році очікуються у сумі </w:t>
      </w:r>
      <w:r w:rsidR="00E65B00" w:rsidRPr="00EE5F0A">
        <w:rPr>
          <w:rFonts w:ascii="Times New Roman" w:hAnsi="Times New Roman" w:cs="Times New Roman"/>
          <w:sz w:val="24"/>
          <w:szCs w:val="24"/>
          <w:lang w:val="uk-UA"/>
        </w:rPr>
        <w:t>329,8</w:t>
      </w:r>
      <w:r w:rsidRPr="00EE5F0A">
        <w:rPr>
          <w:rFonts w:ascii="Times New Roman" w:hAnsi="Times New Roman" w:cs="Times New Roman"/>
          <w:sz w:val="24"/>
          <w:szCs w:val="24"/>
          <w:lang w:val="uk-UA"/>
        </w:rPr>
        <w:t xml:space="preserve"> млн грн, </w:t>
      </w:r>
      <w:r w:rsidR="00EE5F0A" w:rsidRPr="00EE5F0A">
        <w:rPr>
          <w:rFonts w:ascii="Times New Roman" w:hAnsi="Times New Roman" w:cs="Times New Roman"/>
          <w:sz w:val="24"/>
          <w:szCs w:val="24"/>
          <w:lang w:val="uk-UA"/>
        </w:rPr>
        <w:t>або</w:t>
      </w:r>
      <w:r w:rsidRPr="00EE5F0A">
        <w:rPr>
          <w:rFonts w:ascii="Times New Roman" w:hAnsi="Times New Roman" w:cs="Times New Roman"/>
          <w:sz w:val="24"/>
          <w:szCs w:val="24"/>
          <w:lang w:val="uk-UA"/>
        </w:rPr>
        <w:t xml:space="preserve"> 100,</w:t>
      </w:r>
      <w:r w:rsidR="00EE5F0A" w:rsidRPr="00EE5F0A">
        <w:rPr>
          <w:rFonts w:ascii="Times New Roman" w:hAnsi="Times New Roman" w:cs="Times New Roman"/>
          <w:sz w:val="24"/>
          <w:szCs w:val="24"/>
          <w:lang w:val="uk-UA"/>
        </w:rPr>
        <w:t>0</w:t>
      </w:r>
      <w:r w:rsidRPr="00EE5F0A">
        <w:rPr>
          <w:rFonts w:ascii="Times New Roman" w:hAnsi="Times New Roman" w:cs="Times New Roman"/>
          <w:sz w:val="24"/>
          <w:szCs w:val="24"/>
          <w:lang w:val="uk-UA"/>
        </w:rPr>
        <w:t xml:space="preserve"> % річних показників.</w:t>
      </w:r>
      <w:r w:rsidRPr="007620A2">
        <w:rPr>
          <w:rFonts w:ascii="Times New Roman" w:hAnsi="Times New Roman" w:cs="Times New Roman"/>
          <w:sz w:val="24"/>
          <w:szCs w:val="24"/>
          <w:lang w:val="uk-UA"/>
        </w:rPr>
        <w:t xml:space="preserve">  </w:t>
      </w:r>
    </w:p>
    <w:p w14:paraId="05FA2819" w14:textId="1B186829" w:rsidR="000B04B1" w:rsidRPr="007620A2" w:rsidRDefault="000B04B1" w:rsidP="000B04B1">
      <w:pPr>
        <w:spacing w:after="0" w:line="240" w:lineRule="auto"/>
        <w:ind w:firstLine="567"/>
        <w:jc w:val="both"/>
        <w:rPr>
          <w:rFonts w:ascii="Times New Roman" w:eastAsia="Times New Roman" w:hAnsi="Times New Roman" w:cs="Times New Roman"/>
          <w:color w:val="000000"/>
          <w:sz w:val="24"/>
          <w:szCs w:val="24"/>
          <w:shd w:val="clear" w:color="auto" w:fill="FFFFFF"/>
          <w:lang w:val="uk-UA" w:eastAsia="ru-RU"/>
        </w:rPr>
      </w:pPr>
      <w:r w:rsidRPr="007620A2">
        <w:rPr>
          <w:rFonts w:ascii="Times New Roman" w:hAnsi="Times New Roman" w:cs="Times New Roman"/>
          <w:sz w:val="24"/>
          <w:szCs w:val="24"/>
          <w:lang w:val="uk-UA"/>
        </w:rPr>
        <w:t xml:space="preserve">Виходячи з обсягу затверджених доходів та вільного залишку коштів станом на                         01.01.2024 року </w:t>
      </w:r>
      <w:r w:rsidRPr="008132F3">
        <w:rPr>
          <w:rFonts w:ascii="Times New Roman" w:hAnsi="Times New Roman" w:cs="Times New Roman"/>
          <w:b/>
          <w:bCs/>
          <w:sz w:val="24"/>
          <w:szCs w:val="24"/>
          <w:lang w:val="uk-UA"/>
        </w:rPr>
        <w:t>прогнозний обсяг видатків за підсумками року</w:t>
      </w:r>
      <w:r w:rsidRPr="007620A2">
        <w:rPr>
          <w:rFonts w:ascii="Times New Roman" w:hAnsi="Times New Roman" w:cs="Times New Roman"/>
          <w:sz w:val="24"/>
          <w:szCs w:val="24"/>
          <w:lang w:val="uk-UA"/>
        </w:rPr>
        <w:t xml:space="preserve"> очікується в межах затверджених бюджетних призначень відповідно до рішення Чорноморської міської ради Одеського району Одеської області від 22.12.2023р. №522-VIIІ "Про бюджет Чорноморської міської територіальної громади на 2024 рік" (зі змінами</w:t>
      </w:r>
      <w:r w:rsidR="0011405C">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з дотриманням вимог,</w:t>
      </w:r>
      <w:r w:rsidRPr="007620A2">
        <w:rPr>
          <w:color w:val="000000"/>
          <w:sz w:val="24"/>
          <w:szCs w:val="24"/>
          <w:shd w:val="clear" w:color="auto" w:fill="FFFFFF"/>
          <w:lang w:val="uk-UA"/>
        </w:rPr>
        <w:t xml:space="preserve"> </w:t>
      </w:r>
      <w:r w:rsidRPr="007620A2">
        <w:rPr>
          <w:rFonts w:ascii="Times New Roman" w:eastAsia="Times New Roman" w:hAnsi="Times New Roman" w:cs="Times New Roman"/>
          <w:color w:val="000000"/>
          <w:sz w:val="24"/>
          <w:szCs w:val="24"/>
          <w:shd w:val="clear" w:color="auto" w:fill="FFFFFF"/>
          <w:lang w:val="uk-UA" w:eastAsia="ru-RU"/>
        </w:rPr>
        <w:t>визначених у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9 червня 2021 р. №590 (зі змінами).</w:t>
      </w:r>
    </w:p>
    <w:p w14:paraId="68E107F8" w14:textId="7E02ACAA" w:rsidR="000B04B1" w:rsidRPr="007620A2" w:rsidRDefault="000B04B1" w:rsidP="000B04B1">
      <w:pPr>
        <w:spacing w:after="0" w:line="240" w:lineRule="auto"/>
        <w:ind w:firstLine="567"/>
        <w:jc w:val="both"/>
        <w:rPr>
          <w:rFonts w:ascii="Times New Roman" w:eastAsia="Times New Roman" w:hAnsi="Times New Roman" w:cs="Times New Roman"/>
          <w:color w:val="000000"/>
          <w:sz w:val="24"/>
          <w:szCs w:val="24"/>
          <w:shd w:val="clear" w:color="auto" w:fill="FFFFFF"/>
          <w:lang w:val="uk-UA" w:eastAsia="ru-RU"/>
        </w:rPr>
      </w:pPr>
      <w:r w:rsidRPr="007620A2">
        <w:rPr>
          <w:rFonts w:ascii="Times New Roman" w:eastAsia="Times New Roman" w:hAnsi="Times New Roman" w:cs="Times New Roman"/>
          <w:color w:val="000000"/>
          <w:sz w:val="24"/>
          <w:szCs w:val="24"/>
          <w:shd w:val="clear" w:color="auto" w:fill="FFFFFF"/>
          <w:lang w:val="uk-UA" w:eastAsia="ru-RU"/>
        </w:rPr>
        <w:t xml:space="preserve">При цьому, є ризик повернення фінансування непроплачених органами Державної казначейської служби платежів. </w:t>
      </w:r>
      <w:r w:rsidR="00E71B6A">
        <w:rPr>
          <w:rFonts w:ascii="Times New Roman" w:eastAsia="Times New Roman" w:hAnsi="Times New Roman" w:cs="Times New Roman"/>
          <w:color w:val="000000"/>
          <w:sz w:val="24"/>
          <w:szCs w:val="24"/>
          <w:shd w:val="clear" w:color="auto" w:fill="FFFFFF"/>
          <w:lang w:val="uk-UA" w:eastAsia="ru-RU"/>
        </w:rPr>
        <w:t xml:space="preserve">Станом на </w:t>
      </w:r>
      <w:r w:rsidRPr="007620A2">
        <w:rPr>
          <w:rFonts w:ascii="Times New Roman" w:eastAsia="Times New Roman" w:hAnsi="Times New Roman" w:cs="Times New Roman"/>
          <w:color w:val="000000"/>
          <w:sz w:val="24"/>
          <w:szCs w:val="24"/>
          <w:shd w:val="clear" w:color="auto" w:fill="FFFFFF"/>
          <w:lang w:val="uk-UA" w:eastAsia="ru-RU"/>
        </w:rPr>
        <w:t xml:space="preserve">13.12.2024р. непроплачених платежів по </w:t>
      </w:r>
      <w:r w:rsidR="00E71B6A">
        <w:rPr>
          <w:rFonts w:ascii="Times New Roman" w:eastAsia="Times New Roman" w:hAnsi="Times New Roman" w:cs="Times New Roman"/>
          <w:color w:val="000000"/>
          <w:sz w:val="24"/>
          <w:szCs w:val="24"/>
          <w:shd w:val="clear" w:color="auto" w:fill="FFFFFF"/>
          <w:lang w:val="uk-UA" w:eastAsia="ru-RU"/>
        </w:rPr>
        <w:t xml:space="preserve">бюджету </w:t>
      </w:r>
      <w:r w:rsidRPr="007620A2">
        <w:rPr>
          <w:rFonts w:ascii="Times New Roman" w:eastAsia="Times New Roman" w:hAnsi="Times New Roman" w:cs="Times New Roman"/>
          <w:color w:val="000000"/>
          <w:sz w:val="24"/>
          <w:szCs w:val="24"/>
          <w:shd w:val="clear" w:color="auto" w:fill="FFFFFF"/>
          <w:lang w:val="uk-UA" w:eastAsia="ru-RU"/>
        </w:rPr>
        <w:t>Чорноморськ</w:t>
      </w:r>
      <w:r w:rsidR="00E71B6A">
        <w:rPr>
          <w:rFonts w:ascii="Times New Roman" w:eastAsia="Times New Roman" w:hAnsi="Times New Roman" w:cs="Times New Roman"/>
          <w:color w:val="000000"/>
          <w:sz w:val="24"/>
          <w:szCs w:val="24"/>
          <w:shd w:val="clear" w:color="auto" w:fill="FFFFFF"/>
          <w:lang w:val="uk-UA" w:eastAsia="ru-RU"/>
        </w:rPr>
        <w:t>ої</w:t>
      </w:r>
      <w:r w:rsidRPr="007620A2">
        <w:rPr>
          <w:rFonts w:ascii="Times New Roman" w:eastAsia="Times New Roman" w:hAnsi="Times New Roman" w:cs="Times New Roman"/>
          <w:color w:val="000000"/>
          <w:sz w:val="24"/>
          <w:szCs w:val="24"/>
          <w:shd w:val="clear" w:color="auto" w:fill="FFFFFF"/>
          <w:lang w:val="uk-UA" w:eastAsia="ru-RU"/>
        </w:rPr>
        <w:t xml:space="preserve"> міськ</w:t>
      </w:r>
      <w:r w:rsidR="00E71B6A">
        <w:rPr>
          <w:rFonts w:ascii="Times New Roman" w:eastAsia="Times New Roman" w:hAnsi="Times New Roman" w:cs="Times New Roman"/>
          <w:color w:val="000000"/>
          <w:sz w:val="24"/>
          <w:szCs w:val="24"/>
          <w:shd w:val="clear" w:color="auto" w:fill="FFFFFF"/>
          <w:lang w:val="uk-UA" w:eastAsia="ru-RU"/>
        </w:rPr>
        <w:t xml:space="preserve">ої територіальної </w:t>
      </w:r>
      <w:r w:rsidRPr="007620A2">
        <w:rPr>
          <w:rFonts w:ascii="Times New Roman" w:eastAsia="Times New Roman" w:hAnsi="Times New Roman" w:cs="Times New Roman"/>
          <w:color w:val="000000"/>
          <w:sz w:val="24"/>
          <w:szCs w:val="24"/>
          <w:shd w:val="clear" w:color="auto" w:fill="FFFFFF"/>
          <w:lang w:val="uk-UA" w:eastAsia="ru-RU"/>
        </w:rPr>
        <w:t>громад</w:t>
      </w:r>
      <w:r w:rsidR="00E71B6A">
        <w:rPr>
          <w:rFonts w:ascii="Times New Roman" w:eastAsia="Times New Roman" w:hAnsi="Times New Roman" w:cs="Times New Roman"/>
          <w:color w:val="000000"/>
          <w:sz w:val="24"/>
          <w:szCs w:val="24"/>
          <w:shd w:val="clear" w:color="auto" w:fill="FFFFFF"/>
          <w:lang w:val="uk-UA" w:eastAsia="ru-RU"/>
        </w:rPr>
        <w:t>и</w:t>
      </w:r>
      <w:r w:rsidRPr="007620A2">
        <w:rPr>
          <w:rFonts w:ascii="Times New Roman" w:eastAsia="Times New Roman" w:hAnsi="Times New Roman" w:cs="Times New Roman"/>
          <w:color w:val="000000"/>
          <w:sz w:val="24"/>
          <w:szCs w:val="24"/>
          <w:shd w:val="clear" w:color="auto" w:fill="FFFFFF"/>
          <w:lang w:val="uk-UA" w:eastAsia="ru-RU"/>
        </w:rPr>
        <w:t xml:space="preserve"> рахується у сумі 9,3 млн грн, із них за загальним фондом – 2,3 млн грн</w:t>
      </w:r>
      <w:r w:rsidR="00E71B6A">
        <w:rPr>
          <w:rFonts w:ascii="Times New Roman" w:eastAsia="Times New Roman" w:hAnsi="Times New Roman" w:cs="Times New Roman"/>
          <w:color w:val="000000"/>
          <w:sz w:val="24"/>
          <w:szCs w:val="24"/>
          <w:shd w:val="clear" w:color="auto" w:fill="FFFFFF"/>
          <w:lang w:val="uk-UA" w:eastAsia="ru-RU"/>
        </w:rPr>
        <w:t xml:space="preserve"> та </w:t>
      </w:r>
      <w:r w:rsidRPr="007620A2">
        <w:rPr>
          <w:rFonts w:ascii="Times New Roman" w:eastAsia="Times New Roman" w:hAnsi="Times New Roman" w:cs="Times New Roman"/>
          <w:color w:val="000000"/>
          <w:sz w:val="24"/>
          <w:szCs w:val="24"/>
          <w:shd w:val="clear" w:color="auto" w:fill="FFFFFF"/>
          <w:lang w:val="uk-UA" w:eastAsia="ru-RU"/>
        </w:rPr>
        <w:t>спеціальним фондом – 7,0 млн гривень.</w:t>
      </w:r>
    </w:p>
    <w:p w14:paraId="1BFB9A79" w14:textId="77777777" w:rsidR="000B04B1" w:rsidRPr="007620A2" w:rsidRDefault="000B04B1" w:rsidP="000B04B1">
      <w:pPr>
        <w:spacing w:after="0" w:line="240" w:lineRule="auto"/>
        <w:ind w:firstLine="567"/>
        <w:jc w:val="both"/>
        <w:rPr>
          <w:rFonts w:ascii="Times New Roman" w:hAnsi="Times New Roman" w:cs="Times New Roman"/>
          <w:b/>
          <w:sz w:val="28"/>
          <w:szCs w:val="28"/>
          <w:lang w:val="uk-UA"/>
        </w:rPr>
      </w:pPr>
    </w:p>
    <w:p w14:paraId="1E61E495" w14:textId="77777777" w:rsidR="000B04B1" w:rsidRPr="007620A2" w:rsidRDefault="000B04B1" w:rsidP="000B04B1">
      <w:pPr>
        <w:spacing w:after="0" w:line="240" w:lineRule="auto"/>
        <w:jc w:val="center"/>
        <w:rPr>
          <w:rFonts w:ascii="Times New Roman" w:hAnsi="Times New Roman" w:cs="Times New Roman"/>
          <w:b/>
          <w:sz w:val="28"/>
          <w:szCs w:val="28"/>
          <w:lang w:val="uk-UA"/>
        </w:rPr>
      </w:pPr>
      <w:r w:rsidRPr="007620A2">
        <w:rPr>
          <w:rFonts w:ascii="Times New Roman" w:hAnsi="Times New Roman" w:cs="Times New Roman"/>
          <w:b/>
          <w:sz w:val="28"/>
          <w:szCs w:val="28"/>
          <w:lang w:val="uk-UA"/>
        </w:rPr>
        <w:t>4. Оцінка показників доходів бюджету</w:t>
      </w:r>
    </w:p>
    <w:p w14:paraId="2C8AECB1" w14:textId="77777777" w:rsidR="000B04B1" w:rsidRDefault="000B04B1" w:rsidP="000B04B1">
      <w:pPr>
        <w:spacing w:after="0" w:line="240" w:lineRule="auto"/>
        <w:jc w:val="center"/>
        <w:rPr>
          <w:rFonts w:ascii="Times New Roman" w:hAnsi="Times New Roman" w:cs="Times New Roman"/>
          <w:b/>
          <w:sz w:val="28"/>
          <w:szCs w:val="28"/>
          <w:lang w:val="uk-UA"/>
        </w:rPr>
      </w:pPr>
      <w:r w:rsidRPr="007620A2">
        <w:rPr>
          <w:rFonts w:ascii="Times New Roman" w:hAnsi="Times New Roman" w:cs="Times New Roman"/>
          <w:b/>
          <w:sz w:val="28"/>
          <w:szCs w:val="28"/>
          <w:lang w:val="uk-UA"/>
        </w:rPr>
        <w:t>Чорноморської міської територіальної громади на 2025 рік</w:t>
      </w:r>
    </w:p>
    <w:p w14:paraId="262CD561" w14:textId="77777777" w:rsidR="008132F3" w:rsidRPr="007620A2" w:rsidRDefault="008132F3" w:rsidP="000B04B1">
      <w:pPr>
        <w:spacing w:after="0" w:line="240" w:lineRule="auto"/>
        <w:jc w:val="center"/>
        <w:rPr>
          <w:rFonts w:ascii="Times New Roman" w:hAnsi="Times New Roman" w:cs="Times New Roman"/>
          <w:sz w:val="24"/>
          <w:szCs w:val="24"/>
          <w:lang w:val="uk-UA"/>
        </w:rPr>
      </w:pPr>
    </w:p>
    <w:p w14:paraId="0D7D824C" w14:textId="1520768A" w:rsidR="00644587" w:rsidRPr="001D5812" w:rsidRDefault="00644587" w:rsidP="001D5812">
      <w:pPr>
        <w:autoSpaceDE w:val="0"/>
        <w:autoSpaceDN w:val="0"/>
        <w:spacing w:after="0" w:line="240" w:lineRule="auto"/>
        <w:ind w:firstLine="567"/>
        <w:contextualSpacing/>
        <w:jc w:val="both"/>
        <w:rPr>
          <w:rFonts w:ascii="Times New Roman" w:hAnsi="Times New Roman" w:cs="Times New Roman"/>
          <w:bCs/>
          <w:color w:val="000000" w:themeColor="text1"/>
          <w:sz w:val="24"/>
          <w:szCs w:val="24"/>
          <w:lang w:val="uk-UA"/>
        </w:rPr>
      </w:pPr>
      <w:r w:rsidRPr="001D5812">
        <w:rPr>
          <w:rFonts w:ascii="Times New Roman" w:hAnsi="Times New Roman" w:cs="Times New Roman"/>
          <w:bCs/>
          <w:color w:val="000000" w:themeColor="text1"/>
          <w:sz w:val="24"/>
          <w:szCs w:val="24"/>
          <w:lang w:val="uk-UA"/>
        </w:rPr>
        <w:t>Статтями 64, 69</w:t>
      </w:r>
      <w:r w:rsidRPr="001D5812">
        <w:rPr>
          <w:rFonts w:ascii="Times New Roman" w:hAnsi="Times New Roman" w:cs="Times New Roman"/>
          <w:bCs/>
          <w:color w:val="000000" w:themeColor="text1"/>
          <w:sz w:val="24"/>
          <w:szCs w:val="24"/>
          <w:vertAlign w:val="superscript"/>
          <w:lang w:val="uk-UA"/>
        </w:rPr>
        <w:t>1</w:t>
      </w:r>
      <w:r w:rsidRPr="001D5812">
        <w:rPr>
          <w:rFonts w:ascii="Times New Roman" w:hAnsi="Times New Roman" w:cs="Times New Roman"/>
          <w:bCs/>
          <w:color w:val="000000" w:themeColor="text1"/>
          <w:sz w:val="24"/>
          <w:szCs w:val="24"/>
          <w:lang w:val="uk-UA"/>
        </w:rPr>
        <w:t xml:space="preserve"> Кодексу визначено склад доходів, що зараховуються до </w:t>
      </w:r>
      <w:r w:rsidR="001D5812">
        <w:rPr>
          <w:rFonts w:ascii="Times New Roman" w:hAnsi="Times New Roman" w:cs="Times New Roman"/>
          <w:bCs/>
          <w:color w:val="000000" w:themeColor="text1"/>
          <w:sz w:val="24"/>
          <w:szCs w:val="24"/>
          <w:lang w:val="uk-UA"/>
        </w:rPr>
        <w:t xml:space="preserve">бюджетів </w:t>
      </w:r>
      <w:r w:rsidRPr="001D5812">
        <w:rPr>
          <w:rFonts w:ascii="Times New Roman" w:hAnsi="Times New Roman" w:cs="Times New Roman"/>
          <w:bCs/>
          <w:color w:val="000000" w:themeColor="text1"/>
          <w:sz w:val="24"/>
          <w:szCs w:val="24"/>
          <w:lang w:val="uk-UA"/>
        </w:rPr>
        <w:t>міських територіальних громад.</w:t>
      </w:r>
    </w:p>
    <w:p w14:paraId="22FC62FF" w14:textId="2F144F11" w:rsidR="00644587" w:rsidRPr="001D5812" w:rsidRDefault="00644587" w:rsidP="001D5812">
      <w:pPr>
        <w:tabs>
          <w:tab w:val="left" w:pos="-5245"/>
        </w:tabs>
        <w:spacing w:after="0" w:line="240" w:lineRule="auto"/>
        <w:ind w:right="-2" w:firstLine="567"/>
        <w:contextualSpacing/>
        <w:jc w:val="both"/>
        <w:rPr>
          <w:rFonts w:ascii="Times New Roman" w:hAnsi="Times New Roman" w:cs="Times New Roman"/>
          <w:color w:val="000000" w:themeColor="text1"/>
          <w:sz w:val="24"/>
          <w:szCs w:val="24"/>
          <w:lang w:val="uk-UA"/>
        </w:rPr>
      </w:pPr>
      <w:r w:rsidRPr="001D5812">
        <w:rPr>
          <w:rFonts w:ascii="Times New Roman" w:hAnsi="Times New Roman" w:cs="Times New Roman"/>
          <w:color w:val="000000" w:themeColor="text1"/>
          <w:sz w:val="24"/>
          <w:szCs w:val="24"/>
          <w:lang w:val="uk-UA"/>
        </w:rPr>
        <w:t xml:space="preserve">Показники дохідної частини проєкту бюджету </w:t>
      </w:r>
      <w:r w:rsidR="003013DB" w:rsidRPr="001D5812">
        <w:rPr>
          <w:rFonts w:ascii="Times New Roman" w:hAnsi="Times New Roman" w:cs="Times New Roman"/>
          <w:color w:val="000000" w:themeColor="text1"/>
          <w:sz w:val="24"/>
          <w:szCs w:val="24"/>
          <w:lang w:val="uk-UA"/>
        </w:rPr>
        <w:t xml:space="preserve">Чорноморської </w:t>
      </w:r>
      <w:r w:rsidRPr="001D5812">
        <w:rPr>
          <w:rFonts w:ascii="Times New Roman" w:hAnsi="Times New Roman" w:cs="Times New Roman"/>
          <w:color w:val="000000" w:themeColor="text1"/>
          <w:sz w:val="24"/>
          <w:szCs w:val="24"/>
          <w:lang w:val="uk-UA"/>
        </w:rPr>
        <w:t>МТГ на 2025 рік розроблені на базі основних прогнозних макропоказників економічного і соціального розвитку України, які враховують дію правового режиму воєнного стану, та із застосуванням чинних норм податкового законодавства, Кодексу, інших законодавчих актів, що стосуються місцевих бюджетів та міжбюджетних відносин.</w:t>
      </w:r>
    </w:p>
    <w:p w14:paraId="476E8BC1" w14:textId="52936F66" w:rsidR="00644587" w:rsidRPr="001D5812" w:rsidRDefault="00644587" w:rsidP="001D5812">
      <w:pPr>
        <w:tabs>
          <w:tab w:val="left" w:pos="-5245"/>
        </w:tabs>
        <w:spacing w:after="0" w:line="240" w:lineRule="auto"/>
        <w:ind w:right="-2" w:firstLine="567"/>
        <w:contextualSpacing/>
        <w:jc w:val="both"/>
        <w:rPr>
          <w:rFonts w:ascii="Times New Roman" w:hAnsi="Times New Roman" w:cs="Times New Roman"/>
          <w:color w:val="000000" w:themeColor="text1"/>
          <w:sz w:val="24"/>
          <w:szCs w:val="24"/>
          <w:lang w:val="uk-UA"/>
        </w:rPr>
      </w:pPr>
      <w:r w:rsidRPr="001D5812">
        <w:rPr>
          <w:rFonts w:ascii="Times New Roman" w:hAnsi="Times New Roman" w:cs="Times New Roman"/>
          <w:color w:val="000000" w:themeColor="text1"/>
          <w:sz w:val="24"/>
          <w:szCs w:val="24"/>
          <w:lang w:val="uk-UA"/>
        </w:rPr>
        <w:t xml:space="preserve">При плануванні дохідної частини проєкту бюджету </w:t>
      </w:r>
      <w:r w:rsidR="003013DB" w:rsidRPr="001D5812">
        <w:rPr>
          <w:rFonts w:ascii="Times New Roman" w:hAnsi="Times New Roman" w:cs="Times New Roman"/>
          <w:color w:val="000000" w:themeColor="text1"/>
          <w:sz w:val="24"/>
          <w:szCs w:val="24"/>
          <w:lang w:val="uk-UA"/>
        </w:rPr>
        <w:t xml:space="preserve">Чорноморської </w:t>
      </w:r>
      <w:r w:rsidRPr="001D5812">
        <w:rPr>
          <w:rFonts w:ascii="Times New Roman" w:hAnsi="Times New Roman" w:cs="Times New Roman"/>
          <w:color w:val="000000" w:themeColor="text1"/>
          <w:sz w:val="24"/>
          <w:szCs w:val="24"/>
          <w:lang w:val="uk-UA"/>
        </w:rPr>
        <w:t>МТГ на</w:t>
      </w:r>
      <w:r w:rsidR="00BE0912">
        <w:rPr>
          <w:rFonts w:ascii="Times New Roman" w:hAnsi="Times New Roman" w:cs="Times New Roman"/>
          <w:color w:val="000000" w:themeColor="text1"/>
          <w:sz w:val="24"/>
          <w:szCs w:val="24"/>
          <w:lang w:val="uk-UA"/>
        </w:rPr>
        <w:t xml:space="preserve"> </w:t>
      </w:r>
      <w:r w:rsidRPr="001D5812">
        <w:rPr>
          <w:rFonts w:ascii="Times New Roman" w:hAnsi="Times New Roman" w:cs="Times New Roman"/>
          <w:color w:val="000000" w:themeColor="text1"/>
          <w:sz w:val="24"/>
          <w:szCs w:val="24"/>
          <w:lang w:val="uk-UA"/>
        </w:rPr>
        <w:t xml:space="preserve">2025 рік було враховано: </w:t>
      </w:r>
    </w:p>
    <w:p w14:paraId="76F45103" w14:textId="77777777" w:rsidR="00644587" w:rsidRPr="001D5812" w:rsidRDefault="00644587" w:rsidP="001D5812">
      <w:pPr>
        <w:tabs>
          <w:tab w:val="left" w:pos="-5245"/>
        </w:tabs>
        <w:spacing w:after="0" w:line="240" w:lineRule="auto"/>
        <w:ind w:right="-2" w:firstLine="567"/>
        <w:contextualSpacing/>
        <w:jc w:val="both"/>
        <w:rPr>
          <w:rFonts w:ascii="Times New Roman" w:hAnsi="Times New Roman" w:cs="Times New Roman"/>
          <w:color w:val="000000" w:themeColor="text1"/>
          <w:sz w:val="24"/>
          <w:szCs w:val="24"/>
          <w:lang w:val="uk-UA"/>
        </w:rPr>
      </w:pPr>
      <w:r w:rsidRPr="001D5812">
        <w:rPr>
          <w:rFonts w:ascii="Times New Roman" w:hAnsi="Times New Roman" w:cs="Times New Roman"/>
          <w:color w:val="000000" w:themeColor="text1"/>
          <w:sz w:val="24"/>
          <w:szCs w:val="24"/>
          <w:lang w:val="uk-UA"/>
        </w:rPr>
        <w:t xml:space="preserve">- наявні статистичні показники, які використовуються при розрахунку прогнозних надходжень податків та зборів, зокрема за 2023 рік, очікувані макропоказники Мінекономіки на 2024 рік та прогнозні на 2025 рік; </w:t>
      </w:r>
    </w:p>
    <w:p w14:paraId="15D4E17E" w14:textId="1500BB3D" w:rsidR="00644587" w:rsidRPr="001D5812" w:rsidRDefault="00644587" w:rsidP="001D5812">
      <w:pPr>
        <w:tabs>
          <w:tab w:val="left" w:pos="-5245"/>
        </w:tabs>
        <w:spacing w:after="0" w:line="240" w:lineRule="auto"/>
        <w:ind w:right="-2" w:firstLine="567"/>
        <w:contextualSpacing/>
        <w:jc w:val="both"/>
        <w:rPr>
          <w:rFonts w:ascii="Times New Roman" w:hAnsi="Times New Roman" w:cs="Times New Roman"/>
          <w:color w:val="000000" w:themeColor="text1"/>
          <w:sz w:val="24"/>
          <w:szCs w:val="24"/>
          <w:lang w:val="uk-UA"/>
        </w:rPr>
      </w:pPr>
      <w:r w:rsidRPr="001D5812">
        <w:rPr>
          <w:rFonts w:ascii="Times New Roman" w:hAnsi="Times New Roman" w:cs="Times New Roman"/>
          <w:color w:val="000000" w:themeColor="text1"/>
          <w:sz w:val="24"/>
          <w:szCs w:val="24"/>
          <w:lang w:val="uk-UA"/>
        </w:rPr>
        <w:t>- фактичне виконання дохідної частини бюджету за результатами 2021-2023 років та за</w:t>
      </w:r>
      <w:r w:rsidR="00BE0912">
        <w:rPr>
          <w:rFonts w:ascii="Times New Roman" w:hAnsi="Times New Roman" w:cs="Times New Roman"/>
          <w:color w:val="000000" w:themeColor="text1"/>
          <w:sz w:val="24"/>
          <w:szCs w:val="24"/>
          <w:lang w:val="uk-UA"/>
        </w:rPr>
        <w:t xml:space="preserve">                          </w:t>
      </w:r>
      <w:r w:rsidR="003013DB" w:rsidRPr="001D5812">
        <w:rPr>
          <w:rFonts w:ascii="Times New Roman" w:hAnsi="Times New Roman" w:cs="Times New Roman"/>
          <w:color w:val="000000" w:themeColor="text1"/>
          <w:sz w:val="24"/>
          <w:szCs w:val="24"/>
          <w:lang w:val="uk-UA"/>
        </w:rPr>
        <w:t>11</w:t>
      </w:r>
      <w:r w:rsidRPr="001D5812">
        <w:rPr>
          <w:rFonts w:ascii="Times New Roman" w:hAnsi="Times New Roman" w:cs="Times New Roman"/>
          <w:color w:val="000000" w:themeColor="text1"/>
          <w:sz w:val="24"/>
          <w:szCs w:val="24"/>
          <w:lang w:val="uk-UA"/>
        </w:rPr>
        <w:t xml:space="preserve"> місяців 2024 року; </w:t>
      </w:r>
    </w:p>
    <w:p w14:paraId="557DB509" w14:textId="05F57C50" w:rsidR="001D5812" w:rsidRPr="001D5812" w:rsidRDefault="00644587" w:rsidP="001D5812">
      <w:pPr>
        <w:spacing w:after="0" w:line="240" w:lineRule="auto"/>
        <w:ind w:firstLine="567"/>
        <w:contextualSpacing/>
        <w:jc w:val="both"/>
        <w:rPr>
          <w:rFonts w:ascii="Times New Roman" w:hAnsi="Times New Roman" w:cs="Times New Roman"/>
          <w:color w:val="000000" w:themeColor="text1"/>
          <w:sz w:val="24"/>
          <w:szCs w:val="24"/>
          <w:lang w:val="uk-UA"/>
        </w:rPr>
      </w:pPr>
      <w:r w:rsidRPr="001D5812">
        <w:rPr>
          <w:rFonts w:ascii="Times New Roman" w:hAnsi="Times New Roman" w:cs="Times New Roman"/>
          <w:color w:val="000000" w:themeColor="text1"/>
          <w:sz w:val="24"/>
          <w:szCs w:val="24"/>
          <w:lang w:val="uk-UA"/>
        </w:rPr>
        <w:t xml:space="preserve">- </w:t>
      </w:r>
      <w:r w:rsidR="001D5812" w:rsidRPr="001D5812">
        <w:rPr>
          <w:rFonts w:ascii="Times New Roman" w:hAnsi="Times New Roman" w:cs="Times New Roman"/>
          <w:color w:val="000000" w:themeColor="text1"/>
          <w:sz w:val="24"/>
          <w:szCs w:val="24"/>
          <w:lang w:val="uk-UA"/>
        </w:rPr>
        <w:t xml:space="preserve">збереження 4% ПДФО (крім військового) в місцевих бюджетах (тобто, загалом буде 64% зарахування ПДФО до бюджету Чорноморської МТГ). </w:t>
      </w:r>
    </w:p>
    <w:p w14:paraId="241AB70A" w14:textId="77777777" w:rsidR="00F92ED4" w:rsidRPr="001D5812" w:rsidRDefault="00F92ED4" w:rsidP="001D5812">
      <w:pPr>
        <w:pStyle w:val="af1"/>
        <w:spacing w:before="0"/>
        <w:ind w:firstLine="0"/>
        <w:contextualSpacing/>
        <w:rPr>
          <w:rFonts w:ascii="Times New Roman" w:hAnsi="Times New Roman" w:cs="Times New Roman"/>
          <w:color w:val="000000" w:themeColor="text1"/>
          <w:sz w:val="24"/>
          <w:szCs w:val="24"/>
        </w:rPr>
      </w:pPr>
    </w:p>
    <w:p w14:paraId="11D28D9A" w14:textId="6DFC1706" w:rsidR="000B04B1" w:rsidRDefault="000B04B1" w:rsidP="00BE0912">
      <w:pPr>
        <w:spacing w:after="0" w:line="240" w:lineRule="auto"/>
        <w:ind w:right="-2" w:firstLine="567"/>
        <w:contextualSpacing/>
        <w:jc w:val="both"/>
        <w:rPr>
          <w:rFonts w:ascii="Times New Roman" w:eastAsia="Times New Roman" w:hAnsi="Times New Roman" w:cs="Times New Roman"/>
          <w:bCs/>
          <w:color w:val="000000" w:themeColor="text1"/>
          <w:sz w:val="24"/>
          <w:szCs w:val="24"/>
          <w:lang w:val="uk-UA" w:eastAsia="ru-RU"/>
        </w:rPr>
      </w:pPr>
      <w:r w:rsidRPr="001D5812">
        <w:rPr>
          <w:rFonts w:ascii="Times New Roman" w:eastAsia="Times New Roman" w:hAnsi="Times New Roman" w:cs="Times New Roman"/>
          <w:b/>
          <w:bCs/>
          <w:color w:val="000000" w:themeColor="text1"/>
          <w:sz w:val="24"/>
          <w:szCs w:val="24"/>
          <w:lang w:val="uk-UA" w:eastAsia="ru-RU"/>
        </w:rPr>
        <w:t>З урахуванням зазначеного, обсяг доходів бюджету Чорноморської</w:t>
      </w:r>
      <w:r w:rsidR="008B6117">
        <w:rPr>
          <w:rFonts w:ascii="Times New Roman" w:eastAsia="Times New Roman" w:hAnsi="Times New Roman" w:cs="Times New Roman"/>
          <w:b/>
          <w:bCs/>
          <w:color w:val="000000" w:themeColor="text1"/>
          <w:sz w:val="24"/>
          <w:szCs w:val="24"/>
          <w:lang w:val="uk-UA" w:eastAsia="ru-RU"/>
        </w:rPr>
        <w:t xml:space="preserve"> МТГ </w:t>
      </w:r>
      <w:r w:rsidRPr="001D5812">
        <w:rPr>
          <w:rFonts w:ascii="Times New Roman" w:eastAsia="Times New Roman" w:hAnsi="Times New Roman" w:cs="Times New Roman"/>
          <w:b/>
          <w:bCs/>
          <w:color w:val="000000" w:themeColor="text1"/>
          <w:sz w:val="24"/>
          <w:szCs w:val="24"/>
          <w:lang w:val="uk-UA" w:eastAsia="ru-RU"/>
        </w:rPr>
        <w:t>громади на 2025 рік розраховано у сумі  1 15</w:t>
      </w:r>
      <w:r w:rsidR="008132F3" w:rsidRPr="001D5812">
        <w:rPr>
          <w:rFonts w:ascii="Times New Roman" w:eastAsia="Times New Roman" w:hAnsi="Times New Roman" w:cs="Times New Roman"/>
          <w:b/>
          <w:bCs/>
          <w:color w:val="000000" w:themeColor="text1"/>
          <w:sz w:val="24"/>
          <w:szCs w:val="24"/>
          <w:lang w:val="uk-UA" w:eastAsia="ru-RU"/>
        </w:rPr>
        <w:t>6</w:t>
      </w:r>
      <w:r w:rsidRPr="001D5812">
        <w:rPr>
          <w:rFonts w:ascii="Times New Roman" w:eastAsia="Times New Roman" w:hAnsi="Times New Roman" w:cs="Times New Roman"/>
          <w:b/>
          <w:bCs/>
          <w:color w:val="000000" w:themeColor="text1"/>
          <w:sz w:val="24"/>
          <w:szCs w:val="24"/>
          <w:lang w:val="uk-UA" w:eastAsia="ru-RU"/>
        </w:rPr>
        <w:t> </w:t>
      </w:r>
      <w:r w:rsidR="008132F3" w:rsidRPr="001D5812">
        <w:rPr>
          <w:rFonts w:ascii="Times New Roman" w:eastAsia="Times New Roman" w:hAnsi="Times New Roman" w:cs="Times New Roman"/>
          <w:b/>
          <w:bCs/>
          <w:color w:val="000000" w:themeColor="text1"/>
          <w:sz w:val="24"/>
          <w:szCs w:val="24"/>
          <w:lang w:val="uk-UA" w:eastAsia="ru-RU"/>
        </w:rPr>
        <w:t>9</w:t>
      </w:r>
      <w:r w:rsidRPr="001D5812">
        <w:rPr>
          <w:rFonts w:ascii="Times New Roman" w:eastAsia="Times New Roman" w:hAnsi="Times New Roman" w:cs="Times New Roman"/>
          <w:b/>
          <w:bCs/>
          <w:color w:val="000000" w:themeColor="text1"/>
          <w:sz w:val="24"/>
          <w:szCs w:val="24"/>
          <w:lang w:val="uk-UA" w:eastAsia="ru-RU"/>
        </w:rPr>
        <w:t>09,8 тис.</w:t>
      </w:r>
      <w:r w:rsidRPr="001D5812">
        <w:rPr>
          <w:rFonts w:ascii="Times New Roman" w:hAnsi="Times New Roman" w:cs="Times New Roman"/>
          <w:b/>
          <w:bCs/>
          <w:color w:val="000000" w:themeColor="text1"/>
          <w:sz w:val="24"/>
          <w:szCs w:val="24"/>
          <w:lang w:val="uk-UA"/>
        </w:rPr>
        <w:t xml:space="preserve"> грн</w:t>
      </w:r>
      <w:r w:rsidRPr="001D5812">
        <w:rPr>
          <w:rFonts w:ascii="Times New Roman" w:eastAsia="Times New Roman" w:hAnsi="Times New Roman" w:cs="Times New Roman"/>
          <w:b/>
          <w:bCs/>
          <w:color w:val="000000" w:themeColor="text1"/>
          <w:sz w:val="24"/>
          <w:szCs w:val="24"/>
          <w:lang w:val="uk-UA" w:eastAsia="ru-RU"/>
        </w:rPr>
        <w:t>, в тому числі доходи загального фонду – 1 144 </w:t>
      </w:r>
      <w:r w:rsidR="008132F3" w:rsidRPr="001D5812">
        <w:rPr>
          <w:rFonts w:ascii="Times New Roman" w:eastAsia="Times New Roman" w:hAnsi="Times New Roman" w:cs="Times New Roman"/>
          <w:b/>
          <w:bCs/>
          <w:color w:val="000000" w:themeColor="text1"/>
          <w:sz w:val="24"/>
          <w:szCs w:val="24"/>
          <w:lang w:val="uk-UA" w:eastAsia="ru-RU"/>
        </w:rPr>
        <w:t>3</w:t>
      </w:r>
      <w:r w:rsidRPr="001D5812">
        <w:rPr>
          <w:rFonts w:ascii="Times New Roman" w:eastAsia="Times New Roman" w:hAnsi="Times New Roman" w:cs="Times New Roman"/>
          <w:b/>
          <w:bCs/>
          <w:color w:val="000000" w:themeColor="text1"/>
          <w:sz w:val="24"/>
          <w:szCs w:val="24"/>
          <w:lang w:val="uk-UA" w:eastAsia="ru-RU"/>
        </w:rPr>
        <w:t>89,5 тис. грн та спеціального фонду – 12 520,3 тис. грн, з них бюджет розвитку – 170,0 тис. грн</w:t>
      </w:r>
      <w:r w:rsidRPr="001D5812">
        <w:rPr>
          <w:rFonts w:ascii="Times New Roman" w:eastAsia="Times New Roman" w:hAnsi="Times New Roman" w:cs="Times New Roman"/>
          <w:color w:val="000000" w:themeColor="text1"/>
          <w:sz w:val="24"/>
          <w:szCs w:val="24"/>
          <w:lang w:val="uk-UA" w:eastAsia="ru-RU"/>
        </w:rPr>
        <w:t xml:space="preserve"> </w:t>
      </w:r>
      <w:r w:rsidRPr="001D5812">
        <w:rPr>
          <w:rFonts w:ascii="Times New Roman" w:eastAsia="Times New Roman" w:hAnsi="Times New Roman" w:cs="Times New Roman"/>
          <w:bCs/>
          <w:color w:val="000000" w:themeColor="text1"/>
          <w:sz w:val="24"/>
          <w:szCs w:val="24"/>
          <w:lang w:val="uk-UA" w:eastAsia="ru-RU"/>
        </w:rPr>
        <w:t>(додаток 1 до проєкту рішення).</w:t>
      </w:r>
    </w:p>
    <w:p w14:paraId="79AA5BC1" w14:textId="77777777" w:rsidR="006E5C8B" w:rsidRPr="001D5812" w:rsidRDefault="006E5C8B" w:rsidP="00BE0912">
      <w:pPr>
        <w:spacing w:after="0" w:line="240" w:lineRule="auto"/>
        <w:ind w:right="-2" w:firstLine="567"/>
        <w:contextualSpacing/>
        <w:jc w:val="both"/>
        <w:rPr>
          <w:rFonts w:ascii="Times New Roman" w:eastAsia="Times New Roman" w:hAnsi="Times New Roman" w:cs="Times New Roman"/>
          <w:color w:val="000000" w:themeColor="text1"/>
          <w:sz w:val="24"/>
          <w:szCs w:val="24"/>
          <w:lang w:val="uk-UA" w:eastAsia="ru-RU"/>
        </w:rPr>
      </w:pPr>
    </w:p>
    <w:p w14:paraId="558F0896" w14:textId="298D98EB" w:rsidR="000B04B1" w:rsidRPr="007620A2" w:rsidRDefault="006E5C8B" w:rsidP="000B04B1">
      <w:pPr>
        <w:spacing w:after="0" w:line="240" w:lineRule="auto"/>
        <w:jc w:val="both"/>
        <w:rPr>
          <w:rFonts w:ascii="Times New Roman" w:eastAsia="Times New Roman" w:hAnsi="Times New Roman" w:cs="Times New Roman"/>
          <w:bCs/>
          <w:iCs/>
          <w:sz w:val="24"/>
          <w:szCs w:val="24"/>
          <w:lang w:val="uk-UA" w:eastAsia="ru-RU"/>
        </w:rPr>
      </w:pPr>
      <w:r w:rsidRPr="007620A2">
        <w:rPr>
          <w:rFonts w:ascii="Times New Roman" w:eastAsia="Times New Roman" w:hAnsi="Times New Roman" w:cs="Times New Roman"/>
          <w:bCs/>
          <w:iCs/>
          <w:noProof/>
          <w:sz w:val="24"/>
          <w:szCs w:val="24"/>
          <w:shd w:val="clear" w:color="auto" w:fill="FFFFFF" w:themeFill="background1"/>
          <w:lang w:eastAsia="ru-RU"/>
        </w:rPr>
        <w:drawing>
          <wp:inline distT="0" distB="0" distL="0" distR="0" wp14:anchorId="38304337" wp14:editId="3D57D6C0">
            <wp:extent cx="6446520" cy="2987040"/>
            <wp:effectExtent l="0" t="0" r="11430" b="381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4952CF" w14:textId="23029D1C" w:rsidR="000B04B1" w:rsidRPr="007620A2" w:rsidRDefault="000B04B1" w:rsidP="000B04B1">
      <w:pPr>
        <w:spacing w:after="0" w:line="240" w:lineRule="auto"/>
        <w:jc w:val="both"/>
        <w:rPr>
          <w:rFonts w:ascii="Times New Roman" w:eastAsia="Times New Roman" w:hAnsi="Times New Roman" w:cs="Times New Roman"/>
          <w:bCs/>
          <w:iCs/>
          <w:sz w:val="24"/>
          <w:szCs w:val="24"/>
          <w:lang w:val="uk-UA" w:eastAsia="ru-RU"/>
        </w:rPr>
      </w:pPr>
    </w:p>
    <w:p w14:paraId="76FAB3C0" w14:textId="4B55568A" w:rsidR="000B04B1" w:rsidRPr="007620A2" w:rsidRDefault="006E5C8B" w:rsidP="000B04B1">
      <w:pPr>
        <w:spacing w:after="0" w:line="240" w:lineRule="auto"/>
        <w:ind w:firstLine="567"/>
        <w:jc w:val="both"/>
        <w:rPr>
          <w:rFonts w:ascii="Times New Roman" w:eastAsia="Times New Roman" w:hAnsi="Times New Roman" w:cs="Times New Roman"/>
          <w:bCs/>
          <w:iCs/>
          <w:sz w:val="24"/>
          <w:szCs w:val="24"/>
          <w:lang w:val="uk-UA" w:eastAsia="ru-RU"/>
        </w:rPr>
      </w:pPr>
      <w:r w:rsidRPr="007620A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7E8C3B9" wp14:editId="3337AD30">
                <wp:simplePos x="0" y="0"/>
                <wp:positionH relativeFrom="column">
                  <wp:posOffset>-3810</wp:posOffset>
                </wp:positionH>
                <wp:positionV relativeFrom="paragraph">
                  <wp:posOffset>183515</wp:posOffset>
                </wp:positionV>
                <wp:extent cx="6450330" cy="571500"/>
                <wp:effectExtent l="0" t="0" r="26670" b="1905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330" cy="571500"/>
                        </a:xfrm>
                        <a:prstGeom prst="rect">
                          <a:avLst/>
                        </a:prstGeom>
                        <a:solidFill>
                          <a:sysClr val="window" lastClr="FFFFFF">
                            <a:lumMod val="85000"/>
                            <a:lumOff val="0"/>
                          </a:sysClr>
                        </a:solidFill>
                        <a:ln w="9525">
                          <a:solidFill>
                            <a:srgbClr val="000000"/>
                          </a:solidFill>
                          <a:miter lim="800000"/>
                          <a:headEnd/>
                          <a:tailEnd/>
                        </a:ln>
                      </wps:spPr>
                      <wps:txbx>
                        <w:txbxContent>
                          <w:p w14:paraId="19B014C7" w14:textId="4E1BD837" w:rsidR="00463074" w:rsidRPr="001E2AD7" w:rsidRDefault="00463074" w:rsidP="000B04B1">
                            <w:pPr>
                              <w:jc w:val="center"/>
                              <w:rPr>
                                <w:rFonts w:ascii="Times New Roman" w:hAnsi="Times New Roman" w:cs="Times New Roman"/>
                                <w:b/>
                                <w:sz w:val="28"/>
                                <w:szCs w:val="28"/>
                                <w:lang w:val="uk-UA"/>
                              </w:rPr>
                            </w:pPr>
                            <w:r w:rsidRPr="003E3C83">
                              <w:rPr>
                                <w:rFonts w:ascii="Times New Roman" w:hAnsi="Times New Roman" w:cs="Times New Roman"/>
                                <w:b/>
                                <w:sz w:val="28"/>
                                <w:szCs w:val="28"/>
                              </w:rPr>
                              <w:t xml:space="preserve">Структура </w:t>
                            </w:r>
                            <w:r w:rsidRPr="001E2AD7">
                              <w:rPr>
                                <w:rFonts w:ascii="Times New Roman" w:hAnsi="Times New Roman" w:cs="Times New Roman"/>
                                <w:b/>
                                <w:sz w:val="28"/>
                                <w:szCs w:val="28"/>
                                <w:lang w:val="uk-UA"/>
                              </w:rPr>
                              <w:t>доходів</w:t>
                            </w:r>
                            <w:r>
                              <w:rPr>
                                <w:rFonts w:ascii="Times New Roman" w:hAnsi="Times New Roman" w:cs="Times New Roman"/>
                                <w:b/>
                                <w:sz w:val="28"/>
                                <w:szCs w:val="28"/>
                              </w:rPr>
                              <w:t xml:space="preserve"> бюджету </w:t>
                            </w:r>
                            <w:r w:rsidRPr="00425EBD">
                              <w:rPr>
                                <w:rFonts w:ascii="Times New Roman" w:hAnsi="Times New Roman" w:cs="Times New Roman"/>
                                <w:b/>
                                <w:sz w:val="28"/>
                                <w:szCs w:val="28"/>
                                <w:lang w:val="uk-UA"/>
                              </w:rPr>
                              <w:t xml:space="preserve">Чорноморської </w:t>
                            </w:r>
                            <w:r>
                              <w:rPr>
                                <w:rFonts w:ascii="Times New Roman" w:hAnsi="Times New Roman" w:cs="Times New Roman"/>
                                <w:b/>
                                <w:sz w:val="28"/>
                                <w:szCs w:val="28"/>
                                <w:lang w:val="uk-UA"/>
                              </w:rPr>
                              <w:t xml:space="preserve">МТГ </w:t>
                            </w:r>
                            <w:r w:rsidRPr="003E3C83">
                              <w:rPr>
                                <w:rFonts w:ascii="Times New Roman" w:hAnsi="Times New Roman" w:cs="Times New Roman"/>
                                <w:b/>
                                <w:sz w:val="28"/>
                                <w:szCs w:val="28"/>
                              </w:rPr>
                              <w:t>на 202</w:t>
                            </w:r>
                            <w:r>
                              <w:rPr>
                                <w:rFonts w:ascii="Times New Roman" w:hAnsi="Times New Roman" w:cs="Times New Roman"/>
                                <w:b/>
                                <w:sz w:val="28"/>
                                <w:szCs w:val="28"/>
                                <w:lang w:val="uk-UA"/>
                              </w:rPr>
                              <w:t xml:space="preserve">5 </w:t>
                            </w:r>
                            <w:r w:rsidRPr="001E2AD7">
                              <w:rPr>
                                <w:rFonts w:ascii="Times New Roman" w:hAnsi="Times New Roman" w:cs="Times New Roman"/>
                                <w:b/>
                                <w:sz w:val="28"/>
                                <w:szCs w:val="28"/>
                                <w:lang w:val="uk-UA"/>
                              </w:rPr>
                              <w:t>рік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8C3B9" id="Rectangle 2" o:spid="_x0000_s1026" style="position:absolute;left:0;text-align:left;margin-left:-.3pt;margin-top:14.45pt;width:507.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" fillcolor="#d9d9d9">
                <v:textbox>
                  <w:txbxContent>
                    <w:p w14:paraId="19B014C7" w14:textId="4E1BD837" w:rsidR="00463074" w:rsidRPr="001E2AD7" w:rsidRDefault="00463074" w:rsidP="000B04B1">
                      <w:pPr>
                        <w:jc w:val="center"/>
                        <w:rPr>
                          <w:rFonts w:ascii="Times New Roman" w:hAnsi="Times New Roman" w:cs="Times New Roman"/>
                          <w:b/>
                          <w:sz w:val="28"/>
                          <w:szCs w:val="28"/>
                          <w:lang w:val="uk-UA"/>
                        </w:rPr>
                      </w:pPr>
                      <w:r w:rsidRPr="003E3C83">
                        <w:rPr>
                          <w:rFonts w:ascii="Times New Roman" w:hAnsi="Times New Roman" w:cs="Times New Roman"/>
                          <w:b/>
                          <w:sz w:val="28"/>
                          <w:szCs w:val="28"/>
                        </w:rPr>
                        <w:t xml:space="preserve">Структура </w:t>
                      </w:r>
                      <w:r w:rsidRPr="001E2AD7">
                        <w:rPr>
                          <w:rFonts w:ascii="Times New Roman" w:hAnsi="Times New Roman" w:cs="Times New Roman"/>
                          <w:b/>
                          <w:sz w:val="28"/>
                          <w:szCs w:val="28"/>
                          <w:lang w:val="uk-UA"/>
                        </w:rPr>
                        <w:t>доходів</w:t>
                      </w:r>
                      <w:r>
                        <w:rPr>
                          <w:rFonts w:ascii="Times New Roman" w:hAnsi="Times New Roman" w:cs="Times New Roman"/>
                          <w:b/>
                          <w:sz w:val="28"/>
                          <w:szCs w:val="28"/>
                        </w:rPr>
                        <w:t xml:space="preserve"> бюджету </w:t>
                      </w:r>
                      <w:r w:rsidRPr="00425EBD">
                        <w:rPr>
                          <w:rFonts w:ascii="Times New Roman" w:hAnsi="Times New Roman" w:cs="Times New Roman"/>
                          <w:b/>
                          <w:sz w:val="28"/>
                          <w:szCs w:val="28"/>
                          <w:lang w:val="uk-UA"/>
                        </w:rPr>
                        <w:t xml:space="preserve">Чорноморської </w:t>
                      </w:r>
                      <w:r>
                        <w:rPr>
                          <w:rFonts w:ascii="Times New Roman" w:hAnsi="Times New Roman" w:cs="Times New Roman"/>
                          <w:b/>
                          <w:sz w:val="28"/>
                          <w:szCs w:val="28"/>
                          <w:lang w:val="uk-UA"/>
                        </w:rPr>
                        <w:t xml:space="preserve">МТГ </w:t>
                      </w:r>
                      <w:r w:rsidRPr="003E3C83">
                        <w:rPr>
                          <w:rFonts w:ascii="Times New Roman" w:hAnsi="Times New Roman" w:cs="Times New Roman"/>
                          <w:b/>
                          <w:sz w:val="28"/>
                          <w:szCs w:val="28"/>
                        </w:rPr>
                        <w:t>на 202</w:t>
                      </w:r>
                      <w:r>
                        <w:rPr>
                          <w:rFonts w:ascii="Times New Roman" w:hAnsi="Times New Roman" w:cs="Times New Roman"/>
                          <w:b/>
                          <w:sz w:val="28"/>
                          <w:szCs w:val="28"/>
                          <w:lang w:val="uk-UA"/>
                        </w:rPr>
                        <w:t xml:space="preserve">5 </w:t>
                      </w:r>
                      <w:r w:rsidRPr="001E2AD7">
                        <w:rPr>
                          <w:rFonts w:ascii="Times New Roman" w:hAnsi="Times New Roman" w:cs="Times New Roman"/>
                          <w:b/>
                          <w:sz w:val="28"/>
                          <w:szCs w:val="28"/>
                          <w:lang w:val="uk-UA"/>
                        </w:rPr>
                        <w:t>рік</w:t>
                      </w:r>
                    </w:p>
                  </w:txbxContent>
                </v:textbox>
              </v:rect>
            </w:pict>
          </mc:Fallback>
        </mc:AlternateContent>
      </w:r>
    </w:p>
    <w:p w14:paraId="0ACEC3F7" w14:textId="5E53AE5F" w:rsidR="000B04B1" w:rsidRPr="007620A2" w:rsidRDefault="000B04B1" w:rsidP="000B04B1">
      <w:pPr>
        <w:spacing w:after="0" w:line="240" w:lineRule="auto"/>
        <w:ind w:firstLine="567"/>
        <w:jc w:val="both"/>
        <w:rPr>
          <w:rFonts w:ascii="Times New Roman" w:eastAsia="Times New Roman" w:hAnsi="Times New Roman" w:cs="Times New Roman"/>
          <w:bCs/>
          <w:iCs/>
          <w:sz w:val="24"/>
          <w:szCs w:val="24"/>
          <w:lang w:val="uk-UA" w:eastAsia="ru-RU"/>
        </w:rPr>
      </w:pPr>
    </w:p>
    <w:p w14:paraId="5BF2ADEC" w14:textId="1E2D3515" w:rsidR="000B04B1" w:rsidRDefault="000B04B1" w:rsidP="008132F3">
      <w:pPr>
        <w:spacing w:after="0" w:line="240" w:lineRule="auto"/>
        <w:ind w:firstLine="567"/>
        <w:jc w:val="both"/>
        <w:rPr>
          <w:rFonts w:ascii="Times New Roman" w:hAnsi="Times New Roman" w:cs="Times New Roman"/>
          <w:sz w:val="24"/>
          <w:szCs w:val="24"/>
          <w:lang w:val="uk-UA"/>
        </w:rPr>
      </w:pPr>
    </w:p>
    <w:p w14:paraId="34C48A5C" w14:textId="77777777" w:rsidR="008132F3" w:rsidRDefault="008132F3" w:rsidP="008132F3">
      <w:pPr>
        <w:spacing w:after="0" w:line="240" w:lineRule="auto"/>
        <w:ind w:firstLine="567"/>
        <w:jc w:val="both"/>
        <w:rPr>
          <w:rFonts w:ascii="Times New Roman" w:hAnsi="Times New Roman" w:cs="Times New Roman"/>
          <w:sz w:val="24"/>
          <w:szCs w:val="24"/>
          <w:lang w:val="uk-UA"/>
        </w:rPr>
      </w:pPr>
    </w:p>
    <w:p w14:paraId="62D5934A" w14:textId="1EB2AE3E" w:rsidR="008132F3" w:rsidRPr="007620A2" w:rsidRDefault="008132F3" w:rsidP="008132F3">
      <w:pPr>
        <w:spacing w:after="0" w:line="240" w:lineRule="auto"/>
        <w:ind w:firstLine="567"/>
        <w:jc w:val="both"/>
        <w:rPr>
          <w:rFonts w:ascii="Times New Roman" w:hAnsi="Times New Roman" w:cs="Times New Roman"/>
          <w:sz w:val="24"/>
          <w:szCs w:val="24"/>
          <w:lang w:val="uk-UA"/>
        </w:rPr>
      </w:pPr>
    </w:p>
    <w:p w14:paraId="3041E656" w14:textId="47D34934" w:rsidR="000B04B1" w:rsidRPr="007620A2" w:rsidRDefault="00E05CC1" w:rsidP="000B04B1">
      <w:pPr>
        <w:spacing w:after="0"/>
        <w:jc w:val="both"/>
        <w:rPr>
          <w:rFonts w:ascii="Times New Roman" w:hAnsi="Times New Roman" w:cs="Times New Roman"/>
          <w:sz w:val="24"/>
          <w:szCs w:val="24"/>
          <w:lang w:val="uk-UA"/>
        </w:rPr>
      </w:pPr>
      <w:r w:rsidRPr="007620A2">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8CC263D" wp14:editId="50708136">
                <wp:simplePos x="0" y="0"/>
                <wp:positionH relativeFrom="column">
                  <wp:posOffset>2072005</wp:posOffset>
                </wp:positionH>
                <wp:positionV relativeFrom="paragraph">
                  <wp:posOffset>61595</wp:posOffset>
                </wp:positionV>
                <wp:extent cx="2295525" cy="622935"/>
                <wp:effectExtent l="0" t="0" r="9525" b="5715"/>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622935"/>
                        </a:xfrm>
                        <a:prstGeom prst="roundRect">
                          <a:avLst>
                            <a:gd name="adj" fmla="val 16667"/>
                          </a:avLst>
                        </a:prstGeom>
                        <a:solidFill>
                          <a:srgbClr val="FFFFFF"/>
                        </a:solidFill>
                        <a:ln w="9525">
                          <a:solidFill>
                            <a:srgbClr val="000000"/>
                          </a:solidFill>
                          <a:round/>
                          <a:headEnd/>
                          <a:tailEnd/>
                        </a:ln>
                      </wps:spPr>
                      <wps:txbx>
                        <w:txbxContent>
                          <w:p w14:paraId="62695930" w14:textId="77777777" w:rsidR="00463074" w:rsidRPr="00D5140B" w:rsidRDefault="00463074" w:rsidP="000B04B1">
                            <w:pPr>
                              <w:spacing w:after="0"/>
                              <w:jc w:val="center"/>
                              <w:rPr>
                                <w:rFonts w:ascii="Times New Roman" w:hAnsi="Times New Roman" w:cs="Times New Roman"/>
                                <w:b/>
                                <w:sz w:val="24"/>
                                <w:szCs w:val="24"/>
                                <w:lang w:val="uk-UA"/>
                              </w:rPr>
                            </w:pPr>
                            <w:r w:rsidRPr="00D5140B">
                              <w:rPr>
                                <w:rFonts w:ascii="Times New Roman" w:hAnsi="Times New Roman" w:cs="Times New Roman"/>
                                <w:b/>
                                <w:sz w:val="24"/>
                                <w:szCs w:val="24"/>
                                <w:lang w:val="uk-UA"/>
                              </w:rPr>
                              <w:t>Доходи бюджету</w:t>
                            </w:r>
                          </w:p>
                          <w:p w14:paraId="7E8F81EA" w14:textId="168B06D4" w:rsidR="00463074" w:rsidRPr="00425EBD" w:rsidRDefault="00463074" w:rsidP="000B04B1">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1 156 909,8</w:t>
                            </w:r>
                            <w:r w:rsidRPr="00D5140B">
                              <w:rPr>
                                <w:rFonts w:ascii="Times New Roman" w:hAnsi="Times New Roman" w:cs="Times New Roman"/>
                                <w:b/>
                                <w:sz w:val="24"/>
                                <w:szCs w:val="24"/>
                                <w:lang w:val="uk-UA"/>
                              </w:rPr>
                              <w:t xml:space="preserve">  тис. грн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C263D" id="AutoShape 3" o:spid="_x0000_s1027" style="position:absolute;left:0;text-align:left;margin-left:163.15pt;margin-top:4.85pt;width:180.75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">
                <v:textbox>
                  <w:txbxContent>
                    <w:p w14:paraId="62695930" w14:textId="77777777" w:rsidR="00463074" w:rsidRPr="00D5140B" w:rsidRDefault="00463074" w:rsidP="000B04B1">
                      <w:pPr>
                        <w:spacing w:after="0"/>
                        <w:jc w:val="center"/>
                        <w:rPr>
                          <w:rFonts w:ascii="Times New Roman" w:hAnsi="Times New Roman" w:cs="Times New Roman"/>
                          <w:b/>
                          <w:sz w:val="24"/>
                          <w:szCs w:val="24"/>
                          <w:lang w:val="uk-UA"/>
                        </w:rPr>
                      </w:pPr>
                      <w:r w:rsidRPr="00D5140B">
                        <w:rPr>
                          <w:rFonts w:ascii="Times New Roman" w:hAnsi="Times New Roman" w:cs="Times New Roman"/>
                          <w:b/>
                          <w:sz w:val="24"/>
                          <w:szCs w:val="24"/>
                          <w:lang w:val="uk-UA"/>
                        </w:rPr>
                        <w:t>Доходи бюджету</w:t>
                      </w:r>
                    </w:p>
                    <w:p w14:paraId="7E8F81EA" w14:textId="168B06D4" w:rsidR="00463074" w:rsidRPr="00425EBD" w:rsidRDefault="00463074" w:rsidP="000B04B1">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1 156 909,8</w:t>
                      </w:r>
                      <w:r w:rsidRPr="00D5140B">
                        <w:rPr>
                          <w:rFonts w:ascii="Times New Roman" w:hAnsi="Times New Roman" w:cs="Times New Roman"/>
                          <w:b/>
                          <w:sz w:val="24"/>
                          <w:szCs w:val="24"/>
                          <w:lang w:val="uk-UA"/>
                        </w:rPr>
                        <w:t xml:space="preserve">  тис. грн</w:t>
                      </w:r>
                    </w:p>
                  </w:txbxContent>
                </v:textbox>
              </v:roundrect>
            </w:pict>
          </mc:Fallback>
        </mc:AlternateContent>
      </w:r>
    </w:p>
    <w:p w14:paraId="6B2E4B01" w14:textId="6BE73AC1" w:rsidR="000B04B1" w:rsidRPr="007620A2" w:rsidRDefault="000B04B1" w:rsidP="000B04B1">
      <w:pPr>
        <w:spacing w:after="0"/>
        <w:jc w:val="both"/>
        <w:rPr>
          <w:rFonts w:ascii="Times New Roman" w:hAnsi="Times New Roman" w:cs="Times New Roman"/>
          <w:sz w:val="24"/>
          <w:szCs w:val="24"/>
          <w:lang w:val="uk-UA"/>
        </w:rPr>
      </w:pPr>
    </w:p>
    <w:p w14:paraId="6A00566E" w14:textId="57DF8CC9" w:rsidR="000B04B1" w:rsidRPr="007620A2" w:rsidRDefault="000B04B1" w:rsidP="000B04B1">
      <w:pPr>
        <w:spacing w:after="0"/>
        <w:jc w:val="both"/>
        <w:rPr>
          <w:rFonts w:ascii="Times New Roman" w:hAnsi="Times New Roman" w:cs="Times New Roman"/>
          <w:sz w:val="24"/>
          <w:szCs w:val="24"/>
          <w:lang w:val="uk-UA"/>
        </w:rPr>
      </w:pPr>
    </w:p>
    <w:p w14:paraId="2A00978C" w14:textId="3628EDBC" w:rsidR="000B04B1" w:rsidRPr="007620A2" w:rsidRDefault="00E05CC1" w:rsidP="000B04B1">
      <w:pPr>
        <w:spacing w:after="0"/>
        <w:jc w:val="both"/>
        <w:rPr>
          <w:rFonts w:ascii="Times New Roman" w:hAnsi="Times New Roman" w:cs="Times New Roman"/>
          <w:sz w:val="24"/>
          <w:szCs w:val="24"/>
          <w:lang w:val="uk-UA"/>
        </w:rPr>
      </w:pPr>
      <w:r w:rsidRPr="007620A2">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0EAA41B" wp14:editId="340E8259">
                <wp:simplePos x="0" y="0"/>
                <wp:positionH relativeFrom="column">
                  <wp:posOffset>1501775</wp:posOffset>
                </wp:positionH>
                <wp:positionV relativeFrom="paragraph">
                  <wp:posOffset>71120</wp:posOffset>
                </wp:positionV>
                <wp:extent cx="571500" cy="516255"/>
                <wp:effectExtent l="38100" t="0" r="19050" b="55245"/>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16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F29E5" id="_x0000_t32" coordsize="21600,21600" o:spt="32" o:oned="t" path="m,l21600,21600e" filled="f">
                <v:path arrowok="t" fillok="f" o:connecttype="none"/>
                <o:lock v:ext="edit" shapetype="t"/>
              </v:shapetype>
              <v:shape id="AutoShape 7" o:spid="_x0000_s1026" type="#_x0000_t32" style="position:absolute;margin-left:118.25pt;margin-top:5.6pt;width:45pt;height:40.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KUPwIAAGwEAAAOAAAAZHJzL2Uyb0RvYy54bWysVMGO2jAQvVfqP1i+QxKW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">
                <v:stroke endarrow="block"/>
              </v:shape>
            </w:pict>
          </mc:Fallback>
        </mc:AlternateContent>
      </w:r>
      <w:r w:rsidRPr="007620A2">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C0F669B" wp14:editId="597E1EAF">
                <wp:simplePos x="0" y="0"/>
                <wp:positionH relativeFrom="column">
                  <wp:posOffset>4465955</wp:posOffset>
                </wp:positionH>
                <wp:positionV relativeFrom="paragraph">
                  <wp:posOffset>82549</wp:posOffset>
                </wp:positionV>
                <wp:extent cx="723900" cy="443865"/>
                <wp:effectExtent l="0" t="0" r="76200" b="51435"/>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43992" id="AutoShape 8" o:spid="_x0000_s1026" type="#_x0000_t32" style="position:absolute;margin-left:351.65pt;margin-top:6.5pt;width:57pt;height:3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neOAIAAGI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">
                <v:stroke endarrow="block"/>
              </v:shape>
            </w:pict>
          </mc:Fallback>
        </mc:AlternateContent>
      </w:r>
    </w:p>
    <w:p w14:paraId="73C2AAAD" w14:textId="148B25D1" w:rsidR="000B04B1" w:rsidRPr="007620A2" w:rsidRDefault="000B04B1" w:rsidP="000B04B1">
      <w:pPr>
        <w:spacing w:after="0"/>
        <w:jc w:val="both"/>
        <w:rPr>
          <w:rFonts w:ascii="Times New Roman" w:hAnsi="Times New Roman" w:cs="Times New Roman"/>
          <w:sz w:val="24"/>
          <w:szCs w:val="24"/>
          <w:lang w:val="uk-UA"/>
        </w:rPr>
      </w:pPr>
    </w:p>
    <w:p w14:paraId="0E1AA05E" w14:textId="13AA813E" w:rsidR="000B04B1" w:rsidRPr="007620A2" w:rsidRDefault="00E05CC1" w:rsidP="000B04B1">
      <w:pPr>
        <w:spacing w:after="0"/>
        <w:jc w:val="both"/>
        <w:rPr>
          <w:rFonts w:ascii="Times New Roman" w:hAnsi="Times New Roman" w:cs="Times New Roman"/>
          <w:sz w:val="24"/>
          <w:szCs w:val="24"/>
          <w:lang w:val="uk-UA"/>
        </w:rPr>
      </w:pPr>
      <w:r w:rsidRPr="007620A2">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5B7D4BD" wp14:editId="456A713A">
                <wp:simplePos x="0" y="0"/>
                <wp:positionH relativeFrom="column">
                  <wp:posOffset>4098290</wp:posOffset>
                </wp:positionH>
                <wp:positionV relativeFrom="paragraph">
                  <wp:posOffset>184150</wp:posOffset>
                </wp:positionV>
                <wp:extent cx="1831340" cy="548640"/>
                <wp:effectExtent l="0" t="0" r="16510" b="2286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548640"/>
                        </a:xfrm>
                        <a:prstGeom prst="roundRect">
                          <a:avLst>
                            <a:gd name="adj" fmla="val 16667"/>
                          </a:avLst>
                        </a:prstGeom>
                        <a:solidFill>
                          <a:srgbClr val="FFFFFF"/>
                        </a:solidFill>
                        <a:ln w="9525">
                          <a:solidFill>
                            <a:srgbClr val="000000"/>
                          </a:solidFill>
                          <a:round/>
                          <a:headEnd/>
                          <a:tailEnd/>
                        </a:ln>
                      </wps:spPr>
                      <wps:txbx>
                        <w:txbxContent>
                          <w:p w14:paraId="48B5E3EE" w14:textId="77777777" w:rsidR="00463074" w:rsidRPr="00425EBD" w:rsidRDefault="00463074" w:rsidP="000B04B1">
                            <w:pPr>
                              <w:spacing w:after="0"/>
                              <w:jc w:val="center"/>
                              <w:rPr>
                                <w:rFonts w:ascii="Times New Roman" w:hAnsi="Times New Roman" w:cs="Times New Roman"/>
                                <w:b/>
                                <w:lang w:val="uk-UA"/>
                              </w:rPr>
                            </w:pPr>
                            <w:r w:rsidRPr="00425EBD">
                              <w:rPr>
                                <w:rFonts w:ascii="Times New Roman" w:hAnsi="Times New Roman" w:cs="Times New Roman"/>
                                <w:b/>
                                <w:lang w:val="uk-UA"/>
                              </w:rPr>
                              <w:t>Спеціальний фонд</w:t>
                            </w:r>
                          </w:p>
                          <w:p w14:paraId="04F5FBE7" w14:textId="77777777" w:rsidR="00463074" w:rsidRPr="00425EBD" w:rsidRDefault="00463074" w:rsidP="000B04B1">
                            <w:pPr>
                              <w:spacing w:after="0"/>
                              <w:jc w:val="center"/>
                              <w:rPr>
                                <w:rFonts w:ascii="Times New Roman" w:hAnsi="Times New Roman" w:cs="Times New Roman"/>
                                <w:b/>
                                <w:lang w:val="uk-UA"/>
                              </w:rPr>
                            </w:pPr>
                            <w:r>
                              <w:rPr>
                                <w:rFonts w:ascii="Times New Roman" w:hAnsi="Times New Roman" w:cs="Times New Roman"/>
                                <w:b/>
                                <w:lang w:val="uk-UA"/>
                              </w:rPr>
                              <w:t>12 520,3 тис. грн (1,1</w:t>
                            </w:r>
                            <w:r w:rsidRPr="00425EBD">
                              <w:rPr>
                                <w:rFonts w:ascii="Times New Roman" w:hAnsi="Times New Roman" w:cs="Times New Roman"/>
                                <w:b/>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7D4BD" id="AutoShape 6" o:spid="_x0000_s1028" style="position:absolute;left:0;text-align:left;margin-left:322.7pt;margin-top:14.5pt;width:144.2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">
                <v:textbox>
                  <w:txbxContent>
                    <w:p w14:paraId="48B5E3EE" w14:textId="77777777" w:rsidR="00463074" w:rsidRPr="00425EBD" w:rsidRDefault="00463074" w:rsidP="000B04B1">
                      <w:pPr>
                        <w:spacing w:after="0"/>
                        <w:jc w:val="center"/>
                        <w:rPr>
                          <w:rFonts w:ascii="Times New Roman" w:hAnsi="Times New Roman" w:cs="Times New Roman"/>
                          <w:b/>
                          <w:lang w:val="uk-UA"/>
                        </w:rPr>
                      </w:pPr>
                      <w:r w:rsidRPr="00425EBD">
                        <w:rPr>
                          <w:rFonts w:ascii="Times New Roman" w:hAnsi="Times New Roman" w:cs="Times New Roman"/>
                          <w:b/>
                          <w:lang w:val="uk-UA"/>
                        </w:rPr>
                        <w:t>Спеціальний фонд</w:t>
                      </w:r>
                    </w:p>
                    <w:p w14:paraId="04F5FBE7" w14:textId="77777777" w:rsidR="00463074" w:rsidRPr="00425EBD" w:rsidRDefault="00463074" w:rsidP="000B04B1">
                      <w:pPr>
                        <w:spacing w:after="0"/>
                        <w:jc w:val="center"/>
                        <w:rPr>
                          <w:rFonts w:ascii="Times New Roman" w:hAnsi="Times New Roman" w:cs="Times New Roman"/>
                          <w:b/>
                          <w:lang w:val="uk-UA"/>
                        </w:rPr>
                      </w:pPr>
                      <w:r>
                        <w:rPr>
                          <w:rFonts w:ascii="Times New Roman" w:hAnsi="Times New Roman" w:cs="Times New Roman"/>
                          <w:b/>
                          <w:lang w:val="uk-UA"/>
                        </w:rPr>
                        <w:t>12 520,3 тис. грн (1,1</w:t>
                      </w:r>
                      <w:r w:rsidRPr="00425EBD">
                        <w:rPr>
                          <w:rFonts w:ascii="Times New Roman" w:hAnsi="Times New Roman" w:cs="Times New Roman"/>
                          <w:b/>
                          <w:lang w:val="uk-UA"/>
                        </w:rPr>
                        <w:t>%)</w:t>
                      </w:r>
                    </w:p>
                  </w:txbxContent>
                </v:textbox>
              </v:roundrect>
            </w:pict>
          </mc:Fallback>
        </mc:AlternateContent>
      </w:r>
    </w:p>
    <w:p w14:paraId="2E86F0D2" w14:textId="37B7AB50" w:rsidR="000B04B1" w:rsidRPr="007620A2" w:rsidRDefault="00E05CC1" w:rsidP="000B04B1">
      <w:pPr>
        <w:spacing w:after="0"/>
        <w:jc w:val="both"/>
        <w:rPr>
          <w:rFonts w:ascii="Times New Roman" w:hAnsi="Times New Roman" w:cs="Times New Roman"/>
          <w:sz w:val="24"/>
          <w:szCs w:val="24"/>
          <w:lang w:val="uk-UA"/>
        </w:rPr>
      </w:pPr>
      <w:r w:rsidRPr="007620A2">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356F44B" wp14:editId="11DD600A">
                <wp:simplePos x="0" y="0"/>
                <wp:positionH relativeFrom="column">
                  <wp:posOffset>655320</wp:posOffset>
                </wp:positionH>
                <wp:positionV relativeFrom="paragraph">
                  <wp:posOffset>9525</wp:posOffset>
                </wp:positionV>
                <wp:extent cx="2066925" cy="525780"/>
                <wp:effectExtent l="0" t="0" r="28575" b="2667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25780"/>
                        </a:xfrm>
                        <a:prstGeom prst="roundRect">
                          <a:avLst>
                            <a:gd name="adj" fmla="val 16667"/>
                          </a:avLst>
                        </a:prstGeom>
                        <a:solidFill>
                          <a:srgbClr val="FFFFFF"/>
                        </a:solidFill>
                        <a:ln w="9525">
                          <a:solidFill>
                            <a:srgbClr val="000000"/>
                          </a:solidFill>
                          <a:round/>
                          <a:headEnd/>
                          <a:tailEnd/>
                        </a:ln>
                      </wps:spPr>
                      <wps:txbx>
                        <w:txbxContent>
                          <w:p w14:paraId="2FF4489B" w14:textId="77777777" w:rsidR="00463074" w:rsidRPr="00425EBD" w:rsidRDefault="00463074" w:rsidP="000B04B1">
                            <w:pPr>
                              <w:spacing w:after="0"/>
                              <w:jc w:val="center"/>
                              <w:rPr>
                                <w:rFonts w:ascii="Times New Roman" w:hAnsi="Times New Roman" w:cs="Times New Roman"/>
                                <w:b/>
                                <w:lang w:val="uk-UA"/>
                              </w:rPr>
                            </w:pPr>
                            <w:r w:rsidRPr="00425EBD">
                              <w:rPr>
                                <w:rFonts w:ascii="Times New Roman" w:hAnsi="Times New Roman" w:cs="Times New Roman"/>
                                <w:b/>
                                <w:lang w:val="uk-UA"/>
                              </w:rPr>
                              <w:t>Загальний фонд</w:t>
                            </w:r>
                          </w:p>
                          <w:p w14:paraId="49921FE6" w14:textId="64008934" w:rsidR="00463074" w:rsidRPr="00425EBD" w:rsidRDefault="00463074" w:rsidP="000B04B1">
                            <w:pPr>
                              <w:spacing w:after="0"/>
                              <w:rPr>
                                <w:rFonts w:ascii="Times New Roman" w:hAnsi="Times New Roman" w:cs="Times New Roman"/>
                                <w:b/>
                                <w:lang w:val="uk-UA"/>
                              </w:rPr>
                            </w:pPr>
                            <w:r>
                              <w:rPr>
                                <w:rFonts w:ascii="Times New Roman" w:hAnsi="Times New Roman" w:cs="Times New Roman"/>
                                <w:b/>
                                <w:lang w:val="uk-UA"/>
                              </w:rPr>
                              <w:t xml:space="preserve">1 144 389,5 </w:t>
                            </w:r>
                            <w:r w:rsidRPr="00425EBD">
                              <w:rPr>
                                <w:rFonts w:ascii="Times New Roman" w:hAnsi="Times New Roman" w:cs="Times New Roman"/>
                                <w:b/>
                                <w:lang w:val="uk-UA"/>
                              </w:rPr>
                              <w:t>тис. грн  (</w:t>
                            </w:r>
                            <w:r>
                              <w:rPr>
                                <w:rFonts w:ascii="Times New Roman" w:hAnsi="Times New Roman" w:cs="Times New Roman"/>
                                <w:b/>
                                <w:lang w:val="uk-UA"/>
                              </w:rPr>
                              <w:t>98,9</w:t>
                            </w:r>
                            <w:r w:rsidRPr="00425EBD">
                              <w:rPr>
                                <w:rFonts w:ascii="Times New Roman" w:hAnsi="Times New Roman" w:cs="Times New Roman"/>
                                <w:b/>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6F44B" id="AutoShape 4" o:spid="_x0000_s1029" style="position:absolute;left:0;text-align:left;margin-left:51.6pt;margin-top:.75pt;width:162.7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">
                <v:textbox>
                  <w:txbxContent>
                    <w:p w14:paraId="2FF4489B" w14:textId="77777777" w:rsidR="00463074" w:rsidRPr="00425EBD" w:rsidRDefault="00463074" w:rsidP="000B04B1">
                      <w:pPr>
                        <w:spacing w:after="0"/>
                        <w:jc w:val="center"/>
                        <w:rPr>
                          <w:rFonts w:ascii="Times New Roman" w:hAnsi="Times New Roman" w:cs="Times New Roman"/>
                          <w:b/>
                          <w:lang w:val="uk-UA"/>
                        </w:rPr>
                      </w:pPr>
                      <w:r w:rsidRPr="00425EBD">
                        <w:rPr>
                          <w:rFonts w:ascii="Times New Roman" w:hAnsi="Times New Roman" w:cs="Times New Roman"/>
                          <w:b/>
                          <w:lang w:val="uk-UA"/>
                        </w:rPr>
                        <w:t>Загальний фонд</w:t>
                      </w:r>
                    </w:p>
                    <w:p w14:paraId="49921FE6" w14:textId="64008934" w:rsidR="00463074" w:rsidRPr="00425EBD" w:rsidRDefault="00463074" w:rsidP="000B04B1">
                      <w:pPr>
                        <w:spacing w:after="0"/>
                        <w:rPr>
                          <w:rFonts w:ascii="Times New Roman" w:hAnsi="Times New Roman" w:cs="Times New Roman"/>
                          <w:b/>
                          <w:lang w:val="uk-UA"/>
                        </w:rPr>
                      </w:pPr>
                      <w:r>
                        <w:rPr>
                          <w:rFonts w:ascii="Times New Roman" w:hAnsi="Times New Roman" w:cs="Times New Roman"/>
                          <w:b/>
                          <w:lang w:val="uk-UA"/>
                        </w:rPr>
                        <w:t xml:space="preserve">1 144 389,5 </w:t>
                      </w:r>
                      <w:r w:rsidRPr="00425EBD">
                        <w:rPr>
                          <w:rFonts w:ascii="Times New Roman" w:hAnsi="Times New Roman" w:cs="Times New Roman"/>
                          <w:b/>
                          <w:lang w:val="uk-UA"/>
                        </w:rPr>
                        <w:t>тис. грн  (</w:t>
                      </w:r>
                      <w:r>
                        <w:rPr>
                          <w:rFonts w:ascii="Times New Roman" w:hAnsi="Times New Roman" w:cs="Times New Roman"/>
                          <w:b/>
                          <w:lang w:val="uk-UA"/>
                        </w:rPr>
                        <w:t>98,9</w:t>
                      </w:r>
                      <w:r w:rsidRPr="00425EBD">
                        <w:rPr>
                          <w:rFonts w:ascii="Times New Roman" w:hAnsi="Times New Roman" w:cs="Times New Roman"/>
                          <w:b/>
                          <w:lang w:val="uk-UA"/>
                        </w:rPr>
                        <w:t>%)</w:t>
                      </w:r>
                    </w:p>
                  </w:txbxContent>
                </v:textbox>
              </v:roundrect>
            </w:pict>
          </mc:Fallback>
        </mc:AlternateContent>
      </w:r>
    </w:p>
    <w:p w14:paraId="09D16463" w14:textId="5F038E0C" w:rsidR="000B04B1" w:rsidRPr="007620A2" w:rsidRDefault="000B04B1" w:rsidP="000B04B1">
      <w:pPr>
        <w:spacing w:after="0"/>
        <w:jc w:val="both"/>
        <w:rPr>
          <w:rFonts w:ascii="Times New Roman" w:hAnsi="Times New Roman" w:cs="Times New Roman"/>
          <w:sz w:val="24"/>
          <w:szCs w:val="24"/>
          <w:lang w:val="uk-UA"/>
        </w:rPr>
      </w:pPr>
    </w:p>
    <w:p w14:paraId="4104D101" w14:textId="1E74C4C0" w:rsidR="000B04B1" w:rsidRPr="007620A2" w:rsidRDefault="000B04B1" w:rsidP="000B04B1">
      <w:pPr>
        <w:spacing w:after="0"/>
        <w:jc w:val="center"/>
        <w:rPr>
          <w:rFonts w:ascii="Times New Roman" w:hAnsi="Times New Roman" w:cs="Times New Roman"/>
          <w:b/>
          <w:sz w:val="24"/>
          <w:szCs w:val="24"/>
          <w:u w:val="single"/>
          <w:lang w:val="uk-UA"/>
        </w:rPr>
      </w:pPr>
    </w:p>
    <w:p w14:paraId="70D2DF30" w14:textId="00ACBAF1" w:rsidR="000B04B1" w:rsidRPr="007620A2" w:rsidRDefault="00E05CC1" w:rsidP="000B04B1">
      <w:pPr>
        <w:spacing w:after="0"/>
        <w:jc w:val="center"/>
        <w:rPr>
          <w:rFonts w:ascii="Times New Roman" w:hAnsi="Times New Roman" w:cs="Times New Roman"/>
          <w:b/>
          <w:sz w:val="24"/>
          <w:szCs w:val="24"/>
          <w:u w:val="single"/>
          <w:lang w:val="uk-UA"/>
        </w:rPr>
      </w:pPr>
      <w:r w:rsidRPr="007620A2">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720088B" wp14:editId="6FDA5EAC">
                <wp:simplePos x="0" y="0"/>
                <wp:positionH relativeFrom="column">
                  <wp:posOffset>1472723</wp:posOffset>
                </wp:positionH>
                <wp:positionV relativeFrom="paragraph">
                  <wp:posOffset>154148</wp:posOffset>
                </wp:positionV>
                <wp:extent cx="505779" cy="45719"/>
                <wp:effectExtent l="39687" t="0" r="67628" b="67627"/>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05779" cy="4571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F191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15.95pt;margin-top:12.15pt;width:39.85pt;height:3.6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">
                <v:stroke endarrow="block"/>
              </v:shape>
            </w:pict>
          </mc:Fallback>
        </mc:AlternateContent>
      </w:r>
    </w:p>
    <w:p w14:paraId="64C92DBF" w14:textId="31FF2685" w:rsidR="000B04B1" w:rsidRPr="007620A2" w:rsidRDefault="000B04B1" w:rsidP="000B04B1">
      <w:pPr>
        <w:spacing w:after="0"/>
        <w:jc w:val="center"/>
        <w:rPr>
          <w:rFonts w:ascii="Times New Roman" w:hAnsi="Times New Roman" w:cs="Times New Roman"/>
          <w:b/>
          <w:sz w:val="24"/>
          <w:szCs w:val="24"/>
          <w:u w:val="single"/>
          <w:lang w:val="uk-UA"/>
        </w:rPr>
      </w:pPr>
    </w:p>
    <w:p w14:paraId="0BCA5828" w14:textId="2475945C" w:rsidR="000B04B1" w:rsidRPr="007620A2" w:rsidRDefault="00E05CC1" w:rsidP="000B04B1">
      <w:pPr>
        <w:spacing w:after="0"/>
        <w:jc w:val="center"/>
        <w:rPr>
          <w:rFonts w:ascii="Times New Roman" w:hAnsi="Times New Roman" w:cs="Times New Roman"/>
          <w:b/>
          <w:sz w:val="24"/>
          <w:szCs w:val="24"/>
          <w:u w:val="single"/>
          <w:lang w:val="uk-UA"/>
        </w:rPr>
      </w:pPr>
      <w:r w:rsidRPr="007620A2">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A35AA10" wp14:editId="34C808CC">
                <wp:simplePos x="0" y="0"/>
                <wp:positionH relativeFrom="column">
                  <wp:posOffset>495300</wp:posOffset>
                </wp:positionH>
                <wp:positionV relativeFrom="paragraph">
                  <wp:posOffset>29845</wp:posOffset>
                </wp:positionV>
                <wp:extent cx="2373630" cy="929640"/>
                <wp:effectExtent l="0" t="0" r="26670" b="22860"/>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3630" cy="929640"/>
                        </a:xfrm>
                        <a:prstGeom prst="roundRect">
                          <a:avLst>
                            <a:gd name="adj" fmla="val 16667"/>
                          </a:avLst>
                        </a:prstGeom>
                        <a:solidFill>
                          <a:srgbClr val="FFFFFF"/>
                        </a:solidFill>
                        <a:ln w="9525">
                          <a:solidFill>
                            <a:srgbClr val="000000"/>
                          </a:solidFill>
                          <a:round/>
                          <a:headEnd/>
                          <a:tailEnd/>
                        </a:ln>
                      </wps:spPr>
                      <wps:txbx>
                        <w:txbxContent>
                          <w:p w14:paraId="47250475" w14:textId="77777777" w:rsidR="00463074" w:rsidRPr="00C86729" w:rsidRDefault="00463074" w:rsidP="000B04B1">
                            <w:pPr>
                              <w:spacing w:after="0"/>
                              <w:jc w:val="center"/>
                              <w:rPr>
                                <w:rFonts w:ascii="Times New Roman" w:hAnsi="Times New Roman" w:cs="Times New Roman"/>
                                <w:b/>
                                <w:lang w:val="uk-UA"/>
                              </w:rPr>
                            </w:pPr>
                            <w:r w:rsidRPr="00C86729">
                              <w:rPr>
                                <w:rFonts w:ascii="Times New Roman" w:hAnsi="Times New Roman" w:cs="Times New Roman"/>
                                <w:b/>
                                <w:lang w:val="uk-UA"/>
                              </w:rPr>
                              <w:t xml:space="preserve">Субвенції з бюджетів різного рівня  - </w:t>
                            </w:r>
                          </w:p>
                          <w:p w14:paraId="7228CDCC" w14:textId="3827D1C7" w:rsidR="00463074" w:rsidRDefault="00463074" w:rsidP="00E05CC1">
                            <w:pPr>
                              <w:spacing w:after="0"/>
                              <w:jc w:val="center"/>
                              <w:rPr>
                                <w:rFonts w:ascii="Times New Roman" w:hAnsi="Times New Roman" w:cs="Times New Roman"/>
                                <w:b/>
                                <w:lang w:val="uk-UA"/>
                              </w:rPr>
                            </w:pPr>
                            <w:r>
                              <w:rPr>
                                <w:rFonts w:ascii="Times New Roman" w:hAnsi="Times New Roman" w:cs="Times New Roman"/>
                                <w:b/>
                                <w:lang w:val="uk-UA"/>
                              </w:rPr>
                              <w:t xml:space="preserve">107 349,3 </w:t>
                            </w:r>
                            <w:r w:rsidRPr="00C86729">
                              <w:rPr>
                                <w:rFonts w:ascii="Times New Roman" w:hAnsi="Times New Roman" w:cs="Times New Roman"/>
                                <w:b/>
                                <w:lang w:val="uk-UA"/>
                              </w:rPr>
                              <w:t>тис. грн</w:t>
                            </w:r>
                            <w:r>
                              <w:rPr>
                                <w:rFonts w:ascii="Times New Roman" w:hAnsi="Times New Roman" w:cs="Times New Roman"/>
                                <w:b/>
                                <w:lang w:val="uk-UA"/>
                              </w:rPr>
                              <w:t xml:space="preserve">, </w:t>
                            </w:r>
                            <w:r w:rsidRPr="00C86729">
                              <w:rPr>
                                <w:rFonts w:ascii="Times New Roman" w:hAnsi="Times New Roman" w:cs="Times New Roman"/>
                                <w:b/>
                                <w:lang w:val="uk-UA"/>
                              </w:rPr>
                              <w:t xml:space="preserve"> </w:t>
                            </w:r>
                            <w:r>
                              <w:rPr>
                                <w:rFonts w:ascii="Times New Roman" w:hAnsi="Times New Roman" w:cs="Times New Roman"/>
                                <w:b/>
                                <w:i/>
                                <w:sz w:val="18"/>
                                <w:szCs w:val="18"/>
                                <w:lang w:val="uk-UA"/>
                              </w:rPr>
                              <w:t>у</w:t>
                            </w:r>
                            <w:r w:rsidRPr="003445A4">
                              <w:rPr>
                                <w:rFonts w:ascii="Times New Roman" w:hAnsi="Times New Roman" w:cs="Times New Roman"/>
                                <w:b/>
                                <w:i/>
                                <w:sz w:val="18"/>
                                <w:szCs w:val="18"/>
                                <w:lang w:val="uk-UA"/>
                              </w:rPr>
                              <w:t>.</w:t>
                            </w:r>
                            <w:r>
                              <w:rPr>
                                <w:rFonts w:ascii="Times New Roman" w:hAnsi="Times New Roman" w:cs="Times New Roman"/>
                                <w:b/>
                                <w:i/>
                                <w:sz w:val="18"/>
                                <w:szCs w:val="18"/>
                                <w:lang w:val="uk-UA"/>
                              </w:rPr>
                              <w:t xml:space="preserve"> </w:t>
                            </w:r>
                            <w:r w:rsidRPr="003445A4">
                              <w:rPr>
                                <w:rFonts w:ascii="Times New Roman" w:hAnsi="Times New Roman" w:cs="Times New Roman"/>
                                <w:b/>
                                <w:i/>
                                <w:sz w:val="18"/>
                                <w:szCs w:val="18"/>
                                <w:lang w:val="uk-UA"/>
                              </w:rPr>
                              <w:t>т</w:t>
                            </w:r>
                            <w:r>
                              <w:rPr>
                                <w:rFonts w:ascii="Times New Roman" w:hAnsi="Times New Roman" w:cs="Times New Roman"/>
                                <w:b/>
                                <w:i/>
                                <w:sz w:val="18"/>
                                <w:szCs w:val="18"/>
                                <w:lang w:val="uk-UA"/>
                              </w:rPr>
                              <w:t xml:space="preserve"> </w:t>
                            </w:r>
                            <w:r w:rsidRPr="003445A4">
                              <w:rPr>
                                <w:rFonts w:ascii="Times New Roman" w:hAnsi="Times New Roman" w:cs="Times New Roman"/>
                                <w:b/>
                                <w:i/>
                                <w:sz w:val="18"/>
                                <w:szCs w:val="18"/>
                                <w:lang w:val="uk-UA"/>
                              </w:rPr>
                              <w:t xml:space="preserve">.ч. освітня </w:t>
                            </w:r>
                            <w:r>
                              <w:rPr>
                                <w:rFonts w:ascii="Times New Roman" w:hAnsi="Times New Roman" w:cs="Times New Roman"/>
                                <w:b/>
                                <w:i/>
                                <w:sz w:val="18"/>
                                <w:szCs w:val="18"/>
                                <w:lang w:val="uk-UA"/>
                              </w:rPr>
                              <w:t>103 011,5  тис. грн</w:t>
                            </w:r>
                          </w:p>
                          <w:p w14:paraId="226C0E63" w14:textId="77777777" w:rsidR="00463074" w:rsidRPr="003746FC" w:rsidRDefault="00463074" w:rsidP="000B04B1">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5AA10" id="AutoShape 5" o:spid="_x0000_s1030" style="position:absolute;left:0;text-align:left;margin-left:39pt;margin-top:2.35pt;width:186.9pt;height:7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">
                <v:textbox>
                  <w:txbxContent>
                    <w:p w14:paraId="47250475" w14:textId="77777777" w:rsidR="00463074" w:rsidRPr="00C86729" w:rsidRDefault="00463074" w:rsidP="000B04B1">
                      <w:pPr>
                        <w:spacing w:after="0"/>
                        <w:jc w:val="center"/>
                        <w:rPr>
                          <w:rFonts w:ascii="Times New Roman" w:hAnsi="Times New Roman" w:cs="Times New Roman"/>
                          <w:b/>
                          <w:lang w:val="uk-UA"/>
                        </w:rPr>
                      </w:pPr>
                      <w:r w:rsidRPr="00C86729">
                        <w:rPr>
                          <w:rFonts w:ascii="Times New Roman" w:hAnsi="Times New Roman" w:cs="Times New Roman"/>
                          <w:b/>
                          <w:lang w:val="uk-UA"/>
                        </w:rPr>
                        <w:t xml:space="preserve">Субвенції з бюджетів різного рівня  - </w:t>
                      </w:r>
                    </w:p>
                    <w:p w14:paraId="7228CDCC" w14:textId="3827D1C7" w:rsidR="00463074" w:rsidRDefault="00463074" w:rsidP="00E05CC1">
                      <w:pPr>
                        <w:spacing w:after="0"/>
                        <w:jc w:val="center"/>
                        <w:rPr>
                          <w:rFonts w:ascii="Times New Roman" w:hAnsi="Times New Roman" w:cs="Times New Roman"/>
                          <w:b/>
                          <w:lang w:val="uk-UA"/>
                        </w:rPr>
                      </w:pPr>
                      <w:r>
                        <w:rPr>
                          <w:rFonts w:ascii="Times New Roman" w:hAnsi="Times New Roman" w:cs="Times New Roman"/>
                          <w:b/>
                          <w:lang w:val="uk-UA"/>
                        </w:rPr>
                        <w:t xml:space="preserve">107 349,3 </w:t>
                      </w:r>
                      <w:r w:rsidRPr="00C86729">
                        <w:rPr>
                          <w:rFonts w:ascii="Times New Roman" w:hAnsi="Times New Roman" w:cs="Times New Roman"/>
                          <w:b/>
                          <w:lang w:val="uk-UA"/>
                        </w:rPr>
                        <w:t>тис. грн</w:t>
                      </w:r>
                      <w:r>
                        <w:rPr>
                          <w:rFonts w:ascii="Times New Roman" w:hAnsi="Times New Roman" w:cs="Times New Roman"/>
                          <w:b/>
                          <w:lang w:val="uk-UA"/>
                        </w:rPr>
                        <w:t xml:space="preserve">, </w:t>
                      </w:r>
                      <w:r w:rsidRPr="00C86729">
                        <w:rPr>
                          <w:rFonts w:ascii="Times New Roman" w:hAnsi="Times New Roman" w:cs="Times New Roman"/>
                          <w:b/>
                          <w:lang w:val="uk-UA"/>
                        </w:rPr>
                        <w:t xml:space="preserve"> </w:t>
                      </w:r>
                      <w:r>
                        <w:rPr>
                          <w:rFonts w:ascii="Times New Roman" w:hAnsi="Times New Roman" w:cs="Times New Roman"/>
                          <w:b/>
                          <w:i/>
                          <w:sz w:val="18"/>
                          <w:szCs w:val="18"/>
                          <w:lang w:val="uk-UA"/>
                        </w:rPr>
                        <w:t>у</w:t>
                      </w:r>
                      <w:r w:rsidRPr="003445A4">
                        <w:rPr>
                          <w:rFonts w:ascii="Times New Roman" w:hAnsi="Times New Roman" w:cs="Times New Roman"/>
                          <w:b/>
                          <w:i/>
                          <w:sz w:val="18"/>
                          <w:szCs w:val="18"/>
                          <w:lang w:val="uk-UA"/>
                        </w:rPr>
                        <w:t>.</w:t>
                      </w:r>
                      <w:r>
                        <w:rPr>
                          <w:rFonts w:ascii="Times New Roman" w:hAnsi="Times New Roman" w:cs="Times New Roman"/>
                          <w:b/>
                          <w:i/>
                          <w:sz w:val="18"/>
                          <w:szCs w:val="18"/>
                          <w:lang w:val="uk-UA"/>
                        </w:rPr>
                        <w:t xml:space="preserve"> </w:t>
                      </w:r>
                      <w:r w:rsidRPr="003445A4">
                        <w:rPr>
                          <w:rFonts w:ascii="Times New Roman" w:hAnsi="Times New Roman" w:cs="Times New Roman"/>
                          <w:b/>
                          <w:i/>
                          <w:sz w:val="18"/>
                          <w:szCs w:val="18"/>
                          <w:lang w:val="uk-UA"/>
                        </w:rPr>
                        <w:t>т</w:t>
                      </w:r>
                      <w:r>
                        <w:rPr>
                          <w:rFonts w:ascii="Times New Roman" w:hAnsi="Times New Roman" w:cs="Times New Roman"/>
                          <w:b/>
                          <w:i/>
                          <w:sz w:val="18"/>
                          <w:szCs w:val="18"/>
                          <w:lang w:val="uk-UA"/>
                        </w:rPr>
                        <w:t xml:space="preserve"> </w:t>
                      </w:r>
                      <w:r w:rsidRPr="003445A4">
                        <w:rPr>
                          <w:rFonts w:ascii="Times New Roman" w:hAnsi="Times New Roman" w:cs="Times New Roman"/>
                          <w:b/>
                          <w:i/>
                          <w:sz w:val="18"/>
                          <w:szCs w:val="18"/>
                          <w:lang w:val="uk-UA"/>
                        </w:rPr>
                        <w:t xml:space="preserve">.ч. освітня </w:t>
                      </w:r>
                      <w:r>
                        <w:rPr>
                          <w:rFonts w:ascii="Times New Roman" w:hAnsi="Times New Roman" w:cs="Times New Roman"/>
                          <w:b/>
                          <w:i/>
                          <w:sz w:val="18"/>
                          <w:szCs w:val="18"/>
                          <w:lang w:val="uk-UA"/>
                        </w:rPr>
                        <w:t>103 011,5  тис. грн</w:t>
                      </w:r>
                    </w:p>
                    <w:p w14:paraId="226C0E63" w14:textId="77777777" w:rsidR="00463074" w:rsidRPr="003746FC" w:rsidRDefault="00463074" w:rsidP="000B04B1">
                      <w:pPr>
                        <w:rPr>
                          <w:lang w:val="uk-UA"/>
                        </w:rPr>
                      </w:pPr>
                    </w:p>
                  </w:txbxContent>
                </v:textbox>
              </v:roundrect>
            </w:pict>
          </mc:Fallback>
        </mc:AlternateContent>
      </w:r>
    </w:p>
    <w:p w14:paraId="32BC89B2" w14:textId="77777777" w:rsidR="00E05CC1" w:rsidRDefault="00E05CC1" w:rsidP="000B04B1">
      <w:pPr>
        <w:spacing w:after="0"/>
        <w:jc w:val="center"/>
        <w:rPr>
          <w:rFonts w:ascii="Times New Roman" w:hAnsi="Times New Roman" w:cs="Times New Roman"/>
          <w:b/>
          <w:sz w:val="24"/>
          <w:szCs w:val="24"/>
          <w:u w:val="single"/>
          <w:lang w:val="uk-UA"/>
        </w:rPr>
      </w:pPr>
    </w:p>
    <w:p w14:paraId="05FB363A" w14:textId="77777777" w:rsidR="00E05CC1" w:rsidRDefault="00E05CC1" w:rsidP="000B04B1">
      <w:pPr>
        <w:spacing w:after="0"/>
        <w:jc w:val="center"/>
        <w:rPr>
          <w:rFonts w:ascii="Times New Roman" w:hAnsi="Times New Roman" w:cs="Times New Roman"/>
          <w:b/>
          <w:sz w:val="24"/>
          <w:szCs w:val="24"/>
          <w:u w:val="single"/>
          <w:lang w:val="uk-UA"/>
        </w:rPr>
      </w:pPr>
    </w:p>
    <w:p w14:paraId="115C0A44" w14:textId="77777777" w:rsidR="00E05CC1" w:rsidRDefault="00E05CC1" w:rsidP="000B04B1">
      <w:pPr>
        <w:spacing w:after="0"/>
        <w:jc w:val="center"/>
        <w:rPr>
          <w:rFonts w:ascii="Times New Roman" w:hAnsi="Times New Roman" w:cs="Times New Roman"/>
          <w:b/>
          <w:sz w:val="24"/>
          <w:szCs w:val="24"/>
          <w:u w:val="single"/>
          <w:lang w:val="uk-UA"/>
        </w:rPr>
      </w:pPr>
    </w:p>
    <w:p w14:paraId="13029937" w14:textId="77777777" w:rsidR="00E05CC1" w:rsidRDefault="00E05CC1" w:rsidP="000B04B1">
      <w:pPr>
        <w:spacing w:after="0"/>
        <w:jc w:val="center"/>
        <w:rPr>
          <w:rFonts w:ascii="Times New Roman" w:hAnsi="Times New Roman" w:cs="Times New Roman"/>
          <w:b/>
          <w:sz w:val="24"/>
          <w:szCs w:val="24"/>
          <w:u w:val="single"/>
          <w:lang w:val="uk-UA"/>
        </w:rPr>
      </w:pPr>
    </w:p>
    <w:p w14:paraId="65BC8388" w14:textId="77777777" w:rsidR="00E05CC1" w:rsidRDefault="00E05CC1" w:rsidP="000B04B1">
      <w:pPr>
        <w:spacing w:after="0"/>
        <w:jc w:val="center"/>
        <w:rPr>
          <w:rFonts w:ascii="Times New Roman" w:hAnsi="Times New Roman" w:cs="Times New Roman"/>
          <w:b/>
          <w:sz w:val="24"/>
          <w:szCs w:val="24"/>
          <w:u w:val="single"/>
          <w:lang w:val="uk-UA"/>
        </w:rPr>
      </w:pPr>
    </w:p>
    <w:p w14:paraId="6CA49FBD" w14:textId="77777777" w:rsidR="000B04B1" w:rsidRPr="007620A2" w:rsidRDefault="000B04B1" w:rsidP="000B04B1">
      <w:pPr>
        <w:spacing w:after="0"/>
        <w:jc w:val="center"/>
        <w:rPr>
          <w:rFonts w:ascii="Times New Roman" w:hAnsi="Times New Roman" w:cs="Times New Roman"/>
          <w:b/>
          <w:sz w:val="24"/>
          <w:szCs w:val="24"/>
          <w:u w:val="single"/>
          <w:lang w:val="uk-UA"/>
        </w:rPr>
      </w:pPr>
      <w:r w:rsidRPr="007620A2">
        <w:rPr>
          <w:rFonts w:ascii="Times New Roman" w:hAnsi="Times New Roman" w:cs="Times New Roman"/>
          <w:b/>
          <w:sz w:val="24"/>
          <w:szCs w:val="24"/>
          <w:u w:val="single"/>
          <w:lang w:val="uk-UA"/>
        </w:rPr>
        <w:t>ЗАГАЛЬНИЙ ФОНД</w:t>
      </w:r>
    </w:p>
    <w:p w14:paraId="1270D780" w14:textId="77777777" w:rsidR="000B04B1" w:rsidRPr="007620A2" w:rsidRDefault="000B04B1" w:rsidP="000B04B1">
      <w:pPr>
        <w:spacing w:after="0"/>
        <w:jc w:val="center"/>
        <w:rPr>
          <w:rFonts w:ascii="Times New Roman" w:hAnsi="Times New Roman" w:cs="Times New Roman"/>
          <w:sz w:val="24"/>
          <w:szCs w:val="24"/>
          <w:lang w:val="uk-UA"/>
        </w:rPr>
      </w:pPr>
      <w:r w:rsidRPr="007620A2">
        <w:rPr>
          <w:rFonts w:ascii="Times New Roman" w:hAnsi="Times New Roman" w:cs="Times New Roman"/>
          <w:b/>
          <w:bCs/>
          <w:sz w:val="24"/>
          <w:szCs w:val="24"/>
          <w:lang w:val="uk-UA"/>
        </w:rPr>
        <w:t>Структура надходжень до загального фонду</w:t>
      </w:r>
    </w:p>
    <w:p w14:paraId="0E0811BD" w14:textId="322DD33D" w:rsidR="000B04B1" w:rsidRDefault="000B04B1" w:rsidP="000B04B1">
      <w:pPr>
        <w:spacing w:after="0"/>
        <w:jc w:val="center"/>
        <w:rPr>
          <w:rFonts w:ascii="Times New Roman" w:hAnsi="Times New Roman" w:cs="Times New Roman"/>
          <w:b/>
          <w:bCs/>
          <w:sz w:val="24"/>
          <w:szCs w:val="24"/>
          <w:lang w:val="uk-UA"/>
        </w:rPr>
      </w:pPr>
      <w:r w:rsidRPr="007620A2">
        <w:rPr>
          <w:rFonts w:ascii="Times New Roman" w:hAnsi="Times New Roman" w:cs="Times New Roman"/>
          <w:b/>
          <w:bCs/>
          <w:sz w:val="24"/>
          <w:szCs w:val="24"/>
          <w:lang w:val="uk-UA"/>
        </w:rPr>
        <w:t>у 2025 році (без врахування</w:t>
      </w:r>
      <w:r w:rsidR="00E05CC1">
        <w:rPr>
          <w:rFonts w:ascii="Times New Roman" w:hAnsi="Times New Roman" w:cs="Times New Roman"/>
          <w:b/>
          <w:bCs/>
          <w:sz w:val="24"/>
          <w:szCs w:val="24"/>
          <w:lang w:val="uk-UA"/>
        </w:rPr>
        <w:t xml:space="preserve"> субвенцій) –  1 037,0 млн. грн</w:t>
      </w:r>
    </w:p>
    <w:p w14:paraId="16AFDE97" w14:textId="77777777" w:rsidR="001C1CD4" w:rsidRDefault="001C1CD4" w:rsidP="000B04B1">
      <w:pPr>
        <w:spacing w:after="0"/>
        <w:jc w:val="center"/>
        <w:rPr>
          <w:rFonts w:ascii="Times New Roman" w:hAnsi="Times New Roman" w:cs="Times New Roman"/>
          <w:b/>
          <w:bCs/>
          <w:sz w:val="24"/>
          <w:szCs w:val="24"/>
          <w:lang w:val="uk-UA"/>
        </w:rPr>
      </w:pPr>
    </w:p>
    <w:p w14:paraId="276EE3EC" w14:textId="4C4B6F30" w:rsidR="00E05CC1" w:rsidRPr="007620A2" w:rsidRDefault="001C1CD4" w:rsidP="000B04B1">
      <w:pPr>
        <w:spacing w:after="0"/>
        <w:jc w:val="center"/>
        <w:rPr>
          <w:rFonts w:ascii="Times New Roman" w:hAnsi="Times New Roman" w:cs="Times New Roman"/>
          <w:b/>
          <w:bCs/>
          <w:sz w:val="24"/>
          <w:szCs w:val="24"/>
          <w:lang w:val="uk-UA"/>
        </w:rPr>
      </w:pPr>
      <w:r w:rsidRPr="007620A2">
        <w:rPr>
          <w:rFonts w:ascii="Times New Roman" w:hAnsi="Times New Roman" w:cs="Times New Roman"/>
          <w:noProof/>
          <w:sz w:val="24"/>
          <w:szCs w:val="24"/>
          <w:u w:val="single"/>
          <w:lang w:eastAsia="ru-RU"/>
        </w:rPr>
        <w:drawing>
          <wp:inline distT="0" distB="0" distL="0" distR="0" wp14:anchorId="04F55E0E" wp14:editId="5425FBDA">
            <wp:extent cx="6273800" cy="2834640"/>
            <wp:effectExtent l="0" t="0" r="12700" b="381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07CB2D" w14:textId="762D0306" w:rsidR="000B04B1" w:rsidRPr="007620A2" w:rsidRDefault="000B04B1" w:rsidP="000B04B1">
      <w:pPr>
        <w:spacing w:after="0"/>
        <w:ind w:left="-567"/>
        <w:jc w:val="center"/>
        <w:rPr>
          <w:rFonts w:ascii="Times New Roman" w:hAnsi="Times New Roman" w:cs="Times New Roman"/>
          <w:b/>
          <w:bCs/>
          <w:sz w:val="24"/>
          <w:szCs w:val="24"/>
          <w:lang w:val="uk-UA"/>
        </w:rPr>
      </w:pPr>
    </w:p>
    <w:p w14:paraId="071F37F9" w14:textId="77777777" w:rsidR="001C1CD4" w:rsidRDefault="001C1CD4" w:rsidP="000B04B1">
      <w:pPr>
        <w:spacing w:after="0" w:line="240" w:lineRule="auto"/>
        <w:ind w:firstLine="567"/>
        <w:jc w:val="both"/>
        <w:rPr>
          <w:rFonts w:ascii="Times New Roman" w:hAnsi="Times New Roman" w:cs="Times New Roman"/>
          <w:sz w:val="24"/>
          <w:szCs w:val="24"/>
          <w:lang w:val="uk-UA"/>
        </w:rPr>
      </w:pPr>
    </w:p>
    <w:p w14:paraId="786FA442"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Основним джерелом надходжень загального фонду є </w:t>
      </w:r>
      <w:r w:rsidRPr="007620A2">
        <w:rPr>
          <w:rFonts w:ascii="Times New Roman" w:hAnsi="Times New Roman" w:cs="Times New Roman"/>
          <w:b/>
          <w:sz w:val="24"/>
          <w:szCs w:val="24"/>
          <w:lang w:val="uk-UA"/>
        </w:rPr>
        <w:t>податок на доходи фізичних осіб</w:t>
      </w:r>
      <w:r w:rsidRPr="007620A2">
        <w:rPr>
          <w:rFonts w:ascii="Times New Roman" w:hAnsi="Times New Roman" w:cs="Times New Roman"/>
          <w:sz w:val="24"/>
          <w:szCs w:val="24"/>
          <w:lang w:val="uk-UA"/>
        </w:rPr>
        <w:t>, що становить 59,9 % від прогнозного показника доходів загального фонду 2025 року (без субвенцій).</w:t>
      </w:r>
    </w:p>
    <w:p w14:paraId="6DFD6BD0" w14:textId="77777777" w:rsidR="000B04B1" w:rsidRPr="007620A2" w:rsidRDefault="000B04B1" w:rsidP="000B04B1">
      <w:pPr>
        <w:pStyle w:val="rvps2"/>
        <w:spacing w:before="0" w:beforeAutospacing="0" w:after="0" w:afterAutospacing="0"/>
        <w:ind w:firstLine="567"/>
        <w:jc w:val="both"/>
        <w:rPr>
          <w:lang w:val="uk-UA"/>
        </w:rPr>
      </w:pPr>
      <w:r w:rsidRPr="007620A2">
        <w:rPr>
          <w:color w:val="000000" w:themeColor="text1"/>
          <w:shd w:val="clear" w:color="auto" w:fill="FFFFFF"/>
          <w:lang w:val="uk-UA"/>
        </w:rPr>
        <w:t>Відповідно до п</w:t>
      </w:r>
      <w:r w:rsidRPr="007620A2">
        <w:rPr>
          <w:rStyle w:val="rvts11"/>
          <w:rFonts w:eastAsiaTheme="majorEastAsia"/>
          <w:iCs/>
          <w:lang w:val="uk-UA"/>
        </w:rPr>
        <w:t>ункту 1 частини першої статті 64 Бюджетного кодексу України  д</w:t>
      </w:r>
      <w:r w:rsidRPr="007620A2">
        <w:rPr>
          <w:lang w:val="uk-UA"/>
        </w:rPr>
        <w:t xml:space="preserve">о доходів загального фонду бюджетів сільських, селищних, міських територіальних громад належить, зокрема, </w:t>
      </w:r>
      <w:bookmarkStart w:id="2" w:name="n2142"/>
      <w:bookmarkStart w:id="3" w:name="n1017"/>
      <w:bookmarkEnd w:id="2"/>
      <w:bookmarkEnd w:id="3"/>
      <w:r w:rsidRPr="007620A2">
        <w:rPr>
          <w:lang w:val="uk-UA"/>
        </w:rPr>
        <w:t xml:space="preserve"> 60 відсотків податку на доходи фізичних осіб (крім податку на доходи фізичних осіб, визначеного </w:t>
      </w:r>
      <w:hyperlink r:id="rId20" w:anchor="n2015" w:history="1">
        <w:r w:rsidRPr="007620A2">
          <w:rPr>
            <w:rStyle w:val="ab"/>
            <w:color w:val="auto"/>
            <w:u w:val="none"/>
            <w:lang w:val="uk-UA"/>
          </w:rPr>
          <w:t>пунктом 1</w:t>
        </w:r>
      </w:hyperlink>
      <w:hyperlink r:id="rId21" w:anchor="n2015" w:history="1">
        <w:r w:rsidRPr="007620A2">
          <w:rPr>
            <w:rStyle w:val="ab"/>
            <w:color w:val="auto"/>
            <w:sz w:val="2"/>
            <w:szCs w:val="2"/>
            <w:u w:val="none"/>
            <w:lang w:val="uk-UA"/>
          </w:rPr>
          <w:t>-</w:t>
        </w:r>
        <w:r w:rsidRPr="007620A2">
          <w:rPr>
            <w:rStyle w:val="ab"/>
            <w:color w:val="auto"/>
            <w:u w:val="none"/>
            <w:lang w:val="uk-UA"/>
          </w:rPr>
          <w:t>1</w:t>
        </w:r>
      </w:hyperlink>
      <w:r w:rsidRPr="007620A2">
        <w:rPr>
          <w:lang w:val="uk-UA"/>
        </w:rPr>
        <w:t xml:space="preserve"> частини другої статті 29 цього Кодексу), що сплачується (перераховується) згідно з </w:t>
      </w:r>
      <w:hyperlink r:id="rId22" w:tgtFrame="_blank" w:history="1">
        <w:r w:rsidRPr="007620A2">
          <w:rPr>
            <w:rStyle w:val="ab"/>
            <w:color w:val="auto"/>
            <w:u w:val="none"/>
            <w:lang w:val="uk-UA"/>
          </w:rPr>
          <w:t>Податковим кодексом України</w:t>
        </w:r>
      </w:hyperlink>
      <w:r w:rsidRPr="007620A2">
        <w:rPr>
          <w:lang w:val="uk-UA"/>
        </w:rPr>
        <w:t xml:space="preserve"> на відповідній території (крім території міст Києва та Севастополя).</w:t>
      </w:r>
    </w:p>
    <w:p w14:paraId="216BC00D" w14:textId="293807D3" w:rsidR="001C1CD4" w:rsidRPr="00F0328A" w:rsidRDefault="000B04B1" w:rsidP="003F7140">
      <w:pPr>
        <w:spacing w:after="0" w:line="240" w:lineRule="auto"/>
        <w:ind w:firstLine="567"/>
        <w:jc w:val="both"/>
        <w:rPr>
          <w:rStyle w:val="rvts0"/>
          <w:rFonts w:ascii="Times New Roman" w:hAnsi="Times New Roman" w:cs="Times New Roman"/>
          <w:color w:val="000000" w:themeColor="text1"/>
          <w:sz w:val="24"/>
          <w:szCs w:val="24"/>
          <w:lang w:val="uk-UA"/>
        </w:rPr>
      </w:pPr>
      <w:r w:rsidRPr="007620A2">
        <w:rPr>
          <w:rFonts w:ascii="Times New Roman" w:hAnsi="Times New Roman" w:cs="Times New Roman"/>
          <w:color w:val="000000" w:themeColor="text1"/>
          <w:sz w:val="24"/>
          <w:szCs w:val="24"/>
          <w:shd w:val="clear" w:color="auto" w:fill="FFFFFF"/>
          <w:lang w:val="uk-UA"/>
        </w:rPr>
        <w:t xml:space="preserve">Проте, </w:t>
      </w:r>
      <w:r w:rsidR="001C1CD4">
        <w:rPr>
          <w:rFonts w:ascii="Times New Roman" w:hAnsi="Times New Roman" w:cs="Times New Roman"/>
          <w:color w:val="000000" w:themeColor="text1"/>
          <w:sz w:val="24"/>
          <w:szCs w:val="24"/>
          <w:shd w:val="clear" w:color="auto" w:fill="FFFFFF"/>
          <w:lang w:val="uk-UA"/>
        </w:rPr>
        <w:t xml:space="preserve">статтею </w:t>
      </w:r>
      <w:r w:rsidR="001C1CD4" w:rsidRPr="007620A2">
        <w:rPr>
          <w:rFonts w:ascii="Times New Roman" w:hAnsi="Times New Roman" w:cs="Times New Roman"/>
          <w:color w:val="000000" w:themeColor="text1"/>
          <w:sz w:val="24"/>
          <w:szCs w:val="24"/>
          <w:shd w:val="clear" w:color="auto" w:fill="FFFFFF"/>
          <w:lang w:val="uk-UA"/>
        </w:rPr>
        <w:t xml:space="preserve">49 Закону України «Про Державний бюджет України на 2025 рік» </w:t>
      </w:r>
      <w:r w:rsidR="001C1CD4" w:rsidRPr="00F0328A">
        <w:rPr>
          <w:rFonts w:ascii="Times New Roman" w:hAnsi="Times New Roman" w:cs="Times New Roman"/>
          <w:color w:val="000000" w:themeColor="text1"/>
          <w:sz w:val="24"/>
          <w:szCs w:val="24"/>
          <w:shd w:val="clear" w:color="auto" w:fill="FFFFFF"/>
          <w:lang w:val="uk-UA"/>
        </w:rPr>
        <w:t>у</w:t>
      </w:r>
      <w:r w:rsidR="001C1CD4" w:rsidRPr="00F0328A">
        <w:rPr>
          <w:rStyle w:val="rvts0"/>
          <w:rFonts w:ascii="Times New Roman" w:hAnsi="Times New Roman" w:cs="Times New Roman"/>
          <w:color w:val="000000" w:themeColor="text1"/>
          <w:sz w:val="24"/>
          <w:szCs w:val="24"/>
          <w:lang w:val="uk-UA"/>
        </w:rPr>
        <w:t xml:space="preserve">становлено,  що у 2025 році, як виняток з положень </w:t>
      </w:r>
      <w:hyperlink r:id="rId23" w:anchor="n574" w:tgtFrame="_blank" w:history="1">
        <w:r w:rsidR="001C1CD4" w:rsidRPr="00F0328A">
          <w:rPr>
            <w:rStyle w:val="ab"/>
            <w:rFonts w:ascii="Times New Roman" w:hAnsi="Times New Roman" w:cs="Times New Roman"/>
            <w:color w:val="000000" w:themeColor="text1"/>
            <w:sz w:val="24"/>
            <w:szCs w:val="24"/>
            <w:u w:val="none"/>
            <w:lang w:val="uk-UA"/>
          </w:rPr>
          <w:t>пункту 1</w:t>
        </w:r>
      </w:hyperlink>
      <w:r w:rsidR="001C1CD4" w:rsidRPr="00F0328A">
        <w:rPr>
          <w:rStyle w:val="rvts0"/>
          <w:rFonts w:ascii="Times New Roman" w:hAnsi="Times New Roman" w:cs="Times New Roman"/>
          <w:color w:val="000000" w:themeColor="text1"/>
          <w:sz w:val="24"/>
          <w:szCs w:val="24"/>
          <w:lang w:val="uk-UA"/>
        </w:rPr>
        <w:t xml:space="preserve"> частини другої статті 29 та </w:t>
      </w:r>
      <w:hyperlink r:id="rId24" w:anchor="n1017" w:tgtFrame="_blank" w:history="1">
        <w:r w:rsidR="001C1CD4" w:rsidRPr="00F0328A">
          <w:rPr>
            <w:rStyle w:val="ab"/>
            <w:rFonts w:ascii="Times New Roman" w:hAnsi="Times New Roman" w:cs="Times New Roman"/>
            <w:color w:val="000000" w:themeColor="text1"/>
            <w:sz w:val="24"/>
            <w:szCs w:val="24"/>
            <w:u w:val="none"/>
            <w:lang w:val="uk-UA"/>
          </w:rPr>
          <w:t>пункту 1</w:t>
        </w:r>
      </w:hyperlink>
      <w:r w:rsidR="001C1CD4" w:rsidRPr="00F0328A">
        <w:rPr>
          <w:rStyle w:val="rvts0"/>
          <w:rFonts w:ascii="Times New Roman" w:hAnsi="Times New Roman" w:cs="Times New Roman"/>
          <w:color w:val="000000" w:themeColor="text1"/>
          <w:sz w:val="24"/>
          <w:szCs w:val="24"/>
          <w:lang w:val="uk-UA"/>
        </w:rPr>
        <w:t xml:space="preserve"> частини першої статті 64 Бюджетного кодексу України, податок на доходи фізичних осіб (крім податку, визначеного </w:t>
      </w:r>
      <w:hyperlink r:id="rId25" w:anchor="n2015" w:tgtFrame="_blank" w:history="1">
        <w:r w:rsidR="001C1CD4" w:rsidRPr="00F0328A">
          <w:rPr>
            <w:rStyle w:val="ab"/>
            <w:rFonts w:ascii="Times New Roman" w:hAnsi="Times New Roman" w:cs="Times New Roman"/>
            <w:color w:val="000000" w:themeColor="text1"/>
            <w:sz w:val="24"/>
            <w:szCs w:val="24"/>
            <w:u w:val="none"/>
            <w:lang w:val="uk-UA"/>
          </w:rPr>
          <w:t>пунктом 1</w:t>
        </w:r>
      </w:hyperlink>
      <w:hyperlink r:id="rId26" w:anchor="n2015" w:tgtFrame="_blank" w:history="1">
        <w:r w:rsidR="001C1CD4" w:rsidRPr="00F0328A">
          <w:rPr>
            <w:rStyle w:val="ab"/>
            <w:rFonts w:ascii="Times New Roman" w:hAnsi="Times New Roman" w:cs="Times New Roman"/>
            <w:color w:val="000000" w:themeColor="text1"/>
            <w:sz w:val="24"/>
            <w:szCs w:val="24"/>
            <w:u w:val="none"/>
            <w:lang w:val="uk-UA"/>
          </w:rPr>
          <w:t>-1</w:t>
        </w:r>
      </w:hyperlink>
      <w:r w:rsidR="001C1CD4" w:rsidRPr="00F0328A">
        <w:rPr>
          <w:rStyle w:val="rvts0"/>
          <w:rFonts w:ascii="Times New Roman" w:hAnsi="Times New Roman" w:cs="Times New Roman"/>
          <w:color w:val="000000" w:themeColor="text1"/>
          <w:sz w:val="24"/>
          <w:szCs w:val="24"/>
          <w:lang w:val="uk-UA"/>
        </w:rPr>
        <w:t xml:space="preserve"> частини другої статті 29 Бюджетного кодексу України, та податку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(перераховується) згідно з Податковим кодексом України на відповідній території України (крім території міст Києва та Севастополя), зараховується до загального фонду державного бюджету у розмірі 21 відсоток, до загального фонду бюджетів сільських, селищних, міських територіальних громад - у розмірі 64 відсотки. </w:t>
      </w:r>
    </w:p>
    <w:p w14:paraId="50875ED9" w14:textId="08E4E68A" w:rsidR="000B04B1" w:rsidRPr="007620A2" w:rsidRDefault="000B04B1" w:rsidP="003F7140">
      <w:pPr>
        <w:spacing w:after="0" w:line="240" w:lineRule="auto"/>
        <w:ind w:firstLine="567"/>
        <w:jc w:val="both"/>
        <w:rPr>
          <w:rFonts w:ascii="Times New Roman" w:eastAsia="Times New Roman" w:hAnsi="Times New Roman" w:cs="Times New Roman"/>
          <w:sz w:val="24"/>
          <w:szCs w:val="24"/>
          <w:lang w:val="uk-UA"/>
        </w:rPr>
      </w:pPr>
      <w:r w:rsidRPr="007620A2">
        <w:rPr>
          <w:rFonts w:ascii="Times New Roman" w:eastAsia="Times New Roman" w:hAnsi="Times New Roman" w:cs="Times New Roman"/>
          <w:sz w:val="24"/>
          <w:szCs w:val="24"/>
          <w:lang w:val="uk-UA" w:eastAsia="ru-RU"/>
        </w:rPr>
        <w:t>Нормативи розмежування податку на доходи фізичних осіб у 202</w:t>
      </w:r>
      <w:r w:rsidR="00F0328A">
        <w:rPr>
          <w:rFonts w:ascii="Times New Roman" w:eastAsia="Times New Roman" w:hAnsi="Times New Roman" w:cs="Times New Roman"/>
          <w:sz w:val="24"/>
          <w:szCs w:val="24"/>
          <w:lang w:val="uk-UA" w:eastAsia="ru-RU"/>
        </w:rPr>
        <w:t>5</w:t>
      </w:r>
      <w:r w:rsidRPr="007620A2">
        <w:rPr>
          <w:rFonts w:ascii="Times New Roman" w:eastAsia="Times New Roman" w:hAnsi="Times New Roman" w:cs="Times New Roman"/>
          <w:sz w:val="24"/>
          <w:szCs w:val="24"/>
          <w:lang w:val="uk-UA" w:eastAsia="ru-RU"/>
        </w:rPr>
        <w:t> році, становлять:</w:t>
      </w:r>
    </w:p>
    <w:p w14:paraId="744E86B1" w14:textId="77777777" w:rsidR="000B04B1" w:rsidRPr="007620A2" w:rsidRDefault="000B04B1" w:rsidP="003F7140">
      <w:pPr>
        <w:numPr>
          <w:ilvl w:val="0"/>
          <w:numId w:val="11"/>
        </w:numPr>
        <w:tabs>
          <w:tab w:val="left" w:pos="0"/>
          <w:tab w:val="left" w:pos="720"/>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до державного бюджету – 21 %;</w:t>
      </w:r>
    </w:p>
    <w:p w14:paraId="039228AB" w14:textId="77777777" w:rsidR="000B04B1" w:rsidRPr="007620A2" w:rsidRDefault="000B04B1" w:rsidP="003F7140">
      <w:pPr>
        <w:numPr>
          <w:ilvl w:val="0"/>
          <w:numId w:val="11"/>
        </w:numPr>
        <w:tabs>
          <w:tab w:val="left" w:pos="0"/>
          <w:tab w:val="left" w:pos="720"/>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до обласного бюджету Одеської області – 15 %;</w:t>
      </w:r>
    </w:p>
    <w:p w14:paraId="192EDF0C" w14:textId="4DE0E1E9" w:rsidR="000B04B1" w:rsidRPr="007620A2" w:rsidRDefault="000B04B1" w:rsidP="003F7140">
      <w:pPr>
        <w:numPr>
          <w:ilvl w:val="0"/>
          <w:numId w:val="11"/>
        </w:numPr>
        <w:tabs>
          <w:tab w:val="left" w:pos="0"/>
          <w:tab w:val="left" w:pos="720"/>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7620A2">
        <w:rPr>
          <w:rFonts w:ascii="Times New Roman" w:eastAsia="Times New Roman" w:hAnsi="Times New Roman" w:cs="Times New Roman"/>
          <w:sz w:val="24"/>
          <w:szCs w:val="24"/>
          <w:lang w:val="uk-UA" w:eastAsia="ru-RU"/>
        </w:rPr>
        <w:t xml:space="preserve">до бюджету Чорноморської </w:t>
      </w:r>
      <w:r w:rsidR="00F0328A">
        <w:rPr>
          <w:rFonts w:ascii="Times New Roman" w:eastAsia="Times New Roman" w:hAnsi="Times New Roman" w:cs="Times New Roman"/>
          <w:sz w:val="24"/>
          <w:szCs w:val="24"/>
          <w:lang w:val="uk-UA" w:eastAsia="ru-RU"/>
        </w:rPr>
        <w:t xml:space="preserve">МТГ </w:t>
      </w:r>
      <w:r w:rsidRPr="007620A2">
        <w:rPr>
          <w:rFonts w:ascii="Times New Roman" w:eastAsia="Times New Roman" w:hAnsi="Times New Roman" w:cs="Times New Roman"/>
          <w:sz w:val="24"/>
          <w:szCs w:val="24"/>
          <w:lang w:val="uk-UA" w:eastAsia="ru-RU"/>
        </w:rPr>
        <w:t xml:space="preserve"> – 64 %. </w:t>
      </w:r>
      <w:r w:rsidRPr="007620A2">
        <w:rPr>
          <w:rFonts w:ascii="Times New Roman" w:eastAsia="Times New Roman" w:hAnsi="Times New Roman" w:cs="Times New Roman"/>
          <w:sz w:val="28"/>
          <w:szCs w:val="28"/>
          <w:lang w:val="uk-UA" w:eastAsia="ru-RU"/>
        </w:rPr>
        <w:t xml:space="preserve"> </w:t>
      </w:r>
    </w:p>
    <w:p w14:paraId="362F884E" w14:textId="2AEB9D07" w:rsidR="000B04B1" w:rsidRPr="007620A2" w:rsidRDefault="000B04B1" w:rsidP="000B04B1">
      <w:pPr>
        <w:spacing w:after="0" w:line="240" w:lineRule="auto"/>
        <w:ind w:firstLine="567"/>
        <w:jc w:val="both"/>
        <w:rPr>
          <w:rFonts w:ascii="Times New Roman" w:hAnsi="Times New Roman" w:cs="Times New Roman"/>
          <w:color w:val="000000" w:themeColor="text1"/>
          <w:sz w:val="24"/>
          <w:szCs w:val="24"/>
          <w:shd w:val="clear" w:color="auto" w:fill="FFFFFF"/>
          <w:lang w:val="uk-UA"/>
        </w:rPr>
      </w:pPr>
      <w:r w:rsidRPr="007620A2">
        <w:rPr>
          <w:rFonts w:ascii="Times New Roman" w:eastAsia="Times New Roman" w:hAnsi="Times New Roman" w:cs="Times New Roman"/>
          <w:color w:val="000000" w:themeColor="text1"/>
          <w:sz w:val="24"/>
          <w:szCs w:val="24"/>
          <w:shd w:val="clear" w:color="auto" w:fill="FFFFFF"/>
          <w:lang w:val="uk-UA" w:eastAsia="ru-RU"/>
        </w:rPr>
        <w:t xml:space="preserve">Відповідно до норм Податкового кодексу України основним показником для розрахунку прогнозних надходжень податку на доходи фізичних осіб є показник витрат на оплату праці. Розрахунок прогнозу надходжень податку на доходи  фізичних осіб на 2025 рік розрахований з урахуванням прогнозного обсягу фонду оплати праці, рівня мінімальної  зарплати, бази </w:t>
      </w:r>
      <w:r w:rsidR="00892D6E">
        <w:rPr>
          <w:rFonts w:ascii="Times New Roman" w:eastAsia="Times New Roman" w:hAnsi="Times New Roman" w:cs="Times New Roman"/>
          <w:color w:val="000000" w:themeColor="text1"/>
          <w:sz w:val="24"/>
          <w:szCs w:val="24"/>
          <w:shd w:val="clear" w:color="auto" w:fill="FFFFFF"/>
          <w:lang w:val="uk-UA" w:eastAsia="ru-RU"/>
        </w:rPr>
        <w:t>чинних</w:t>
      </w:r>
      <w:r w:rsidRPr="007620A2">
        <w:rPr>
          <w:rFonts w:ascii="Times New Roman" w:eastAsia="Times New Roman" w:hAnsi="Times New Roman" w:cs="Times New Roman"/>
          <w:color w:val="000000" w:themeColor="text1"/>
          <w:sz w:val="24"/>
          <w:szCs w:val="24"/>
          <w:shd w:val="clear" w:color="auto" w:fill="FFFFFF"/>
          <w:lang w:val="uk-UA" w:eastAsia="ru-RU"/>
        </w:rPr>
        <w:t xml:space="preserve"> ставок оподаткування доходів фізичних осіб.</w:t>
      </w:r>
    </w:p>
    <w:p w14:paraId="588CF3F9" w14:textId="640D92A4"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11010000 «Податок та збір на доходи фізичних осіб»</w:t>
      </w:r>
      <w:r w:rsidRPr="007620A2">
        <w:rPr>
          <w:rFonts w:ascii="Times New Roman" w:hAnsi="Times New Roman" w:cs="Times New Roman"/>
          <w:sz w:val="24"/>
          <w:szCs w:val="24"/>
          <w:lang w:val="uk-UA"/>
        </w:rPr>
        <w:t xml:space="preserve"> розраховано у сумі  621 000,0 тис. грн, що на 85 609,6 тис. грн або на 116 %  більше за  очікувані надходження у 2024 році. </w:t>
      </w:r>
    </w:p>
    <w:p w14:paraId="327876EB" w14:textId="33F70C35"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В структурі надходжень цього податку 97,3 % займає податок на доходи фізичних осіб, що сплачується податковими агентами, із доходів платника податку у вигляді заробітної плати. Кількість платників </w:t>
      </w:r>
      <w:r w:rsidR="006419F5">
        <w:rPr>
          <w:rFonts w:ascii="Times New Roman" w:hAnsi="Times New Roman" w:cs="Times New Roman"/>
          <w:sz w:val="24"/>
          <w:szCs w:val="24"/>
          <w:lang w:val="uk-UA"/>
        </w:rPr>
        <w:t xml:space="preserve">цього податку </w:t>
      </w:r>
      <w:r w:rsidRPr="007620A2">
        <w:rPr>
          <w:rFonts w:ascii="Times New Roman" w:hAnsi="Times New Roman" w:cs="Times New Roman"/>
          <w:sz w:val="24"/>
          <w:szCs w:val="24"/>
          <w:lang w:val="uk-UA"/>
        </w:rPr>
        <w:t>на 01.12.2024р. складає 1 250 осіб, з них юридичних осіб - 827,  фізичних – 423 ос</w:t>
      </w:r>
      <w:r w:rsidR="006419F5">
        <w:rPr>
          <w:rFonts w:ascii="Times New Roman" w:hAnsi="Times New Roman" w:cs="Times New Roman"/>
          <w:sz w:val="24"/>
          <w:szCs w:val="24"/>
          <w:lang w:val="uk-UA"/>
        </w:rPr>
        <w:t>оби.</w:t>
      </w:r>
    </w:p>
    <w:p w14:paraId="2ADD7A6C" w14:textId="77777777" w:rsidR="000B04B1" w:rsidRPr="007620A2" w:rsidRDefault="000B04B1" w:rsidP="000B04B1">
      <w:pPr>
        <w:spacing w:after="0" w:line="240" w:lineRule="auto"/>
        <w:ind w:firstLine="567"/>
        <w:jc w:val="both"/>
        <w:rPr>
          <w:rFonts w:ascii="Times New Roman" w:hAnsi="Times New Roman" w:cs="Times New Roman"/>
          <w:b/>
          <w:lang w:val="uk-UA"/>
        </w:rPr>
      </w:pPr>
    </w:p>
    <w:p w14:paraId="0DAE425A" w14:textId="6521C1DE" w:rsidR="000B04B1" w:rsidRDefault="000B04B1" w:rsidP="003F7140">
      <w:pPr>
        <w:spacing w:after="0"/>
        <w:ind w:right="-144"/>
        <w:jc w:val="center"/>
        <w:rPr>
          <w:rFonts w:ascii="Times New Roman" w:hAnsi="Times New Roman" w:cs="Times New Roman"/>
          <w:b/>
          <w:sz w:val="24"/>
          <w:szCs w:val="24"/>
          <w:lang w:val="uk-UA"/>
        </w:rPr>
      </w:pPr>
      <w:r w:rsidRPr="003F7140">
        <w:rPr>
          <w:rFonts w:ascii="Times New Roman" w:hAnsi="Times New Roman" w:cs="Times New Roman"/>
          <w:b/>
          <w:sz w:val="24"/>
          <w:szCs w:val="24"/>
          <w:lang w:val="uk-UA"/>
        </w:rPr>
        <w:t xml:space="preserve">Розрахунок надходжень податку на доходи в розрізі кодів класифікації доходів </w:t>
      </w:r>
      <w:r w:rsidR="003F7140">
        <w:rPr>
          <w:rFonts w:ascii="Times New Roman" w:hAnsi="Times New Roman" w:cs="Times New Roman"/>
          <w:b/>
          <w:sz w:val="24"/>
          <w:szCs w:val="24"/>
          <w:lang w:val="uk-UA"/>
        </w:rPr>
        <w:t>б</w:t>
      </w:r>
      <w:r w:rsidRPr="003F7140">
        <w:rPr>
          <w:rFonts w:ascii="Times New Roman" w:hAnsi="Times New Roman" w:cs="Times New Roman"/>
          <w:b/>
          <w:sz w:val="24"/>
          <w:szCs w:val="24"/>
          <w:lang w:val="uk-UA"/>
        </w:rPr>
        <w:t>юджету</w:t>
      </w:r>
    </w:p>
    <w:p w14:paraId="6701F358" w14:textId="77777777" w:rsidR="003F7140" w:rsidRPr="003F7140" w:rsidRDefault="003F7140" w:rsidP="003F7140">
      <w:pPr>
        <w:spacing w:after="0"/>
        <w:ind w:right="-144"/>
        <w:jc w:val="center"/>
        <w:rPr>
          <w:rFonts w:ascii="Times New Roman" w:hAnsi="Times New Roman" w:cs="Times New Roman"/>
          <w:b/>
          <w:sz w:val="24"/>
          <w:szCs w:val="24"/>
          <w:lang w:val="uk-UA"/>
        </w:rPr>
      </w:pP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276"/>
        <w:gridCol w:w="1134"/>
        <w:gridCol w:w="1275"/>
        <w:gridCol w:w="1134"/>
      </w:tblGrid>
      <w:tr w:rsidR="000B04B1" w:rsidRPr="007620A2" w14:paraId="4669F447" w14:textId="77777777" w:rsidTr="006419F5">
        <w:trPr>
          <w:trHeight w:val="1174"/>
        </w:trPr>
        <w:tc>
          <w:tcPr>
            <w:tcW w:w="3652" w:type="dxa"/>
            <w:vAlign w:val="center"/>
          </w:tcPr>
          <w:p w14:paraId="71342440" w14:textId="77777777" w:rsidR="000B04B1" w:rsidRPr="007620A2" w:rsidRDefault="000B04B1" w:rsidP="000B04B1">
            <w:pPr>
              <w:spacing w:after="0" w:line="240" w:lineRule="auto"/>
              <w:jc w:val="center"/>
              <w:rPr>
                <w:rFonts w:ascii="Times New Roman" w:hAnsi="Times New Roman" w:cs="Times New Roman"/>
                <w:b/>
                <w:sz w:val="20"/>
                <w:szCs w:val="20"/>
                <w:lang w:val="uk-UA"/>
              </w:rPr>
            </w:pPr>
            <w:r w:rsidRPr="007620A2">
              <w:rPr>
                <w:rFonts w:ascii="Times New Roman" w:hAnsi="Times New Roman" w:cs="Times New Roman"/>
                <w:b/>
                <w:sz w:val="20"/>
                <w:szCs w:val="20"/>
                <w:lang w:val="uk-UA"/>
              </w:rPr>
              <w:t xml:space="preserve">Код бюджетної класифікації </w:t>
            </w:r>
          </w:p>
          <w:p w14:paraId="785F95DF" w14:textId="77777777" w:rsidR="000B04B1" w:rsidRPr="007620A2" w:rsidRDefault="000B04B1" w:rsidP="000B04B1">
            <w:pPr>
              <w:spacing w:after="0" w:line="240" w:lineRule="auto"/>
              <w:jc w:val="center"/>
              <w:rPr>
                <w:rFonts w:ascii="Times New Roman" w:hAnsi="Times New Roman" w:cs="Times New Roman"/>
                <w:b/>
                <w:sz w:val="20"/>
                <w:szCs w:val="20"/>
                <w:lang w:val="uk-UA"/>
              </w:rPr>
            </w:pPr>
            <w:r w:rsidRPr="007620A2">
              <w:rPr>
                <w:rFonts w:ascii="Times New Roman" w:hAnsi="Times New Roman" w:cs="Times New Roman"/>
                <w:b/>
                <w:sz w:val="20"/>
                <w:szCs w:val="20"/>
                <w:lang w:val="uk-UA"/>
              </w:rPr>
              <w:t>доходів бюджету</w:t>
            </w:r>
          </w:p>
        </w:tc>
        <w:tc>
          <w:tcPr>
            <w:tcW w:w="1276" w:type="dxa"/>
            <w:vAlign w:val="center"/>
          </w:tcPr>
          <w:p w14:paraId="06057823" w14:textId="77777777" w:rsidR="000B04B1" w:rsidRPr="007620A2" w:rsidRDefault="000B04B1" w:rsidP="000B04B1">
            <w:pPr>
              <w:spacing w:after="0" w:line="240" w:lineRule="auto"/>
              <w:jc w:val="center"/>
              <w:rPr>
                <w:rFonts w:ascii="Times New Roman" w:hAnsi="Times New Roman" w:cs="Times New Roman"/>
                <w:b/>
                <w:sz w:val="18"/>
                <w:szCs w:val="18"/>
                <w:lang w:val="uk-UA"/>
              </w:rPr>
            </w:pPr>
            <w:r w:rsidRPr="007620A2">
              <w:rPr>
                <w:rFonts w:ascii="Times New Roman" w:hAnsi="Times New Roman" w:cs="Times New Roman"/>
                <w:b/>
                <w:sz w:val="18"/>
                <w:szCs w:val="18"/>
                <w:lang w:val="uk-UA"/>
              </w:rPr>
              <w:t xml:space="preserve">Факт 2023 року, </w:t>
            </w:r>
          </w:p>
          <w:p w14:paraId="1ADE8E64" w14:textId="5A5DA9D1" w:rsidR="000B04B1" w:rsidRPr="007620A2" w:rsidRDefault="000B04B1" w:rsidP="006419F5">
            <w:pPr>
              <w:spacing w:after="0" w:line="240" w:lineRule="auto"/>
              <w:jc w:val="center"/>
              <w:rPr>
                <w:rFonts w:ascii="Times New Roman" w:hAnsi="Times New Roman" w:cs="Times New Roman"/>
                <w:b/>
                <w:sz w:val="18"/>
                <w:szCs w:val="18"/>
                <w:lang w:val="uk-UA"/>
              </w:rPr>
            </w:pPr>
            <w:r w:rsidRPr="007620A2">
              <w:rPr>
                <w:rFonts w:ascii="Times New Roman" w:hAnsi="Times New Roman" w:cs="Times New Roman"/>
                <w:b/>
                <w:sz w:val="18"/>
                <w:szCs w:val="18"/>
                <w:lang w:val="uk-UA"/>
              </w:rPr>
              <w:t xml:space="preserve">тис. грн </w:t>
            </w:r>
            <w:r w:rsidRPr="007620A2">
              <w:rPr>
                <w:rFonts w:ascii="Times New Roman" w:hAnsi="Times New Roman" w:cs="Times New Roman"/>
                <w:b/>
                <w:sz w:val="18"/>
                <w:szCs w:val="18"/>
                <w:u w:val="single"/>
                <w:lang w:val="uk-UA"/>
              </w:rPr>
              <w:t>(в контингенті)</w:t>
            </w:r>
          </w:p>
        </w:tc>
        <w:tc>
          <w:tcPr>
            <w:tcW w:w="1276" w:type="dxa"/>
            <w:vAlign w:val="center"/>
          </w:tcPr>
          <w:p w14:paraId="6709443A" w14:textId="77777777" w:rsidR="000B04B1" w:rsidRPr="007620A2" w:rsidRDefault="000B04B1" w:rsidP="000B04B1">
            <w:pPr>
              <w:spacing w:after="0" w:line="240" w:lineRule="auto"/>
              <w:jc w:val="center"/>
              <w:rPr>
                <w:rFonts w:ascii="Times New Roman" w:hAnsi="Times New Roman" w:cs="Times New Roman"/>
                <w:b/>
                <w:sz w:val="18"/>
                <w:szCs w:val="18"/>
                <w:lang w:val="uk-UA"/>
              </w:rPr>
            </w:pPr>
            <w:r w:rsidRPr="007620A2">
              <w:rPr>
                <w:rFonts w:ascii="Times New Roman" w:hAnsi="Times New Roman" w:cs="Times New Roman"/>
                <w:b/>
                <w:sz w:val="18"/>
                <w:szCs w:val="18"/>
                <w:lang w:val="uk-UA"/>
              </w:rPr>
              <w:t xml:space="preserve">Очікуваний факт 2024 року, </w:t>
            </w:r>
          </w:p>
          <w:p w14:paraId="698B6439" w14:textId="5648ADD6" w:rsidR="000B04B1" w:rsidRPr="007620A2" w:rsidRDefault="000B04B1" w:rsidP="006419F5">
            <w:pPr>
              <w:spacing w:after="0" w:line="240" w:lineRule="auto"/>
              <w:jc w:val="center"/>
              <w:rPr>
                <w:rFonts w:ascii="Times New Roman" w:hAnsi="Times New Roman" w:cs="Times New Roman"/>
                <w:b/>
                <w:sz w:val="18"/>
                <w:szCs w:val="18"/>
                <w:lang w:val="uk-UA"/>
              </w:rPr>
            </w:pPr>
            <w:r w:rsidRPr="007620A2">
              <w:rPr>
                <w:rFonts w:ascii="Times New Roman" w:hAnsi="Times New Roman" w:cs="Times New Roman"/>
                <w:b/>
                <w:sz w:val="18"/>
                <w:szCs w:val="18"/>
                <w:lang w:val="uk-UA"/>
              </w:rPr>
              <w:t xml:space="preserve">тис. грн </w:t>
            </w:r>
            <w:r w:rsidRPr="007620A2">
              <w:rPr>
                <w:rFonts w:ascii="Times New Roman" w:hAnsi="Times New Roman" w:cs="Times New Roman"/>
                <w:b/>
                <w:sz w:val="18"/>
                <w:szCs w:val="18"/>
                <w:u w:val="single"/>
                <w:lang w:val="uk-UA"/>
              </w:rPr>
              <w:t>(в контингенті</w:t>
            </w:r>
            <w:r w:rsidRPr="007620A2">
              <w:rPr>
                <w:rFonts w:ascii="Times New Roman" w:hAnsi="Times New Roman" w:cs="Times New Roman"/>
                <w:b/>
                <w:sz w:val="18"/>
                <w:szCs w:val="18"/>
                <w:lang w:val="uk-UA"/>
              </w:rPr>
              <w:t>)</w:t>
            </w:r>
          </w:p>
        </w:tc>
        <w:tc>
          <w:tcPr>
            <w:tcW w:w="1134" w:type="dxa"/>
            <w:vAlign w:val="center"/>
          </w:tcPr>
          <w:p w14:paraId="2390C1EA" w14:textId="77777777" w:rsidR="000B04B1" w:rsidRPr="007620A2" w:rsidRDefault="000B04B1" w:rsidP="000B04B1">
            <w:pPr>
              <w:spacing w:after="0" w:line="240" w:lineRule="auto"/>
              <w:jc w:val="center"/>
              <w:rPr>
                <w:rFonts w:ascii="Times New Roman" w:hAnsi="Times New Roman" w:cs="Times New Roman"/>
                <w:b/>
                <w:i/>
                <w:sz w:val="20"/>
                <w:szCs w:val="20"/>
                <w:lang w:val="uk-UA"/>
              </w:rPr>
            </w:pPr>
            <w:r w:rsidRPr="007620A2">
              <w:rPr>
                <w:rFonts w:ascii="Times New Roman" w:hAnsi="Times New Roman" w:cs="Times New Roman"/>
                <w:b/>
                <w:i/>
                <w:sz w:val="20"/>
                <w:szCs w:val="20"/>
                <w:lang w:val="uk-UA"/>
              </w:rPr>
              <w:t>Темп росту</w:t>
            </w:r>
          </w:p>
          <w:p w14:paraId="036BF45F" w14:textId="77777777" w:rsidR="000B04B1" w:rsidRPr="007620A2" w:rsidRDefault="000B04B1" w:rsidP="000B04B1">
            <w:pPr>
              <w:spacing w:after="0" w:line="240" w:lineRule="auto"/>
              <w:jc w:val="center"/>
              <w:rPr>
                <w:rFonts w:ascii="Times New Roman" w:hAnsi="Times New Roman" w:cs="Times New Roman"/>
                <w:b/>
                <w:i/>
                <w:sz w:val="20"/>
                <w:szCs w:val="20"/>
                <w:lang w:val="uk-UA"/>
              </w:rPr>
            </w:pPr>
            <w:r w:rsidRPr="007620A2">
              <w:rPr>
                <w:rFonts w:ascii="Times New Roman" w:hAnsi="Times New Roman" w:cs="Times New Roman"/>
                <w:b/>
                <w:i/>
                <w:sz w:val="20"/>
                <w:szCs w:val="20"/>
                <w:lang w:val="uk-UA"/>
              </w:rPr>
              <w:t>2024/</w:t>
            </w:r>
          </w:p>
          <w:p w14:paraId="5F8A8321" w14:textId="77777777" w:rsidR="000B04B1" w:rsidRPr="007620A2" w:rsidRDefault="000B04B1" w:rsidP="000B04B1">
            <w:pPr>
              <w:spacing w:after="0" w:line="240" w:lineRule="auto"/>
              <w:jc w:val="center"/>
              <w:rPr>
                <w:rFonts w:ascii="Times New Roman" w:hAnsi="Times New Roman" w:cs="Times New Roman"/>
                <w:b/>
                <w:i/>
                <w:sz w:val="20"/>
                <w:szCs w:val="20"/>
                <w:lang w:val="uk-UA"/>
              </w:rPr>
            </w:pPr>
            <w:r w:rsidRPr="007620A2">
              <w:rPr>
                <w:rFonts w:ascii="Times New Roman" w:hAnsi="Times New Roman" w:cs="Times New Roman"/>
                <w:b/>
                <w:i/>
                <w:sz w:val="20"/>
                <w:szCs w:val="20"/>
                <w:lang w:val="uk-UA"/>
              </w:rPr>
              <w:t>2023</w:t>
            </w:r>
          </w:p>
        </w:tc>
        <w:tc>
          <w:tcPr>
            <w:tcW w:w="1275" w:type="dxa"/>
            <w:vAlign w:val="center"/>
          </w:tcPr>
          <w:p w14:paraId="5FD55FAE" w14:textId="77777777" w:rsidR="000B04B1" w:rsidRPr="007620A2" w:rsidRDefault="000B04B1" w:rsidP="000B04B1">
            <w:pPr>
              <w:spacing w:after="0" w:line="240" w:lineRule="auto"/>
              <w:jc w:val="center"/>
              <w:rPr>
                <w:rFonts w:ascii="Times New Roman" w:hAnsi="Times New Roman" w:cs="Times New Roman"/>
                <w:b/>
                <w:sz w:val="18"/>
                <w:szCs w:val="18"/>
                <w:lang w:val="uk-UA"/>
              </w:rPr>
            </w:pPr>
            <w:r w:rsidRPr="007620A2">
              <w:rPr>
                <w:rFonts w:ascii="Times New Roman" w:hAnsi="Times New Roman" w:cs="Times New Roman"/>
                <w:b/>
                <w:sz w:val="18"/>
                <w:szCs w:val="18"/>
                <w:lang w:val="uk-UA"/>
              </w:rPr>
              <w:t xml:space="preserve">Прогноз 2025 року, </w:t>
            </w:r>
          </w:p>
          <w:p w14:paraId="17C4761F" w14:textId="3D41CEB2" w:rsidR="000B04B1" w:rsidRPr="007620A2" w:rsidRDefault="000B04B1" w:rsidP="006419F5">
            <w:pPr>
              <w:spacing w:after="0" w:line="240" w:lineRule="auto"/>
              <w:jc w:val="center"/>
              <w:rPr>
                <w:rFonts w:ascii="Times New Roman" w:hAnsi="Times New Roman" w:cs="Times New Roman"/>
                <w:b/>
                <w:sz w:val="18"/>
                <w:szCs w:val="18"/>
                <w:lang w:val="uk-UA"/>
              </w:rPr>
            </w:pPr>
            <w:r w:rsidRPr="007620A2">
              <w:rPr>
                <w:rFonts w:ascii="Times New Roman" w:hAnsi="Times New Roman" w:cs="Times New Roman"/>
                <w:b/>
                <w:sz w:val="18"/>
                <w:szCs w:val="18"/>
                <w:lang w:val="uk-UA"/>
              </w:rPr>
              <w:t xml:space="preserve">тис. грн </w:t>
            </w:r>
            <w:r w:rsidRPr="007620A2">
              <w:rPr>
                <w:rFonts w:ascii="Times New Roman" w:hAnsi="Times New Roman" w:cs="Times New Roman"/>
                <w:b/>
                <w:sz w:val="18"/>
                <w:szCs w:val="18"/>
                <w:u w:val="single"/>
                <w:lang w:val="uk-UA"/>
              </w:rPr>
              <w:t>(в контингенті)</w:t>
            </w:r>
          </w:p>
        </w:tc>
        <w:tc>
          <w:tcPr>
            <w:tcW w:w="1134" w:type="dxa"/>
            <w:shd w:val="clear" w:color="auto" w:fill="auto"/>
            <w:vAlign w:val="center"/>
          </w:tcPr>
          <w:p w14:paraId="66F449EB" w14:textId="77777777" w:rsidR="000B04B1" w:rsidRPr="007620A2" w:rsidRDefault="000B04B1" w:rsidP="000B04B1">
            <w:pPr>
              <w:spacing w:after="0" w:line="240" w:lineRule="auto"/>
              <w:jc w:val="center"/>
              <w:rPr>
                <w:rFonts w:ascii="Times New Roman" w:hAnsi="Times New Roman" w:cs="Times New Roman"/>
                <w:b/>
                <w:i/>
                <w:sz w:val="20"/>
                <w:szCs w:val="20"/>
                <w:lang w:val="uk-UA"/>
              </w:rPr>
            </w:pPr>
            <w:r w:rsidRPr="007620A2">
              <w:rPr>
                <w:rFonts w:ascii="Times New Roman" w:hAnsi="Times New Roman" w:cs="Times New Roman"/>
                <w:b/>
                <w:i/>
                <w:sz w:val="20"/>
                <w:szCs w:val="20"/>
                <w:lang w:val="uk-UA"/>
              </w:rPr>
              <w:t>Темп росту 2025/</w:t>
            </w:r>
          </w:p>
          <w:p w14:paraId="44C4A139" w14:textId="77777777" w:rsidR="000B04B1" w:rsidRPr="007620A2" w:rsidRDefault="000B04B1" w:rsidP="000B04B1">
            <w:pPr>
              <w:spacing w:after="0" w:line="240" w:lineRule="auto"/>
              <w:jc w:val="center"/>
              <w:rPr>
                <w:rFonts w:ascii="Times New Roman" w:hAnsi="Times New Roman" w:cs="Times New Roman"/>
                <w:b/>
                <w:i/>
                <w:sz w:val="20"/>
                <w:szCs w:val="20"/>
                <w:lang w:val="uk-UA"/>
              </w:rPr>
            </w:pPr>
            <w:r w:rsidRPr="007620A2">
              <w:rPr>
                <w:rFonts w:ascii="Times New Roman" w:hAnsi="Times New Roman" w:cs="Times New Roman"/>
                <w:b/>
                <w:i/>
                <w:sz w:val="20"/>
                <w:szCs w:val="20"/>
                <w:lang w:val="uk-UA"/>
              </w:rPr>
              <w:t>2024</w:t>
            </w:r>
          </w:p>
        </w:tc>
      </w:tr>
      <w:tr w:rsidR="000B04B1" w:rsidRPr="007620A2" w14:paraId="53216112" w14:textId="77777777" w:rsidTr="006419F5">
        <w:trPr>
          <w:trHeight w:val="950"/>
        </w:trPr>
        <w:tc>
          <w:tcPr>
            <w:tcW w:w="3652" w:type="dxa"/>
          </w:tcPr>
          <w:p w14:paraId="69CD2933" w14:textId="77777777" w:rsidR="000B04B1" w:rsidRPr="007620A2" w:rsidRDefault="000B04B1" w:rsidP="000B04B1">
            <w:pPr>
              <w:spacing w:after="0" w:line="240" w:lineRule="auto"/>
              <w:jc w:val="both"/>
              <w:rPr>
                <w:rFonts w:ascii="Times New Roman" w:hAnsi="Times New Roman" w:cs="Times New Roman"/>
                <w:sz w:val="20"/>
                <w:szCs w:val="20"/>
                <w:lang w:val="uk-UA"/>
              </w:rPr>
            </w:pPr>
            <w:r w:rsidRPr="007620A2">
              <w:rPr>
                <w:rFonts w:ascii="Times New Roman" w:hAnsi="Times New Roman" w:cs="Times New Roman"/>
                <w:b/>
                <w:sz w:val="20"/>
                <w:szCs w:val="20"/>
                <w:lang w:val="uk-UA"/>
              </w:rPr>
              <w:t>11010100</w:t>
            </w:r>
            <w:r w:rsidRPr="007620A2">
              <w:rPr>
                <w:rFonts w:ascii="Times New Roman" w:hAnsi="Times New Roman" w:cs="Times New Roman"/>
                <w:sz w:val="20"/>
                <w:szCs w:val="20"/>
                <w:lang w:val="uk-UA"/>
              </w:rPr>
              <w:t xml:space="preserve"> «Податок на доходи фізичних осіб, що сплачується податковими агентами, із доходів платника податку у вигляді заробітної плати»</w:t>
            </w:r>
          </w:p>
        </w:tc>
        <w:tc>
          <w:tcPr>
            <w:tcW w:w="1276" w:type="dxa"/>
          </w:tcPr>
          <w:p w14:paraId="7EB26875" w14:textId="77777777" w:rsidR="000B04B1" w:rsidRPr="007620A2" w:rsidRDefault="000B04B1" w:rsidP="000B04B1">
            <w:pPr>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633 539,2</w:t>
            </w:r>
          </w:p>
        </w:tc>
        <w:tc>
          <w:tcPr>
            <w:tcW w:w="1276" w:type="dxa"/>
          </w:tcPr>
          <w:p w14:paraId="1D5E5607" w14:textId="77777777" w:rsidR="000B04B1" w:rsidRPr="007620A2" w:rsidRDefault="000B04B1" w:rsidP="000B04B1">
            <w:pPr>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813 807,6</w:t>
            </w:r>
          </w:p>
        </w:tc>
        <w:tc>
          <w:tcPr>
            <w:tcW w:w="1134" w:type="dxa"/>
          </w:tcPr>
          <w:p w14:paraId="47171865" w14:textId="77777777" w:rsidR="000B04B1" w:rsidRPr="007620A2" w:rsidRDefault="000B04B1" w:rsidP="000B04B1">
            <w:pPr>
              <w:ind w:hanging="80"/>
              <w:jc w:val="both"/>
              <w:rPr>
                <w:rFonts w:ascii="Times New Roman" w:hAnsi="Times New Roman" w:cs="Times New Roman"/>
                <w:i/>
                <w:lang w:val="uk-UA"/>
              </w:rPr>
            </w:pPr>
            <w:r w:rsidRPr="007620A2">
              <w:rPr>
                <w:rFonts w:ascii="Times New Roman" w:hAnsi="Times New Roman" w:cs="Times New Roman"/>
                <w:i/>
                <w:lang w:val="uk-UA"/>
              </w:rPr>
              <w:t xml:space="preserve">   128,5 %</w:t>
            </w:r>
          </w:p>
        </w:tc>
        <w:tc>
          <w:tcPr>
            <w:tcW w:w="1275" w:type="dxa"/>
          </w:tcPr>
          <w:p w14:paraId="5C0FA9F7" w14:textId="77777777" w:rsidR="000B04B1" w:rsidRPr="007620A2" w:rsidRDefault="000B04B1" w:rsidP="000B04B1">
            <w:pPr>
              <w:rPr>
                <w:rFonts w:ascii="Times New Roman" w:hAnsi="Times New Roman" w:cs="Times New Roman"/>
                <w:sz w:val="24"/>
                <w:szCs w:val="24"/>
                <w:lang w:val="uk-UA"/>
              </w:rPr>
            </w:pPr>
            <w:r w:rsidRPr="007620A2">
              <w:rPr>
                <w:rFonts w:ascii="Times New Roman" w:hAnsi="Times New Roman" w:cs="Times New Roman"/>
                <w:sz w:val="24"/>
                <w:szCs w:val="24"/>
                <w:lang w:val="uk-UA"/>
              </w:rPr>
              <w:t>943 750,0</w:t>
            </w:r>
          </w:p>
        </w:tc>
        <w:tc>
          <w:tcPr>
            <w:tcW w:w="1134" w:type="dxa"/>
          </w:tcPr>
          <w:p w14:paraId="5FF84950" w14:textId="77777777" w:rsidR="000B04B1" w:rsidRPr="007620A2" w:rsidRDefault="000B04B1" w:rsidP="000B04B1">
            <w:pPr>
              <w:jc w:val="center"/>
              <w:rPr>
                <w:rFonts w:ascii="Times New Roman" w:hAnsi="Times New Roman" w:cs="Times New Roman"/>
                <w:i/>
                <w:sz w:val="24"/>
                <w:szCs w:val="24"/>
                <w:lang w:val="uk-UA"/>
              </w:rPr>
            </w:pPr>
            <w:r w:rsidRPr="007620A2">
              <w:rPr>
                <w:rFonts w:ascii="Times New Roman" w:hAnsi="Times New Roman" w:cs="Times New Roman"/>
                <w:i/>
                <w:sz w:val="24"/>
                <w:szCs w:val="24"/>
                <w:lang w:val="uk-UA"/>
              </w:rPr>
              <w:t>116,0 %</w:t>
            </w:r>
          </w:p>
        </w:tc>
      </w:tr>
      <w:tr w:rsidR="000B04B1" w:rsidRPr="007620A2" w14:paraId="6925DF69" w14:textId="77777777" w:rsidTr="006419F5">
        <w:trPr>
          <w:trHeight w:val="1545"/>
        </w:trPr>
        <w:tc>
          <w:tcPr>
            <w:tcW w:w="3652" w:type="dxa"/>
          </w:tcPr>
          <w:p w14:paraId="4295D5AB" w14:textId="77777777" w:rsidR="000B04B1" w:rsidRPr="007620A2" w:rsidRDefault="000B04B1" w:rsidP="000B04B1">
            <w:pPr>
              <w:spacing w:line="240" w:lineRule="auto"/>
              <w:jc w:val="both"/>
              <w:rPr>
                <w:rFonts w:ascii="Times New Roman" w:hAnsi="Times New Roman" w:cs="Times New Roman"/>
                <w:sz w:val="20"/>
                <w:szCs w:val="20"/>
                <w:lang w:val="uk-UA"/>
              </w:rPr>
            </w:pPr>
            <w:r w:rsidRPr="007620A2">
              <w:rPr>
                <w:rFonts w:ascii="Times New Roman" w:hAnsi="Times New Roman" w:cs="Times New Roman"/>
                <w:b/>
                <w:sz w:val="20"/>
                <w:szCs w:val="20"/>
                <w:lang w:val="uk-UA"/>
              </w:rPr>
              <w:t>11010200</w:t>
            </w:r>
            <w:r w:rsidRPr="007620A2">
              <w:rPr>
                <w:rFonts w:ascii="Times New Roman" w:hAnsi="Times New Roman" w:cs="Times New Roman"/>
                <w:sz w:val="20"/>
                <w:szCs w:val="20"/>
                <w:lang w:val="uk-UA"/>
              </w:rPr>
              <w:t xml:space="preserve">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276" w:type="dxa"/>
          </w:tcPr>
          <w:p w14:paraId="0932CAB4" w14:textId="77777777" w:rsidR="000B04B1" w:rsidRPr="007620A2" w:rsidRDefault="000B04B1" w:rsidP="000B04B1">
            <w:pPr>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313 518,2</w:t>
            </w:r>
          </w:p>
        </w:tc>
        <w:tc>
          <w:tcPr>
            <w:tcW w:w="1276" w:type="dxa"/>
          </w:tcPr>
          <w:p w14:paraId="7C971D19"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w:t>
            </w:r>
          </w:p>
          <w:p w14:paraId="4C4453BF" w14:textId="77777777" w:rsidR="000B04B1" w:rsidRPr="007620A2" w:rsidRDefault="000B04B1" w:rsidP="000B04B1">
            <w:pPr>
              <w:jc w:val="both"/>
              <w:rPr>
                <w:rFonts w:ascii="Times New Roman" w:hAnsi="Times New Roman" w:cs="Times New Roman"/>
                <w:sz w:val="24"/>
                <w:szCs w:val="24"/>
                <w:lang w:val="uk-UA"/>
              </w:rPr>
            </w:pPr>
          </w:p>
        </w:tc>
        <w:tc>
          <w:tcPr>
            <w:tcW w:w="1134" w:type="dxa"/>
          </w:tcPr>
          <w:p w14:paraId="744DB667"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i/>
                <w:sz w:val="24"/>
                <w:szCs w:val="24"/>
                <w:lang w:val="uk-UA"/>
              </w:rPr>
              <w:t xml:space="preserve">  </w:t>
            </w:r>
            <w:r w:rsidRPr="007620A2">
              <w:rPr>
                <w:rFonts w:ascii="Times New Roman" w:hAnsi="Times New Roman" w:cs="Times New Roman"/>
                <w:sz w:val="24"/>
                <w:szCs w:val="24"/>
                <w:lang w:val="uk-UA"/>
              </w:rPr>
              <w:t>-</w:t>
            </w:r>
          </w:p>
          <w:p w14:paraId="645B7C76" w14:textId="77777777" w:rsidR="000B04B1" w:rsidRPr="007620A2" w:rsidRDefault="000B04B1" w:rsidP="000B04B1">
            <w:pPr>
              <w:ind w:left="-80"/>
              <w:jc w:val="both"/>
              <w:rPr>
                <w:rFonts w:ascii="Times New Roman" w:hAnsi="Times New Roman" w:cs="Times New Roman"/>
                <w:i/>
                <w:sz w:val="24"/>
                <w:szCs w:val="24"/>
                <w:lang w:val="uk-UA"/>
              </w:rPr>
            </w:pPr>
          </w:p>
        </w:tc>
        <w:tc>
          <w:tcPr>
            <w:tcW w:w="1275" w:type="dxa"/>
          </w:tcPr>
          <w:p w14:paraId="24C29C33"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w:t>
            </w:r>
          </w:p>
          <w:p w14:paraId="58EF287E" w14:textId="77777777" w:rsidR="000B04B1" w:rsidRPr="007620A2" w:rsidRDefault="000B04B1" w:rsidP="000B04B1">
            <w:pPr>
              <w:jc w:val="center"/>
              <w:rPr>
                <w:rFonts w:ascii="Times New Roman" w:hAnsi="Times New Roman" w:cs="Times New Roman"/>
                <w:sz w:val="24"/>
                <w:szCs w:val="24"/>
                <w:lang w:val="uk-UA"/>
              </w:rPr>
            </w:pPr>
          </w:p>
        </w:tc>
        <w:tc>
          <w:tcPr>
            <w:tcW w:w="1134" w:type="dxa"/>
          </w:tcPr>
          <w:p w14:paraId="69F14D0D" w14:textId="77777777" w:rsidR="000B04B1" w:rsidRPr="007620A2" w:rsidRDefault="000B04B1" w:rsidP="000B04B1">
            <w:pPr>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 xml:space="preserve">  0 %</w:t>
            </w:r>
          </w:p>
        </w:tc>
      </w:tr>
      <w:tr w:rsidR="000B04B1" w:rsidRPr="007620A2" w14:paraId="0BEF5F36" w14:textId="77777777" w:rsidTr="006419F5">
        <w:trPr>
          <w:trHeight w:val="876"/>
        </w:trPr>
        <w:tc>
          <w:tcPr>
            <w:tcW w:w="3652" w:type="dxa"/>
          </w:tcPr>
          <w:p w14:paraId="6CF8AA5D" w14:textId="77777777" w:rsidR="000B04B1" w:rsidRPr="007620A2" w:rsidRDefault="000B04B1" w:rsidP="000B04B1">
            <w:pPr>
              <w:spacing w:line="240" w:lineRule="auto"/>
              <w:jc w:val="both"/>
              <w:rPr>
                <w:rFonts w:ascii="Times New Roman" w:hAnsi="Times New Roman" w:cs="Times New Roman"/>
                <w:sz w:val="20"/>
                <w:szCs w:val="20"/>
                <w:lang w:val="uk-UA"/>
              </w:rPr>
            </w:pPr>
            <w:r w:rsidRPr="007620A2">
              <w:rPr>
                <w:rFonts w:ascii="Times New Roman" w:hAnsi="Times New Roman" w:cs="Times New Roman"/>
                <w:b/>
                <w:sz w:val="20"/>
                <w:szCs w:val="20"/>
                <w:lang w:val="uk-UA"/>
              </w:rPr>
              <w:t>11010400</w:t>
            </w:r>
            <w:r w:rsidRPr="007620A2">
              <w:rPr>
                <w:rFonts w:ascii="Times New Roman" w:hAnsi="Times New Roman" w:cs="Times New Roman"/>
                <w:sz w:val="20"/>
                <w:szCs w:val="20"/>
                <w:lang w:val="uk-UA"/>
              </w:rPr>
              <w:t xml:space="preserve"> «Податок на доходи фізичних осіб, що сплачується податковими агентами, із доходів платника податку інших ніж заробітна плата»</w:t>
            </w:r>
          </w:p>
        </w:tc>
        <w:tc>
          <w:tcPr>
            <w:tcW w:w="1276" w:type="dxa"/>
          </w:tcPr>
          <w:p w14:paraId="1AACAF38" w14:textId="77777777" w:rsidR="000B04B1" w:rsidRPr="007620A2" w:rsidRDefault="000B04B1" w:rsidP="000B04B1">
            <w:pPr>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7 629,8</w:t>
            </w:r>
          </w:p>
        </w:tc>
        <w:tc>
          <w:tcPr>
            <w:tcW w:w="1276" w:type="dxa"/>
          </w:tcPr>
          <w:p w14:paraId="6DCAAD84" w14:textId="77777777" w:rsidR="000B04B1" w:rsidRPr="007620A2" w:rsidRDefault="000B04B1" w:rsidP="000B04B1">
            <w:pPr>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12 100,0</w:t>
            </w:r>
          </w:p>
        </w:tc>
        <w:tc>
          <w:tcPr>
            <w:tcW w:w="1134" w:type="dxa"/>
          </w:tcPr>
          <w:p w14:paraId="136F874F" w14:textId="77777777" w:rsidR="000B04B1" w:rsidRPr="007620A2" w:rsidRDefault="000B04B1" w:rsidP="000B04B1">
            <w:pPr>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158,6 %</w:t>
            </w:r>
          </w:p>
        </w:tc>
        <w:tc>
          <w:tcPr>
            <w:tcW w:w="1275" w:type="dxa"/>
          </w:tcPr>
          <w:p w14:paraId="38A699F9"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14 062,5</w:t>
            </w:r>
          </w:p>
        </w:tc>
        <w:tc>
          <w:tcPr>
            <w:tcW w:w="1134" w:type="dxa"/>
          </w:tcPr>
          <w:p w14:paraId="6A6DA8BE" w14:textId="77777777" w:rsidR="000B04B1" w:rsidRPr="007620A2" w:rsidRDefault="000B04B1" w:rsidP="000B04B1">
            <w:pPr>
              <w:jc w:val="center"/>
              <w:rPr>
                <w:rFonts w:ascii="Times New Roman" w:hAnsi="Times New Roman" w:cs="Times New Roman"/>
                <w:i/>
                <w:sz w:val="24"/>
                <w:szCs w:val="24"/>
                <w:lang w:val="uk-UA"/>
              </w:rPr>
            </w:pPr>
            <w:r w:rsidRPr="007620A2">
              <w:rPr>
                <w:rFonts w:ascii="Times New Roman" w:hAnsi="Times New Roman" w:cs="Times New Roman"/>
                <w:i/>
                <w:sz w:val="24"/>
                <w:szCs w:val="24"/>
                <w:lang w:val="uk-UA"/>
              </w:rPr>
              <w:t>116,2 %</w:t>
            </w:r>
          </w:p>
        </w:tc>
      </w:tr>
      <w:tr w:rsidR="000B04B1" w:rsidRPr="007620A2" w14:paraId="4BBBD5E0" w14:textId="77777777" w:rsidTr="006419F5">
        <w:trPr>
          <w:trHeight w:val="954"/>
        </w:trPr>
        <w:tc>
          <w:tcPr>
            <w:tcW w:w="3652" w:type="dxa"/>
          </w:tcPr>
          <w:p w14:paraId="79245A74" w14:textId="77777777" w:rsidR="000B04B1" w:rsidRPr="007620A2" w:rsidRDefault="000B04B1" w:rsidP="000B04B1">
            <w:pPr>
              <w:spacing w:line="240" w:lineRule="auto"/>
              <w:jc w:val="both"/>
              <w:rPr>
                <w:rFonts w:ascii="Times New Roman" w:hAnsi="Times New Roman" w:cs="Times New Roman"/>
                <w:sz w:val="20"/>
                <w:szCs w:val="20"/>
                <w:lang w:val="uk-UA"/>
              </w:rPr>
            </w:pPr>
            <w:r w:rsidRPr="007620A2">
              <w:rPr>
                <w:rFonts w:ascii="Times New Roman" w:hAnsi="Times New Roman" w:cs="Times New Roman"/>
                <w:b/>
                <w:sz w:val="20"/>
                <w:szCs w:val="20"/>
                <w:lang w:val="uk-UA"/>
              </w:rPr>
              <w:t>11010500</w:t>
            </w:r>
            <w:r w:rsidRPr="007620A2">
              <w:rPr>
                <w:rFonts w:ascii="Times New Roman" w:hAnsi="Times New Roman" w:cs="Times New Roman"/>
                <w:sz w:val="20"/>
                <w:szCs w:val="20"/>
                <w:lang w:val="uk-UA"/>
              </w:rPr>
              <w:t xml:space="preserve"> «Податок на доходи фізичних осіб, що сплачується фізичними особами за результатами річного декларування»</w:t>
            </w:r>
          </w:p>
        </w:tc>
        <w:tc>
          <w:tcPr>
            <w:tcW w:w="1276" w:type="dxa"/>
          </w:tcPr>
          <w:p w14:paraId="02AF0B0E" w14:textId="77777777" w:rsidR="000B04B1" w:rsidRPr="007620A2" w:rsidRDefault="000B04B1" w:rsidP="000B04B1">
            <w:pPr>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8 117,9</w:t>
            </w:r>
          </w:p>
        </w:tc>
        <w:tc>
          <w:tcPr>
            <w:tcW w:w="1276" w:type="dxa"/>
          </w:tcPr>
          <w:p w14:paraId="1047D5C1" w14:textId="77777777" w:rsidR="000B04B1" w:rsidRPr="007620A2" w:rsidRDefault="000B04B1" w:rsidP="000B04B1">
            <w:pPr>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10 640,0</w:t>
            </w:r>
          </w:p>
        </w:tc>
        <w:tc>
          <w:tcPr>
            <w:tcW w:w="1134" w:type="dxa"/>
          </w:tcPr>
          <w:p w14:paraId="2EE01366" w14:textId="77777777" w:rsidR="000B04B1" w:rsidRPr="007620A2" w:rsidRDefault="000B04B1" w:rsidP="000B04B1">
            <w:pPr>
              <w:ind w:left="-221" w:firstLine="141"/>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 xml:space="preserve">  131,1 %</w:t>
            </w:r>
          </w:p>
        </w:tc>
        <w:tc>
          <w:tcPr>
            <w:tcW w:w="1275" w:type="dxa"/>
          </w:tcPr>
          <w:p w14:paraId="65550911"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12 500,0</w:t>
            </w:r>
          </w:p>
        </w:tc>
        <w:tc>
          <w:tcPr>
            <w:tcW w:w="1134" w:type="dxa"/>
          </w:tcPr>
          <w:p w14:paraId="0A49C94A" w14:textId="77777777" w:rsidR="000B04B1" w:rsidRPr="007620A2" w:rsidRDefault="000B04B1" w:rsidP="000B04B1">
            <w:pPr>
              <w:ind w:hanging="221"/>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 xml:space="preserve">   117,5 %</w:t>
            </w:r>
          </w:p>
        </w:tc>
      </w:tr>
      <w:tr w:rsidR="000B04B1" w:rsidRPr="007620A2" w14:paraId="4D36AD5E" w14:textId="77777777" w:rsidTr="006419F5">
        <w:trPr>
          <w:trHeight w:val="529"/>
        </w:trPr>
        <w:tc>
          <w:tcPr>
            <w:tcW w:w="3652" w:type="dxa"/>
          </w:tcPr>
          <w:p w14:paraId="0008E2D9" w14:textId="77777777" w:rsidR="000B04B1" w:rsidRPr="007620A2" w:rsidRDefault="000B04B1" w:rsidP="000B04B1">
            <w:pPr>
              <w:spacing w:line="240" w:lineRule="auto"/>
              <w:jc w:val="both"/>
              <w:rPr>
                <w:rFonts w:ascii="Times New Roman" w:hAnsi="Times New Roman" w:cs="Times New Roman"/>
                <w:b/>
                <w:lang w:val="uk-UA"/>
              </w:rPr>
            </w:pPr>
            <w:r w:rsidRPr="007620A2">
              <w:rPr>
                <w:rFonts w:ascii="Times New Roman" w:hAnsi="Times New Roman" w:cs="Times New Roman"/>
                <w:b/>
                <w:lang w:val="uk-UA"/>
              </w:rPr>
              <w:t>Податок на доходи фізичних осіб (разом) - контингент 100 %</w:t>
            </w:r>
          </w:p>
        </w:tc>
        <w:tc>
          <w:tcPr>
            <w:tcW w:w="1276" w:type="dxa"/>
          </w:tcPr>
          <w:p w14:paraId="6FF34498" w14:textId="77777777" w:rsidR="000B04B1" w:rsidRPr="007620A2" w:rsidRDefault="000B04B1" w:rsidP="000B04B1">
            <w:pPr>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962 805,1</w:t>
            </w:r>
          </w:p>
        </w:tc>
        <w:tc>
          <w:tcPr>
            <w:tcW w:w="1276" w:type="dxa"/>
          </w:tcPr>
          <w:p w14:paraId="629B6A0A" w14:textId="77777777" w:rsidR="000B04B1" w:rsidRPr="007620A2" w:rsidRDefault="000B04B1" w:rsidP="000B04B1">
            <w:pPr>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836 547,6</w:t>
            </w:r>
          </w:p>
        </w:tc>
        <w:tc>
          <w:tcPr>
            <w:tcW w:w="1134" w:type="dxa"/>
          </w:tcPr>
          <w:p w14:paraId="7F3FDB9E" w14:textId="77777777" w:rsidR="000B04B1" w:rsidRPr="007620A2" w:rsidRDefault="000B04B1" w:rsidP="000B04B1">
            <w:pPr>
              <w:jc w:val="both"/>
              <w:rPr>
                <w:rFonts w:ascii="Times New Roman" w:hAnsi="Times New Roman" w:cs="Times New Roman"/>
                <w:b/>
                <w:i/>
                <w:lang w:val="uk-UA"/>
              </w:rPr>
            </w:pPr>
            <w:r w:rsidRPr="007620A2">
              <w:rPr>
                <w:rFonts w:ascii="Times New Roman" w:hAnsi="Times New Roman" w:cs="Times New Roman"/>
                <w:b/>
                <w:i/>
                <w:lang w:val="uk-UA"/>
              </w:rPr>
              <w:t xml:space="preserve">  86,9 %</w:t>
            </w:r>
          </w:p>
        </w:tc>
        <w:tc>
          <w:tcPr>
            <w:tcW w:w="1275" w:type="dxa"/>
          </w:tcPr>
          <w:p w14:paraId="4FD9425F" w14:textId="77777777" w:rsidR="000B04B1" w:rsidRPr="007620A2" w:rsidRDefault="000B04B1" w:rsidP="000B04B1">
            <w:pPr>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970 312,5</w:t>
            </w:r>
          </w:p>
        </w:tc>
        <w:tc>
          <w:tcPr>
            <w:tcW w:w="1134" w:type="dxa"/>
          </w:tcPr>
          <w:p w14:paraId="5CD407A8" w14:textId="77777777" w:rsidR="000B04B1" w:rsidRPr="007620A2" w:rsidRDefault="000B04B1" w:rsidP="000B04B1">
            <w:pPr>
              <w:jc w:val="both"/>
              <w:rPr>
                <w:rFonts w:ascii="Times New Roman" w:hAnsi="Times New Roman" w:cs="Times New Roman"/>
                <w:b/>
                <w:i/>
                <w:sz w:val="24"/>
                <w:szCs w:val="24"/>
                <w:lang w:val="uk-UA"/>
              </w:rPr>
            </w:pPr>
            <w:r w:rsidRPr="007620A2">
              <w:rPr>
                <w:rFonts w:ascii="Times New Roman" w:hAnsi="Times New Roman" w:cs="Times New Roman"/>
                <w:b/>
                <w:i/>
                <w:sz w:val="24"/>
                <w:szCs w:val="24"/>
                <w:lang w:val="uk-UA"/>
              </w:rPr>
              <w:t>116,0 %</w:t>
            </w:r>
          </w:p>
        </w:tc>
      </w:tr>
      <w:tr w:rsidR="000B04B1" w:rsidRPr="007620A2" w14:paraId="4866DC7A" w14:textId="77777777" w:rsidTr="006419F5">
        <w:trPr>
          <w:trHeight w:val="855"/>
        </w:trPr>
        <w:tc>
          <w:tcPr>
            <w:tcW w:w="3652" w:type="dxa"/>
          </w:tcPr>
          <w:p w14:paraId="45A5DA39" w14:textId="77777777" w:rsidR="000B04B1" w:rsidRPr="007620A2" w:rsidRDefault="000B04B1" w:rsidP="000B04B1">
            <w:pPr>
              <w:spacing w:line="240" w:lineRule="auto"/>
              <w:jc w:val="both"/>
              <w:rPr>
                <w:rFonts w:ascii="Times New Roman" w:hAnsi="Times New Roman" w:cs="Times New Roman"/>
                <w:b/>
                <w:lang w:val="uk-UA"/>
              </w:rPr>
            </w:pPr>
            <w:r w:rsidRPr="007620A2">
              <w:rPr>
                <w:rFonts w:ascii="Times New Roman" w:hAnsi="Times New Roman" w:cs="Times New Roman"/>
                <w:b/>
                <w:lang w:val="uk-UA"/>
              </w:rPr>
              <w:t>Зарахування податку на доходи фізичних осіб до бюджету міської громади – ( 2023-2025  64 %)</w:t>
            </w:r>
          </w:p>
        </w:tc>
        <w:tc>
          <w:tcPr>
            <w:tcW w:w="1276" w:type="dxa"/>
          </w:tcPr>
          <w:p w14:paraId="06B185D7" w14:textId="77777777" w:rsidR="000B04B1" w:rsidRPr="007620A2" w:rsidRDefault="000B04B1" w:rsidP="000B04B1">
            <w:pPr>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616 195,3</w:t>
            </w:r>
          </w:p>
        </w:tc>
        <w:tc>
          <w:tcPr>
            <w:tcW w:w="1276" w:type="dxa"/>
          </w:tcPr>
          <w:p w14:paraId="6368475E" w14:textId="77777777" w:rsidR="000B04B1" w:rsidRPr="007620A2" w:rsidRDefault="000B04B1" w:rsidP="000B04B1">
            <w:pPr>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535 390,4</w:t>
            </w:r>
          </w:p>
        </w:tc>
        <w:tc>
          <w:tcPr>
            <w:tcW w:w="1134" w:type="dxa"/>
          </w:tcPr>
          <w:p w14:paraId="3286DF2E" w14:textId="77777777" w:rsidR="000B04B1" w:rsidRPr="007620A2" w:rsidRDefault="000B04B1" w:rsidP="000B04B1">
            <w:pPr>
              <w:jc w:val="both"/>
              <w:rPr>
                <w:rFonts w:ascii="Times New Roman" w:hAnsi="Times New Roman" w:cs="Times New Roman"/>
                <w:b/>
                <w:i/>
                <w:lang w:val="uk-UA"/>
              </w:rPr>
            </w:pPr>
            <w:r w:rsidRPr="007620A2">
              <w:rPr>
                <w:rFonts w:ascii="Times New Roman" w:hAnsi="Times New Roman" w:cs="Times New Roman"/>
                <w:b/>
                <w:i/>
                <w:lang w:val="uk-UA"/>
              </w:rPr>
              <w:t xml:space="preserve">  86,9 %</w:t>
            </w:r>
          </w:p>
        </w:tc>
        <w:tc>
          <w:tcPr>
            <w:tcW w:w="1275" w:type="dxa"/>
          </w:tcPr>
          <w:p w14:paraId="7B2CAF1D" w14:textId="77777777" w:rsidR="000B04B1" w:rsidRPr="007620A2" w:rsidRDefault="000B04B1" w:rsidP="000B04B1">
            <w:pPr>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621 000,0</w:t>
            </w:r>
          </w:p>
        </w:tc>
        <w:tc>
          <w:tcPr>
            <w:tcW w:w="1134" w:type="dxa"/>
          </w:tcPr>
          <w:p w14:paraId="7C46EFB5" w14:textId="77777777" w:rsidR="000B04B1" w:rsidRPr="007620A2" w:rsidRDefault="000B04B1" w:rsidP="000B04B1">
            <w:pPr>
              <w:jc w:val="both"/>
              <w:rPr>
                <w:rFonts w:ascii="Times New Roman" w:hAnsi="Times New Roman" w:cs="Times New Roman"/>
                <w:b/>
                <w:i/>
                <w:sz w:val="24"/>
                <w:szCs w:val="24"/>
                <w:lang w:val="uk-UA"/>
              </w:rPr>
            </w:pPr>
            <w:r w:rsidRPr="007620A2">
              <w:rPr>
                <w:rFonts w:ascii="Times New Roman" w:hAnsi="Times New Roman" w:cs="Times New Roman"/>
                <w:b/>
                <w:i/>
                <w:sz w:val="24"/>
                <w:szCs w:val="24"/>
                <w:lang w:val="uk-UA"/>
              </w:rPr>
              <w:t>116,0 %</w:t>
            </w:r>
          </w:p>
        </w:tc>
      </w:tr>
    </w:tbl>
    <w:p w14:paraId="2D25198D" w14:textId="77777777" w:rsidR="000B04B1" w:rsidRPr="007620A2" w:rsidRDefault="000B04B1" w:rsidP="000B04B1">
      <w:pPr>
        <w:spacing w:after="0"/>
        <w:jc w:val="both"/>
        <w:rPr>
          <w:rFonts w:ascii="Times New Roman" w:hAnsi="Times New Roman" w:cs="Times New Roman"/>
          <w:sz w:val="24"/>
          <w:szCs w:val="24"/>
          <w:lang w:val="uk-UA"/>
        </w:rPr>
      </w:pPr>
      <w:r w:rsidRPr="007620A2">
        <w:rPr>
          <w:noProof/>
          <w:lang w:eastAsia="ru-RU"/>
        </w:rPr>
        <w:drawing>
          <wp:inline distT="0" distB="0" distL="0" distR="0" wp14:anchorId="0D25825F" wp14:editId="73073AFE">
            <wp:extent cx="5939790" cy="3819525"/>
            <wp:effectExtent l="228600" t="228600" r="232410" b="21907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112939" w14:textId="08AB1F56"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Податок на прибуток підприємств та фінансових установ комунальної власності (ККДБ 11020200)</w:t>
      </w:r>
      <w:r w:rsidRPr="007620A2">
        <w:rPr>
          <w:rFonts w:ascii="Times New Roman" w:hAnsi="Times New Roman" w:cs="Times New Roman"/>
          <w:sz w:val="24"/>
          <w:szCs w:val="24"/>
          <w:lang w:val="uk-UA"/>
        </w:rPr>
        <w:t xml:space="preserve"> на 2025 рік визначено у сумі</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2 000,0 тис</w:t>
      </w:r>
      <w:r w:rsidR="00CD51E6">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грн. Розрахунок проведено з урахуванням норм податкового законодавства відповідно до листів комунальних підприємств із врахуванням прогнозу прибутку підприємств та термінів нарахування та сплати податку. </w:t>
      </w:r>
    </w:p>
    <w:p w14:paraId="05675457" w14:textId="77777777" w:rsidR="000B04B1" w:rsidRPr="007620A2" w:rsidRDefault="000B04B1" w:rsidP="000B04B1">
      <w:pPr>
        <w:spacing w:after="0" w:line="240" w:lineRule="auto"/>
        <w:ind w:firstLine="567"/>
        <w:jc w:val="both"/>
        <w:rPr>
          <w:rFonts w:ascii="Times New Roman" w:hAnsi="Times New Roman" w:cs="Times New Roman"/>
          <w:b/>
          <w:sz w:val="24"/>
          <w:szCs w:val="24"/>
          <w:lang w:val="uk-UA"/>
        </w:rPr>
      </w:pPr>
    </w:p>
    <w:p w14:paraId="681B3EE8" w14:textId="5F6A5072"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 xml:space="preserve">Обсяг внутрішніх податків на товари та послуги (ККДБ 14000000), а саме акцизного податку </w:t>
      </w:r>
      <w:r w:rsidRPr="007620A2">
        <w:rPr>
          <w:rFonts w:ascii="Times New Roman" w:hAnsi="Times New Roman" w:cs="Times New Roman"/>
          <w:sz w:val="24"/>
          <w:szCs w:val="24"/>
          <w:lang w:val="uk-UA"/>
        </w:rPr>
        <w:t xml:space="preserve">на 2025 рік визначено </w:t>
      </w:r>
      <w:r w:rsidR="00CD51E6">
        <w:rPr>
          <w:rFonts w:ascii="Times New Roman" w:hAnsi="Times New Roman" w:cs="Times New Roman"/>
          <w:sz w:val="24"/>
          <w:szCs w:val="24"/>
          <w:lang w:val="uk-UA"/>
        </w:rPr>
        <w:t xml:space="preserve">у сумі </w:t>
      </w:r>
      <w:r w:rsidRPr="007620A2">
        <w:rPr>
          <w:rFonts w:ascii="Times New Roman" w:hAnsi="Times New Roman" w:cs="Times New Roman"/>
          <w:sz w:val="24"/>
          <w:szCs w:val="24"/>
          <w:lang w:val="uk-UA"/>
        </w:rPr>
        <w:t>59 500,0 тис.</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грн.</w:t>
      </w:r>
    </w:p>
    <w:p w14:paraId="7849380C"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p>
    <w:p w14:paraId="2BF82889" w14:textId="77777777" w:rsidR="000B04B1" w:rsidRPr="007620A2" w:rsidRDefault="000B04B1" w:rsidP="000B04B1">
      <w:pPr>
        <w:spacing w:after="0" w:line="240" w:lineRule="auto"/>
        <w:jc w:val="both"/>
        <w:rPr>
          <w:rFonts w:ascii="Times New Roman" w:hAnsi="Times New Roman" w:cs="Times New Roman"/>
          <w:sz w:val="24"/>
          <w:szCs w:val="24"/>
          <w:lang w:val="uk-UA"/>
        </w:rPr>
      </w:pPr>
      <w:r w:rsidRPr="007620A2">
        <w:rPr>
          <w:noProof/>
          <w:lang w:eastAsia="ru-RU"/>
        </w:rPr>
        <w:drawing>
          <wp:inline distT="0" distB="0" distL="0" distR="0" wp14:anchorId="776F2339" wp14:editId="0C9D0AB8">
            <wp:extent cx="6029325" cy="3329796"/>
            <wp:effectExtent l="0" t="0" r="9525" b="4445"/>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A37D321"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p>
    <w:p w14:paraId="7AAB7E23" w14:textId="77777777" w:rsidR="000B04B1" w:rsidRPr="007620A2" w:rsidRDefault="000B04B1" w:rsidP="000B04B1">
      <w:pPr>
        <w:spacing w:after="0" w:line="240" w:lineRule="auto"/>
        <w:ind w:right="-2" w:firstLine="567"/>
        <w:jc w:val="both"/>
        <w:rPr>
          <w:rFonts w:ascii="Times New Roman" w:eastAsia="Times New Roman" w:hAnsi="Times New Roman" w:cs="Times New Roman"/>
          <w:sz w:val="24"/>
          <w:szCs w:val="24"/>
          <w:lang w:val="uk-UA" w:eastAsia="ru-RU"/>
        </w:rPr>
      </w:pPr>
    </w:p>
    <w:p w14:paraId="20130D29" w14:textId="77777777" w:rsidR="000B04B1" w:rsidRPr="007620A2" w:rsidRDefault="000B04B1" w:rsidP="000B04B1">
      <w:pPr>
        <w:spacing w:after="0" w:line="240" w:lineRule="auto"/>
        <w:ind w:right="-2" w:firstLine="567"/>
        <w:jc w:val="both"/>
        <w:rPr>
          <w:rFonts w:ascii="Times New Roman" w:eastAsia="Times New Roman" w:hAnsi="Times New Roman" w:cs="Times New Roman"/>
          <w:sz w:val="24"/>
          <w:szCs w:val="24"/>
          <w:lang w:val="uk-UA" w:eastAsia="ru-RU"/>
        </w:rPr>
      </w:pPr>
    </w:p>
    <w:p w14:paraId="3D25CC63" w14:textId="77777777" w:rsidR="000B04B1" w:rsidRPr="007620A2" w:rsidRDefault="000B04B1" w:rsidP="000B04B1">
      <w:pPr>
        <w:spacing w:after="0" w:line="240" w:lineRule="auto"/>
        <w:ind w:right="-2"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Складовими частинами акцизного податку є:</w:t>
      </w:r>
    </w:p>
    <w:p w14:paraId="6E1EBA58" w14:textId="77777777" w:rsidR="000B04B1" w:rsidRPr="007620A2" w:rsidRDefault="000B04B1" w:rsidP="000B04B1">
      <w:pPr>
        <w:spacing w:after="0" w:line="240" w:lineRule="auto"/>
        <w:ind w:right="-2" w:firstLine="567"/>
        <w:jc w:val="both"/>
        <w:rPr>
          <w:rFonts w:ascii="Times New Roman" w:eastAsia="Times New Roman" w:hAnsi="Times New Roman" w:cs="Times New Roman"/>
          <w:sz w:val="24"/>
          <w:szCs w:val="24"/>
          <w:lang w:val="uk-UA"/>
        </w:rPr>
      </w:pPr>
      <w:r w:rsidRPr="007620A2">
        <w:rPr>
          <w:rFonts w:ascii="Times New Roman" w:eastAsia="Times New Roman" w:hAnsi="Times New Roman" w:cs="Times New Roman"/>
          <w:sz w:val="24"/>
          <w:szCs w:val="24"/>
          <w:lang w:val="uk-UA"/>
        </w:rPr>
        <w:t>- акцизний податок з виробленого в Україні пального;</w:t>
      </w:r>
    </w:p>
    <w:p w14:paraId="2BDFADA4" w14:textId="77777777" w:rsidR="000B04B1" w:rsidRPr="007620A2" w:rsidRDefault="000B04B1" w:rsidP="000B04B1">
      <w:pPr>
        <w:spacing w:after="0" w:line="240" w:lineRule="auto"/>
        <w:ind w:right="-2"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rPr>
        <w:t>- акцизний податок з ввезеного на митну територію України пального;</w:t>
      </w:r>
    </w:p>
    <w:p w14:paraId="3F15472B" w14:textId="77777777" w:rsidR="000B04B1" w:rsidRPr="007620A2" w:rsidRDefault="000B04B1" w:rsidP="000B04B1">
      <w:pPr>
        <w:spacing w:after="0" w:line="240" w:lineRule="auto"/>
        <w:ind w:right="-2" w:firstLine="567"/>
        <w:jc w:val="both"/>
        <w:rPr>
          <w:rFonts w:ascii="Times New Roman" w:eastAsia="Times New Roman" w:hAnsi="Times New Roman" w:cs="Times New Roman"/>
          <w:sz w:val="24"/>
          <w:szCs w:val="24"/>
          <w:lang w:val="uk-UA"/>
        </w:rPr>
      </w:pPr>
      <w:r w:rsidRPr="007620A2">
        <w:rPr>
          <w:rFonts w:ascii="Times New Roman" w:eastAsia="Times New Roman" w:hAnsi="Times New Roman" w:cs="Times New Roman"/>
          <w:sz w:val="24"/>
          <w:szCs w:val="24"/>
          <w:lang w:val="uk-UA"/>
        </w:rPr>
        <w:t>- 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w:t>
      </w:r>
    </w:p>
    <w:p w14:paraId="2E580740" w14:textId="77777777" w:rsidR="000B04B1" w:rsidRPr="007620A2" w:rsidRDefault="000B04B1" w:rsidP="000B04B1">
      <w:pPr>
        <w:spacing w:after="0" w:line="240" w:lineRule="auto"/>
        <w:ind w:right="-2" w:firstLine="567"/>
        <w:jc w:val="both"/>
        <w:rPr>
          <w:rFonts w:ascii="Times New Roman" w:eastAsia="Times New Roman" w:hAnsi="Times New Roman" w:cs="Times New Roman"/>
          <w:sz w:val="24"/>
          <w:szCs w:val="24"/>
          <w:lang w:val="uk-UA"/>
        </w:rPr>
      </w:pPr>
      <w:r w:rsidRPr="007620A2">
        <w:rPr>
          <w:rFonts w:ascii="Times New Roman" w:eastAsia="Times New Roman" w:hAnsi="Times New Roman" w:cs="Times New Roman"/>
          <w:sz w:val="24"/>
          <w:szCs w:val="24"/>
          <w:lang w:val="uk-UA"/>
        </w:rPr>
        <w:t>- 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p w14:paraId="021AF8CC"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Частиною 3 статті 64 Бюджетного кодексу України встановлено, що акцизний податок з реалізації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зараховується до бюджетів місцевого самоврядування автоматично відповідно до часток, що визначаються щомісячно.</w:t>
      </w:r>
    </w:p>
    <w:p w14:paraId="5FC755B7"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Відповідно до Порядку зарахування акцизного податку з реалізації суб’єктами господарювання роздрібної торгівлі тютюнових виробів, тютюну, рідин що використовуються в електронних сигаретах, затвердженого постановою Кабінету Міністрів України від 03 травня 2022 року № 515, Державна податкова служба щомісяця визначає частки для зарахування акцизного податку у розрізі бюджетів місцевого самоврядування з урахуванням актуального довідника місцевих бюджетів та подають їх до Державної казначейської служби не пізніше 15 числа кожного місяця.</w:t>
      </w:r>
    </w:p>
    <w:p w14:paraId="7D3042BE"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 xml:space="preserve">Державна казначейська служба щомісяця здійснює розподіл акцизного податку з реалізації суб’єктами господарювання роздрібної торгівлі тютюнових виробів, тютюну та промислових замінників тютюну, рідин, що використовуються в електронних сигаретах, між відповідними бюджетами місцевого самоврядування згідно з отриманими частками не пізніше останнього робочого дня кожного місяця. </w:t>
      </w:r>
    </w:p>
    <w:p w14:paraId="3F7D6E22"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Пунктами 16¹ статті 64 «Склад доходів загального фонду бюджетів сільських, селищних, міських територіальних громад» Бюджетного кодексу України встановлено, що 13,44 % акцизного податку з виробленого в Україні та ввезеного на митну територію України пального у порядку, визначеному Кабінетом Міністрів України, зараховуються до загального фонду відповідних бюджетів місцевого самоврядування автоматично:</w:t>
      </w:r>
    </w:p>
    <w:p w14:paraId="49F6D29C"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1) у першому півріччі поточного бюджетного періоду – пропорційно до обсягу реалізованого суб’єктами господарювання роздрібної торгівлі пального на відповідній території за друге півріччя попереднього бюджетного періоду в загальному обсязі такого реалізованого пального в цілому по Україні за друге півріччя відповідного бюджетного періоду;</w:t>
      </w:r>
    </w:p>
    <w:p w14:paraId="1CFA96B9"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2) у другому півріччі поточного бюджетного періоду – пропорційно до обсягу реалізованого суб’єктами господарювання роздрібної торгівлі пального на відповідній території за перше півріччя поточного бюджетного періоду в загальному обсязі такого реалізованого пального в цілому по Україні за перше півріччя відповідного бюджетного періоду.</w:t>
      </w:r>
    </w:p>
    <w:p w14:paraId="5474E7D6" w14:textId="77777777" w:rsidR="000B04B1" w:rsidRPr="007620A2" w:rsidRDefault="000B04B1" w:rsidP="000B04B1">
      <w:pPr>
        <w:shd w:val="clear" w:color="auto" w:fill="FFFFFF"/>
        <w:tabs>
          <w:tab w:val="left" w:pos="709"/>
          <w:tab w:val="left" w:pos="851"/>
          <w:tab w:val="left" w:pos="1134"/>
        </w:tabs>
        <w:spacing w:after="0" w:line="240" w:lineRule="auto"/>
        <w:ind w:firstLine="567"/>
        <w:jc w:val="both"/>
        <w:rPr>
          <w:rFonts w:ascii="Times New Roman" w:eastAsia="Times New Roman" w:hAnsi="Times New Roman" w:cs="Times New Roman"/>
          <w:sz w:val="24"/>
          <w:szCs w:val="24"/>
          <w:lang w:val="uk-UA"/>
        </w:rPr>
      </w:pPr>
      <w:r w:rsidRPr="007620A2">
        <w:rPr>
          <w:rFonts w:ascii="Times New Roman" w:eastAsia="Times New Roman" w:hAnsi="Times New Roman" w:cs="Times New Roman"/>
          <w:sz w:val="24"/>
          <w:szCs w:val="24"/>
          <w:lang w:val="uk-UA"/>
        </w:rPr>
        <w:t>Прогнозні надходження акцизного податку з вироблених в Україні та з ввезених на митну територію України  підакцизних товарів (продукції) (Пальне)  - враховані в проєкті бюджету у сумі 18 200,0 тис. грн, що складає 30,6 % розрахункових  надходжень акцизного податку.</w:t>
      </w:r>
    </w:p>
    <w:p w14:paraId="23EED22A" w14:textId="77777777" w:rsidR="000B04B1" w:rsidRPr="007620A2"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Прогнозні надходження акцизного податку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враховані у сумі 23 500,0 тис. грн, що складе 39,5 % розрахункових надходжень акцизного податку.</w:t>
      </w:r>
    </w:p>
    <w:p w14:paraId="1C014B6F" w14:textId="419F8B02" w:rsidR="000B04B1" w:rsidRDefault="000B04B1" w:rsidP="000B04B1">
      <w:pPr>
        <w:spacing w:after="0" w:line="240" w:lineRule="auto"/>
        <w:ind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 xml:space="preserve">Прогнозні надходження акцизного податку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 визначені </w:t>
      </w:r>
      <w:r w:rsidR="00252424">
        <w:rPr>
          <w:rFonts w:ascii="Times New Roman" w:eastAsia="Times New Roman" w:hAnsi="Times New Roman" w:cs="Times New Roman"/>
          <w:sz w:val="24"/>
          <w:szCs w:val="24"/>
          <w:lang w:val="uk-UA" w:eastAsia="ru-RU"/>
        </w:rPr>
        <w:t xml:space="preserve">у сумі – 17 800,0 тис. грн, </w:t>
      </w:r>
      <w:r w:rsidRPr="007620A2">
        <w:rPr>
          <w:rFonts w:ascii="Times New Roman" w:eastAsia="Times New Roman" w:hAnsi="Times New Roman" w:cs="Times New Roman"/>
          <w:sz w:val="24"/>
          <w:szCs w:val="24"/>
          <w:lang w:val="uk-UA" w:eastAsia="ru-RU"/>
        </w:rPr>
        <w:t xml:space="preserve"> що складає </w:t>
      </w:r>
      <w:r w:rsidR="00252424">
        <w:rPr>
          <w:rFonts w:ascii="Times New Roman" w:eastAsia="Times New Roman" w:hAnsi="Times New Roman" w:cs="Times New Roman"/>
          <w:sz w:val="24"/>
          <w:szCs w:val="24"/>
          <w:lang w:val="uk-UA" w:eastAsia="ru-RU"/>
        </w:rPr>
        <w:t xml:space="preserve">               </w:t>
      </w:r>
      <w:r w:rsidRPr="007620A2">
        <w:rPr>
          <w:rFonts w:ascii="Times New Roman" w:eastAsia="Times New Roman" w:hAnsi="Times New Roman" w:cs="Times New Roman"/>
          <w:sz w:val="24"/>
          <w:szCs w:val="24"/>
          <w:lang w:val="uk-UA" w:eastAsia="ru-RU"/>
        </w:rPr>
        <w:t xml:space="preserve">29,9 % розрахункових надходжень акцизного податку. </w:t>
      </w:r>
    </w:p>
    <w:p w14:paraId="20A4A87D" w14:textId="77777777" w:rsidR="00252424" w:rsidRPr="007620A2" w:rsidRDefault="00252424" w:rsidP="000B04B1">
      <w:pPr>
        <w:spacing w:after="0" w:line="240" w:lineRule="auto"/>
        <w:ind w:firstLine="567"/>
        <w:jc w:val="both"/>
        <w:rPr>
          <w:rFonts w:ascii="Times New Roman" w:eastAsia="Times New Roman" w:hAnsi="Times New Roman" w:cs="Times New Roman"/>
          <w:sz w:val="24"/>
          <w:szCs w:val="24"/>
          <w:lang w:val="uk-UA" w:eastAsia="ru-RU"/>
        </w:rPr>
      </w:pPr>
    </w:p>
    <w:p w14:paraId="75B15483" w14:textId="35D93ECF" w:rsidR="000B04B1" w:rsidRPr="007620A2" w:rsidRDefault="00252424" w:rsidP="000B04B1">
      <w:pPr>
        <w:tabs>
          <w:tab w:val="left" w:pos="6820"/>
        </w:tabs>
        <w:jc w:val="center"/>
        <w:rPr>
          <w:rFonts w:ascii="Times New Roman" w:hAnsi="Times New Roman" w:cs="Times New Roman"/>
          <w:sz w:val="26"/>
          <w:szCs w:val="26"/>
          <w:lang w:val="uk-UA"/>
        </w:rPr>
      </w:pPr>
      <w:r>
        <w:rPr>
          <w:rFonts w:ascii="Times New Roman" w:hAnsi="Times New Roman" w:cs="Times New Roman"/>
          <w:b/>
          <w:bCs/>
          <w:sz w:val="26"/>
          <w:szCs w:val="26"/>
          <w:lang w:val="uk-UA"/>
        </w:rPr>
        <w:t>Динаміка н</w:t>
      </w:r>
      <w:r w:rsidR="003F7140">
        <w:rPr>
          <w:rFonts w:ascii="Times New Roman" w:hAnsi="Times New Roman" w:cs="Times New Roman"/>
          <w:b/>
          <w:bCs/>
          <w:sz w:val="26"/>
          <w:szCs w:val="26"/>
          <w:lang w:val="uk-UA"/>
        </w:rPr>
        <w:t>а</w:t>
      </w:r>
      <w:r w:rsidR="000B04B1" w:rsidRPr="007620A2">
        <w:rPr>
          <w:rFonts w:ascii="Times New Roman" w:hAnsi="Times New Roman" w:cs="Times New Roman"/>
          <w:b/>
          <w:bCs/>
          <w:sz w:val="26"/>
          <w:szCs w:val="26"/>
          <w:lang w:val="uk-UA"/>
        </w:rPr>
        <w:t>дходжен</w:t>
      </w:r>
      <w:r>
        <w:rPr>
          <w:rFonts w:ascii="Times New Roman" w:hAnsi="Times New Roman" w:cs="Times New Roman"/>
          <w:b/>
          <w:bCs/>
          <w:sz w:val="26"/>
          <w:szCs w:val="26"/>
          <w:lang w:val="uk-UA"/>
        </w:rPr>
        <w:t>ь</w:t>
      </w:r>
      <w:r w:rsidR="000B04B1" w:rsidRPr="007620A2">
        <w:rPr>
          <w:rFonts w:ascii="Times New Roman" w:hAnsi="Times New Roman" w:cs="Times New Roman"/>
          <w:b/>
          <w:bCs/>
          <w:sz w:val="26"/>
          <w:szCs w:val="26"/>
          <w:lang w:val="uk-UA"/>
        </w:rPr>
        <w:t xml:space="preserve"> акцизного податку до бюджету  Чорноморської міської територіальної громади за 2021-2025 роки</w:t>
      </w:r>
      <w:r>
        <w:rPr>
          <w:rFonts w:ascii="Times New Roman" w:hAnsi="Times New Roman" w:cs="Times New Roman"/>
          <w:b/>
          <w:bCs/>
          <w:sz w:val="26"/>
          <w:szCs w:val="26"/>
          <w:lang w:val="uk-UA"/>
        </w:rPr>
        <w:t>,</w:t>
      </w:r>
      <w:r w:rsidR="000B04B1" w:rsidRPr="007620A2">
        <w:rPr>
          <w:rFonts w:ascii="Times New Roman" w:hAnsi="Times New Roman" w:cs="Times New Roman"/>
          <w:b/>
          <w:bCs/>
          <w:sz w:val="26"/>
          <w:szCs w:val="26"/>
          <w:lang w:val="uk-UA"/>
        </w:rPr>
        <w:t xml:space="preserve"> (млн грн)</w:t>
      </w:r>
    </w:p>
    <w:p w14:paraId="2F041349" w14:textId="27628E9E" w:rsidR="000B04B1" w:rsidRPr="007620A2" w:rsidRDefault="00783BA6" w:rsidP="000B04B1">
      <w:pPr>
        <w:spacing w:after="0" w:line="240" w:lineRule="auto"/>
        <w:jc w:val="both"/>
        <w:rPr>
          <w:rFonts w:ascii="Times New Roman" w:eastAsia="Times New Roman" w:hAnsi="Times New Roman" w:cs="Times New Roman"/>
          <w:sz w:val="24"/>
          <w:szCs w:val="24"/>
          <w:lang w:val="uk-UA"/>
        </w:rPr>
      </w:pPr>
      <w:r w:rsidRPr="007620A2">
        <w:rPr>
          <w:noProof/>
          <w:lang w:eastAsia="ru-RU"/>
        </w:rPr>
        <mc:AlternateContent>
          <mc:Choice Requires="wps">
            <w:drawing>
              <wp:anchor distT="0" distB="0" distL="114300" distR="114300" simplePos="0" relativeHeight="251673600" behindDoc="0" locked="0" layoutInCell="1" allowOverlap="1" wp14:anchorId="090C8DF5" wp14:editId="0F5FD49E">
                <wp:simplePos x="0" y="0"/>
                <wp:positionH relativeFrom="page">
                  <wp:posOffset>2860677</wp:posOffset>
                </wp:positionH>
                <wp:positionV relativeFrom="paragraph">
                  <wp:posOffset>555110</wp:posOffset>
                </wp:positionV>
                <wp:extent cx="612422" cy="234102"/>
                <wp:effectExtent l="38100" t="171450" r="0" b="166370"/>
                <wp:wrapNone/>
                <wp:docPr id="1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707204">
                          <a:off x="0" y="0"/>
                          <a:ext cx="612422" cy="234102"/>
                        </a:xfrm>
                        <a:prstGeom prst="rect">
                          <a:avLst/>
                        </a:prstGeom>
                        <a:solidFill>
                          <a:srgbClr val="FFFFFF"/>
                        </a:solidFill>
                        <a:ln w="9525">
                          <a:solidFill>
                            <a:sysClr val="window" lastClr="FFFFFF">
                              <a:lumMod val="100000"/>
                              <a:lumOff val="0"/>
                            </a:sysClr>
                          </a:solidFill>
                          <a:miter lim="800000"/>
                          <a:headEnd/>
                          <a:tailEnd/>
                        </a:ln>
                      </wps:spPr>
                      <wps:txbx>
                        <w:txbxContent>
                          <w:p w14:paraId="54D93923" w14:textId="77777777" w:rsidR="00463074" w:rsidRPr="005C68C6" w:rsidRDefault="00463074" w:rsidP="000B04B1">
                            <w:pPr>
                              <w:rPr>
                                <w:rFonts w:ascii="Times New Roman" w:hAnsi="Times New Roman" w:cs="Times New Roman"/>
                                <w:b/>
                                <w:color w:val="FF0000"/>
                                <w:sz w:val="20"/>
                                <w:szCs w:val="20"/>
                                <w:lang w:val="uk-UA"/>
                              </w:rPr>
                            </w:pPr>
                            <w:r>
                              <w:rPr>
                                <w:rFonts w:ascii="Times New Roman" w:hAnsi="Times New Roman" w:cs="Times New Roman"/>
                                <w:b/>
                                <w:color w:val="FF0000"/>
                                <w:sz w:val="20"/>
                                <w:szCs w:val="20"/>
                                <w:lang w:val="uk-UA"/>
                              </w:rPr>
                              <w:t xml:space="preserve">191 </w:t>
                            </w:r>
                            <w:r w:rsidRPr="005C68C6">
                              <w:rPr>
                                <w:rFonts w:ascii="Times New Roman" w:hAnsi="Times New Roman" w:cs="Times New Roman"/>
                                <w:b/>
                                <w:color w:val="FF0000"/>
                                <w:sz w:val="20"/>
                                <w:szCs w:val="20"/>
                                <w:lang w:val="uk-UA"/>
                              </w:rPr>
                              <w:t>%</w:t>
                            </w:r>
                          </w:p>
                          <w:p w14:paraId="2C71E53C" w14:textId="77777777" w:rsidR="00463074" w:rsidRDefault="00463074" w:rsidP="000B04B1">
                            <w:pPr>
                              <w:rPr>
                                <w:rFonts w:ascii="Times New Roman" w:hAnsi="Times New Roman" w:cs="Times New Roman"/>
                                <w:b/>
                                <w:color w:val="FF0000"/>
                                <w:sz w:val="20"/>
                                <w:szCs w:val="20"/>
                                <w:lang w:val="uk-UA"/>
                              </w:rPr>
                            </w:pPr>
                            <w:r>
                              <w:rPr>
                                <w:rFonts w:ascii="Times New Roman" w:hAnsi="Times New Roman" w:cs="Times New Roman"/>
                                <w:b/>
                                <w:color w:val="FF0000"/>
                                <w:sz w:val="20"/>
                                <w:szCs w:val="20"/>
                                <w:lang w:val="uk-UA"/>
                              </w:rPr>
                              <w:t>%%%</w:t>
                            </w:r>
                          </w:p>
                          <w:p w14:paraId="2873E964" w14:textId="77777777" w:rsidR="00463074" w:rsidRPr="005C68C6" w:rsidRDefault="00463074" w:rsidP="000B04B1">
                            <w:pPr>
                              <w:rPr>
                                <w:rFonts w:ascii="Times New Roman" w:hAnsi="Times New Roman" w:cs="Times New Roman"/>
                                <w:b/>
                                <w:color w:val="FF0000"/>
                                <w:sz w:val="20"/>
                                <w:szCs w:val="20"/>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8DF5" id="Rectangle 136" o:spid="_x0000_s1031" style="position:absolute;left:0;text-align:left;margin-left:225.25pt;margin-top:43.7pt;width:48.2pt;height:18.45pt;rotation:-2067438fd;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" strokecolor="white">
                <v:textbox>
                  <w:txbxContent>
                    <w:p w14:paraId="54D93923" w14:textId="77777777" w:rsidR="00463074" w:rsidRPr="005C68C6" w:rsidRDefault="00463074" w:rsidP="000B04B1">
                      <w:pPr>
                        <w:rPr>
                          <w:rFonts w:ascii="Times New Roman" w:hAnsi="Times New Roman" w:cs="Times New Roman"/>
                          <w:b/>
                          <w:color w:val="FF0000"/>
                          <w:sz w:val="20"/>
                          <w:szCs w:val="20"/>
                          <w:lang w:val="uk-UA"/>
                        </w:rPr>
                      </w:pPr>
                      <w:r>
                        <w:rPr>
                          <w:rFonts w:ascii="Times New Roman" w:hAnsi="Times New Roman" w:cs="Times New Roman"/>
                          <w:b/>
                          <w:color w:val="FF0000"/>
                          <w:sz w:val="20"/>
                          <w:szCs w:val="20"/>
                          <w:lang w:val="uk-UA"/>
                        </w:rPr>
                        <w:t xml:space="preserve">191 </w:t>
                      </w:r>
                      <w:r w:rsidRPr="005C68C6">
                        <w:rPr>
                          <w:rFonts w:ascii="Times New Roman" w:hAnsi="Times New Roman" w:cs="Times New Roman"/>
                          <w:b/>
                          <w:color w:val="FF0000"/>
                          <w:sz w:val="20"/>
                          <w:szCs w:val="20"/>
                          <w:lang w:val="uk-UA"/>
                        </w:rPr>
                        <w:t>%</w:t>
                      </w:r>
                    </w:p>
                    <w:p w14:paraId="2C71E53C" w14:textId="77777777" w:rsidR="00463074" w:rsidRDefault="00463074" w:rsidP="000B04B1">
                      <w:pPr>
                        <w:rPr>
                          <w:rFonts w:ascii="Times New Roman" w:hAnsi="Times New Roman" w:cs="Times New Roman"/>
                          <w:b/>
                          <w:color w:val="FF0000"/>
                          <w:sz w:val="20"/>
                          <w:szCs w:val="20"/>
                          <w:lang w:val="uk-UA"/>
                        </w:rPr>
                      </w:pPr>
                      <w:r>
                        <w:rPr>
                          <w:rFonts w:ascii="Times New Roman" w:hAnsi="Times New Roman" w:cs="Times New Roman"/>
                          <w:b/>
                          <w:color w:val="FF0000"/>
                          <w:sz w:val="20"/>
                          <w:szCs w:val="20"/>
                          <w:lang w:val="uk-UA"/>
                        </w:rPr>
                        <w:t>%%%</w:t>
                      </w:r>
                    </w:p>
                    <w:p w14:paraId="2873E964" w14:textId="77777777" w:rsidR="00463074" w:rsidRPr="005C68C6" w:rsidRDefault="00463074" w:rsidP="000B04B1">
                      <w:pPr>
                        <w:rPr>
                          <w:rFonts w:ascii="Times New Roman" w:hAnsi="Times New Roman" w:cs="Times New Roman"/>
                          <w:b/>
                          <w:color w:val="FF0000"/>
                          <w:sz w:val="20"/>
                          <w:szCs w:val="20"/>
                          <w:lang w:val="uk-UA"/>
                        </w:rPr>
                      </w:pPr>
                    </w:p>
                  </w:txbxContent>
                </v:textbox>
                <w10:wrap anchorx="page"/>
              </v:rect>
            </w:pict>
          </mc:Fallback>
        </mc:AlternateContent>
      </w:r>
      <w:r w:rsidRPr="007620A2">
        <w:rPr>
          <w:noProof/>
          <w:lang w:eastAsia="ru-RU"/>
        </w:rPr>
        <mc:AlternateContent>
          <mc:Choice Requires="wps">
            <w:drawing>
              <wp:anchor distT="0" distB="0" distL="114300" distR="114300" simplePos="0" relativeHeight="251671552" behindDoc="0" locked="0" layoutInCell="1" allowOverlap="1" wp14:anchorId="6435722E" wp14:editId="41FF4CB2">
                <wp:simplePos x="0" y="0"/>
                <wp:positionH relativeFrom="column">
                  <wp:posOffset>1600066</wp:posOffset>
                </wp:positionH>
                <wp:positionV relativeFrom="paragraph">
                  <wp:posOffset>147178</wp:posOffset>
                </wp:positionV>
                <wp:extent cx="222843" cy="79343"/>
                <wp:effectExtent l="19050" t="57150" r="25400" b="54610"/>
                <wp:wrapNone/>
                <wp:docPr id="2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24109" flipV="1">
                          <a:off x="0" y="0"/>
                          <a:ext cx="222843" cy="79343"/>
                        </a:xfrm>
                        <a:prstGeom prst="rect">
                          <a:avLst/>
                        </a:prstGeom>
                        <a:solidFill>
                          <a:srgbClr val="FFFFFF"/>
                        </a:solidFill>
                        <a:ln w="9525">
                          <a:solidFill>
                            <a:sysClr val="window" lastClr="FFFFFF">
                              <a:lumMod val="100000"/>
                              <a:lumOff val="0"/>
                            </a:sysClr>
                          </a:solidFill>
                          <a:miter lim="800000"/>
                          <a:headEnd/>
                          <a:tailEnd/>
                        </a:ln>
                      </wps:spPr>
                      <wps:txbx>
                        <w:txbxContent>
                          <w:p w14:paraId="433A2F73" w14:textId="77777777" w:rsidR="00463074" w:rsidRPr="005C68C6" w:rsidRDefault="00463074" w:rsidP="000B04B1">
                            <w:pPr>
                              <w:rPr>
                                <w:rFonts w:ascii="Times New Roman" w:hAnsi="Times New Roman" w:cs="Times New Roman"/>
                                <w:b/>
                                <w:color w:val="FF0000"/>
                                <w:sz w:val="20"/>
                                <w:szCs w:val="20"/>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5722E" id="Rectangle 134" o:spid="_x0000_s1032" style="position:absolute;left:0;text-align:left;margin-left:126pt;margin-top:11.6pt;width:17.55pt;height:6.25pt;rotation:1284387fd;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" strokecolor="white">
                <v:textbox>
                  <w:txbxContent>
                    <w:p w14:paraId="433A2F73" w14:textId="77777777" w:rsidR="00463074" w:rsidRPr="005C68C6" w:rsidRDefault="00463074" w:rsidP="000B04B1">
                      <w:pPr>
                        <w:rPr>
                          <w:rFonts w:ascii="Times New Roman" w:hAnsi="Times New Roman" w:cs="Times New Roman"/>
                          <w:b/>
                          <w:color w:val="FF0000"/>
                          <w:sz w:val="20"/>
                          <w:szCs w:val="20"/>
                          <w:lang w:val="uk-UA"/>
                        </w:rPr>
                      </w:pPr>
                    </w:p>
                  </w:txbxContent>
                </v:textbox>
              </v:rect>
            </w:pict>
          </mc:Fallback>
        </mc:AlternateContent>
      </w:r>
      <w:r w:rsidR="000B04B1" w:rsidRPr="007620A2">
        <w:rPr>
          <w:noProof/>
          <w:lang w:eastAsia="ru-RU"/>
        </w:rPr>
        <mc:AlternateContent>
          <mc:Choice Requires="wps">
            <w:drawing>
              <wp:anchor distT="0" distB="0" distL="114300" distR="114300" simplePos="0" relativeHeight="251672576" behindDoc="0" locked="0" layoutInCell="1" allowOverlap="1" wp14:anchorId="1253B385" wp14:editId="0B061E24">
                <wp:simplePos x="0" y="0"/>
                <wp:positionH relativeFrom="column">
                  <wp:posOffset>1777365</wp:posOffset>
                </wp:positionH>
                <wp:positionV relativeFrom="paragraph">
                  <wp:posOffset>617855</wp:posOffset>
                </wp:positionV>
                <wp:extent cx="710517" cy="247650"/>
                <wp:effectExtent l="38100" t="114300" r="33020" b="114300"/>
                <wp:wrapNone/>
                <wp:docPr id="1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85239">
                          <a:off x="0" y="0"/>
                          <a:ext cx="710517" cy="247650"/>
                        </a:xfrm>
                        <a:prstGeom prst="rect">
                          <a:avLst/>
                        </a:prstGeom>
                        <a:solidFill>
                          <a:srgbClr val="FFFFFF"/>
                        </a:solidFill>
                        <a:ln w="9525">
                          <a:solidFill>
                            <a:sysClr val="window" lastClr="FFFFFF">
                              <a:lumMod val="100000"/>
                              <a:lumOff val="0"/>
                            </a:sysClr>
                          </a:solidFill>
                          <a:miter lim="800000"/>
                          <a:headEnd/>
                          <a:tailEnd/>
                        </a:ln>
                      </wps:spPr>
                      <wps:txbx>
                        <w:txbxContent>
                          <w:p w14:paraId="4AFA7434" w14:textId="77777777" w:rsidR="00463074" w:rsidRPr="005C68C6" w:rsidRDefault="00463074" w:rsidP="000B04B1">
                            <w:pPr>
                              <w:rPr>
                                <w:rFonts w:ascii="Times New Roman" w:hAnsi="Times New Roman" w:cs="Times New Roman"/>
                                <w:b/>
                                <w:color w:val="FF0000"/>
                                <w:sz w:val="20"/>
                                <w:szCs w:val="20"/>
                                <w:lang w:val="uk-UA"/>
                              </w:rPr>
                            </w:pPr>
                            <w:r>
                              <w:rPr>
                                <w:rFonts w:ascii="Times New Roman" w:hAnsi="Times New Roman" w:cs="Times New Roman"/>
                                <w:b/>
                                <w:color w:val="FF0000"/>
                                <w:sz w:val="20"/>
                                <w:szCs w:val="20"/>
                                <w:lang w:val="uk-UA"/>
                              </w:rPr>
                              <w:t xml:space="preserve">62,3 </w:t>
                            </w:r>
                            <w:r w:rsidRPr="005C68C6">
                              <w:rPr>
                                <w:rFonts w:ascii="Times New Roman" w:hAnsi="Times New Roman" w:cs="Times New Roman"/>
                                <w:b/>
                                <w:color w:val="FF0000"/>
                                <w:sz w:val="20"/>
                                <w:szCs w:val="2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3B385" id="Rectangle 135" o:spid="_x0000_s1033" style="position:absolute;left:0;text-align:left;margin-left:139.95pt;margin-top:48.65pt;width:55.95pt;height:19.5pt;rotation:107614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" strokecolor="white">
                <v:textbox>
                  <w:txbxContent>
                    <w:p w14:paraId="4AFA7434" w14:textId="77777777" w:rsidR="00463074" w:rsidRPr="005C68C6" w:rsidRDefault="00463074" w:rsidP="000B04B1">
                      <w:pPr>
                        <w:rPr>
                          <w:rFonts w:ascii="Times New Roman" w:hAnsi="Times New Roman" w:cs="Times New Roman"/>
                          <w:b/>
                          <w:color w:val="FF0000"/>
                          <w:sz w:val="20"/>
                          <w:szCs w:val="20"/>
                          <w:lang w:val="uk-UA"/>
                        </w:rPr>
                      </w:pPr>
                      <w:r>
                        <w:rPr>
                          <w:rFonts w:ascii="Times New Roman" w:hAnsi="Times New Roman" w:cs="Times New Roman"/>
                          <w:b/>
                          <w:color w:val="FF0000"/>
                          <w:sz w:val="20"/>
                          <w:szCs w:val="20"/>
                          <w:lang w:val="uk-UA"/>
                        </w:rPr>
                        <w:t xml:space="preserve">62,3 </w:t>
                      </w:r>
                      <w:r w:rsidRPr="005C68C6">
                        <w:rPr>
                          <w:rFonts w:ascii="Times New Roman" w:hAnsi="Times New Roman" w:cs="Times New Roman"/>
                          <w:b/>
                          <w:color w:val="FF0000"/>
                          <w:sz w:val="20"/>
                          <w:szCs w:val="20"/>
                          <w:lang w:val="uk-UA"/>
                        </w:rPr>
                        <w:t>%</w:t>
                      </w:r>
                    </w:p>
                  </w:txbxContent>
                </v:textbox>
              </v:rect>
            </w:pict>
          </mc:Fallback>
        </mc:AlternateContent>
      </w:r>
      <w:r w:rsidR="000B04B1" w:rsidRPr="007620A2">
        <w:rPr>
          <w:noProof/>
          <w:lang w:eastAsia="ru-RU"/>
        </w:rPr>
        <w:drawing>
          <wp:inline distT="0" distB="0" distL="0" distR="0" wp14:anchorId="149C0D1E" wp14:editId="475FC374">
            <wp:extent cx="6029325" cy="3505200"/>
            <wp:effectExtent l="0" t="0" r="9525" b="0"/>
            <wp:docPr id="2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7C350B8" w14:textId="77777777" w:rsidR="003F7140" w:rsidRDefault="003F7140" w:rsidP="000B04B1">
      <w:pPr>
        <w:spacing w:after="0"/>
        <w:jc w:val="center"/>
        <w:rPr>
          <w:rFonts w:ascii="Times New Roman" w:hAnsi="Times New Roman" w:cs="Times New Roman"/>
          <w:b/>
          <w:sz w:val="28"/>
          <w:szCs w:val="28"/>
          <w:lang w:val="uk-UA"/>
        </w:rPr>
      </w:pPr>
    </w:p>
    <w:p w14:paraId="6A4B4AE3" w14:textId="77777777" w:rsidR="00252424" w:rsidRDefault="00252424" w:rsidP="000B04B1">
      <w:pPr>
        <w:spacing w:after="0"/>
        <w:jc w:val="center"/>
        <w:rPr>
          <w:rFonts w:ascii="Times New Roman" w:hAnsi="Times New Roman" w:cs="Times New Roman"/>
          <w:b/>
          <w:sz w:val="28"/>
          <w:szCs w:val="28"/>
          <w:lang w:val="uk-UA"/>
        </w:rPr>
      </w:pPr>
    </w:p>
    <w:p w14:paraId="6584CF70" w14:textId="77777777" w:rsidR="00252424" w:rsidRDefault="00252424" w:rsidP="000B04B1">
      <w:pPr>
        <w:spacing w:after="0"/>
        <w:jc w:val="center"/>
        <w:rPr>
          <w:rFonts w:ascii="Times New Roman" w:hAnsi="Times New Roman" w:cs="Times New Roman"/>
          <w:b/>
          <w:sz w:val="28"/>
          <w:szCs w:val="28"/>
          <w:lang w:val="uk-UA"/>
        </w:rPr>
      </w:pPr>
    </w:p>
    <w:p w14:paraId="3316E7E3" w14:textId="77777777" w:rsidR="00252424" w:rsidRDefault="00252424" w:rsidP="000B04B1">
      <w:pPr>
        <w:spacing w:after="0"/>
        <w:jc w:val="center"/>
        <w:rPr>
          <w:rFonts w:ascii="Times New Roman" w:hAnsi="Times New Roman" w:cs="Times New Roman"/>
          <w:b/>
          <w:sz w:val="28"/>
          <w:szCs w:val="28"/>
          <w:lang w:val="uk-UA"/>
        </w:rPr>
      </w:pPr>
    </w:p>
    <w:p w14:paraId="1381ED45" w14:textId="6709A31C" w:rsidR="000B04B1" w:rsidRPr="007620A2" w:rsidRDefault="000B04B1" w:rsidP="000B04B1">
      <w:pPr>
        <w:spacing w:after="0"/>
        <w:jc w:val="center"/>
        <w:rPr>
          <w:rFonts w:ascii="Times New Roman" w:hAnsi="Times New Roman" w:cs="Times New Roman"/>
          <w:sz w:val="24"/>
          <w:szCs w:val="24"/>
          <w:lang w:val="uk-UA"/>
        </w:rPr>
      </w:pPr>
      <w:r w:rsidRPr="007620A2">
        <w:rPr>
          <w:rFonts w:ascii="Times New Roman" w:hAnsi="Times New Roman" w:cs="Times New Roman"/>
          <w:b/>
          <w:sz w:val="28"/>
          <w:szCs w:val="28"/>
          <w:lang w:val="uk-UA"/>
        </w:rPr>
        <w:t>Місцеві податки і збори.</w:t>
      </w:r>
    </w:p>
    <w:p w14:paraId="7A782E7A" w14:textId="77777777" w:rsidR="000B04B1" w:rsidRPr="007620A2" w:rsidRDefault="000B04B1" w:rsidP="000B04B1">
      <w:pPr>
        <w:spacing w:after="0" w:line="240" w:lineRule="auto"/>
        <w:ind w:firstLine="567"/>
        <w:jc w:val="both"/>
        <w:rPr>
          <w:rFonts w:ascii="Times New Roman" w:hAnsi="Times New Roman" w:cs="Times New Roman"/>
          <w:b/>
          <w:sz w:val="24"/>
          <w:szCs w:val="24"/>
          <w:u w:val="single"/>
          <w:lang w:val="uk-UA"/>
        </w:rPr>
      </w:pPr>
      <w:r w:rsidRPr="007620A2">
        <w:rPr>
          <w:rFonts w:ascii="Times New Roman" w:hAnsi="Times New Roman" w:cs="Times New Roman"/>
          <w:sz w:val="24"/>
          <w:szCs w:val="24"/>
          <w:lang w:val="uk-UA"/>
        </w:rPr>
        <w:t xml:space="preserve">Рішенням Чорноморської міської ради від 05.01.2015р. № 573-VI (зі змінами та доповненнями) встановлено на території Чорноморської міської територіальної громади такі </w:t>
      </w:r>
      <w:r w:rsidRPr="007620A2">
        <w:rPr>
          <w:rFonts w:ascii="Times New Roman" w:hAnsi="Times New Roman" w:cs="Times New Roman"/>
          <w:b/>
          <w:sz w:val="24"/>
          <w:szCs w:val="24"/>
          <w:u w:val="single"/>
          <w:lang w:val="uk-UA"/>
        </w:rPr>
        <w:t>місцеві податки і збори :</w:t>
      </w:r>
    </w:p>
    <w:p w14:paraId="6F9C0A49" w14:textId="77777777" w:rsidR="000B04B1" w:rsidRPr="007620A2" w:rsidRDefault="000B04B1" w:rsidP="000B04B1">
      <w:pPr>
        <w:pStyle w:val="a4"/>
        <w:numPr>
          <w:ilvl w:val="0"/>
          <w:numId w:val="1"/>
        </w:numPr>
        <w:spacing w:after="0" w:line="240" w:lineRule="auto"/>
        <w:ind w:left="0" w:firstLine="567"/>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місцеві податки:</w:t>
      </w:r>
    </w:p>
    <w:p w14:paraId="5043780C" w14:textId="77777777" w:rsidR="000B04B1" w:rsidRPr="007620A2" w:rsidRDefault="000B04B1" w:rsidP="000B04B1">
      <w:pPr>
        <w:pStyle w:val="a4"/>
        <w:numPr>
          <w:ilvl w:val="0"/>
          <w:numId w:val="2"/>
        </w:numPr>
        <w:spacing w:after="0" w:line="240" w:lineRule="auto"/>
        <w:ind w:left="567"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податок на майно (в частині податку на нерухоме майно, відмінне від земельної ділянки,  плати за землю та транспортного податку);</w:t>
      </w:r>
    </w:p>
    <w:p w14:paraId="476142FE" w14:textId="77777777" w:rsidR="000B04B1" w:rsidRPr="007620A2" w:rsidRDefault="000B04B1" w:rsidP="000B04B1">
      <w:pPr>
        <w:pStyle w:val="a4"/>
        <w:numPr>
          <w:ilvl w:val="0"/>
          <w:numId w:val="2"/>
        </w:numPr>
        <w:spacing w:after="0" w:line="240" w:lineRule="auto"/>
        <w:ind w:left="567"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єдиний податок.</w:t>
      </w:r>
    </w:p>
    <w:p w14:paraId="7953F3EB" w14:textId="77777777" w:rsidR="000B04B1" w:rsidRPr="007620A2" w:rsidRDefault="000B04B1" w:rsidP="000B04B1">
      <w:pPr>
        <w:pStyle w:val="a4"/>
        <w:numPr>
          <w:ilvl w:val="0"/>
          <w:numId w:val="1"/>
        </w:numPr>
        <w:spacing w:after="0" w:line="240" w:lineRule="auto"/>
        <w:ind w:left="0" w:firstLine="567"/>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місцеві збори:</w:t>
      </w:r>
    </w:p>
    <w:p w14:paraId="24C182EC" w14:textId="77777777" w:rsidR="000B04B1" w:rsidRPr="007620A2" w:rsidRDefault="000B04B1" w:rsidP="000B04B1">
      <w:pPr>
        <w:pStyle w:val="a4"/>
        <w:numPr>
          <w:ilvl w:val="0"/>
          <w:numId w:val="3"/>
        </w:numPr>
        <w:spacing w:after="0" w:line="240" w:lineRule="auto"/>
        <w:ind w:left="567"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туристичний збір.</w:t>
      </w:r>
    </w:p>
    <w:p w14:paraId="6930134B" w14:textId="77777777" w:rsidR="003F7140" w:rsidRDefault="003F7140" w:rsidP="003F7140">
      <w:pPr>
        <w:spacing w:after="0" w:line="240" w:lineRule="auto"/>
        <w:ind w:firstLine="567"/>
        <w:jc w:val="both"/>
        <w:rPr>
          <w:rFonts w:ascii="Times New Roman" w:hAnsi="Times New Roman" w:cs="Times New Roman"/>
          <w:sz w:val="24"/>
          <w:szCs w:val="24"/>
          <w:lang w:val="uk-UA"/>
        </w:rPr>
      </w:pPr>
    </w:p>
    <w:p w14:paraId="2EC857A6" w14:textId="1AFCA419" w:rsidR="000B04B1" w:rsidRPr="007620A2" w:rsidRDefault="000B04B1" w:rsidP="003F7140">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Рішення, прийняті Чорноморською міською радою щодо встановлення місцевих податків і зборів є безстроковими та діють до моменту їх скасування або втрати чинності такими рішеннями в порядку, визначеному законодавством України.    </w:t>
      </w:r>
    </w:p>
    <w:p w14:paraId="56D752D2" w14:textId="6AFF3D68" w:rsidR="000B04B1" w:rsidRPr="007620A2" w:rsidRDefault="000B04B1" w:rsidP="003F7140">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Законом України від 16 січня 2020 року №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були внесені зміни до Податкового кодексу України та, зокрема, визначено: «Якщо в рішенні органу місцевого самоврядування про встановлення місцевих податків та/або зборів, а також податкових пільг з їх сплати не визначено термін його дії, таке рішення є чинним до прийняття нового рішення» (абзац другий пп. 12.3.3 п.12.3 ст.12 Податкового кодексу України).</w:t>
      </w:r>
    </w:p>
    <w:p w14:paraId="5329009F" w14:textId="6A9F2241" w:rsidR="003F7140"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Частка місцевих податків </w:t>
      </w:r>
      <w:r w:rsidR="000F0572">
        <w:rPr>
          <w:rFonts w:ascii="Times New Roman" w:hAnsi="Times New Roman" w:cs="Times New Roman"/>
          <w:sz w:val="24"/>
          <w:szCs w:val="24"/>
          <w:lang w:val="uk-UA"/>
        </w:rPr>
        <w:t xml:space="preserve">та зборів </w:t>
      </w:r>
      <w:r w:rsidRPr="007620A2">
        <w:rPr>
          <w:rFonts w:ascii="Times New Roman" w:hAnsi="Times New Roman" w:cs="Times New Roman"/>
          <w:sz w:val="24"/>
          <w:szCs w:val="24"/>
          <w:lang w:val="uk-UA"/>
        </w:rPr>
        <w:t xml:space="preserve">у прогнозних надходженнях загального фонду                            бюджету  Чорноморської міської територіальної громади на 2025 рік складає 32,7 % або </w:t>
      </w:r>
      <w:r w:rsidR="000F0572">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338 775,2  тис. гривень.</w:t>
      </w:r>
    </w:p>
    <w:p w14:paraId="63D6E550" w14:textId="4AFBBABB" w:rsidR="000B04B1" w:rsidRPr="007620A2" w:rsidRDefault="00892D6E"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noProof/>
          <w:sz w:val="24"/>
          <w:szCs w:val="24"/>
          <w:lang w:eastAsia="ru-RU"/>
        </w:rPr>
        <w:drawing>
          <wp:anchor distT="0" distB="0" distL="114300" distR="114300" simplePos="0" relativeHeight="251669504" behindDoc="0" locked="0" layoutInCell="1" allowOverlap="1" wp14:anchorId="14AC1623" wp14:editId="40D92972">
            <wp:simplePos x="0" y="0"/>
            <wp:positionH relativeFrom="margin">
              <wp:posOffset>297815</wp:posOffset>
            </wp:positionH>
            <wp:positionV relativeFrom="paragraph">
              <wp:posOffset>649605</wp:posOffset>
            </wp:positionV>
            <wp:extent cx="5781675" cy="1851660"/>
            <wp:effectExtent l="0" t="57150" r="0" b="110490"/>
            <wp:wrapSquare wrapText="bothSides"/>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Pr="007620A2">
        <w:rPr>
          <w:rFonts w:ascii="Times New Roman" w:hAnsi="Times New Roman" w:cs="Times New Roman"/>
          <w:noProof/>
          <w:sz w:val="24"/>
          <w:szCs w:val="24"/>
          <w:lang w:eastAsia="ru-RU"/>
        </w:rPr>
        <mc:AlternateContent>
          <mc:Choice Requires="wps">
            <w:drawing>
              <wp:anchor distT="0" distB="0" distL="114300" distR="114300" simplePos="0" relativeHeight="251668480" behindDoc="1" locked="0" layoutInCell="1" allowOverlap="1" wp14:anchorId="4CA9906B" wp14:editId="3C794084">
                <wp:simplePos x="0" y="0"/>
                <wp:positionH relativeFrom="margin">
                  <wp:posOffset>297180</wp:posOffset>
                </wp:positionH>
                <wp:positionV relativeFrom="paragraph">
                  <wp:posOffset>241935</wp:posOffset>
                </wp:positionV>
                <wp:extent cx="5781675" cy="332105"/>
                <wp:effectExtent l="0" t="0" r="28575" b="10795"/>
                <wp:wrapTopAndBottom/>
                <wp:docPr id="3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32105"/>
                        </a:xfrm>
                        <a:prstGeom prst="roundRect">
                          <a:avLst>
                            <a:gd name="adj" fmla="val 16667"/>
                          </a:avLst>
                        </a:prstGeom>
                        <a:solidFill>
                          <a:schemeClr val="accent5"/>
                        </a:solidFill>
                        <a:ln w="9525">
                          <a:solidFill>
                            <a:srgbClr val="000000"/>
                          </a:solidFill>
                          <a:round/>
                          <a:headEnd/>
                          <a:tailEnd/>
                        </a:ln>
                      </wps:spPr>
                      <wps:txbx>
                        <w:txbxContent>
                          <w:p w14:paraId="386A36E8" w14:textId="77777777" w:rsidR="00463074" w:rsidRPr="007029A6" w:rsidRDefault="00463074" w:rsidP="000B04B1">
                            <w:pPr>
                              <w:jc w:val="center"/>
                              <w:rPr>
                                <w:b/>
                                <w:sz w:val="28"/>
                                <w:szCs w:val="28"/>
                                <w:lang w:val="uk-UA"/>
                              </w:rPr>
                            </w:pPr>
                            <w:r w:rsidRPr="007029A6">
                              <w:rPr>
                                <w:b/>
                                <w:sz w:val="28"/>
                                <w:szCs w:val="28"/>
                                <w:lang w:val="uk-UA"/>
                              </w:rPr>
                              <w:t>Складові частини податку на майно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9906B" id="AutoShape 15" o:spid="_x0000_s1034" style="position:absolute;left:0;text-align:left;margin-left:23.4pt;margin-top:19.05pt;width:455.25pt;height:26.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" fillcolor="#4bacc6 [3208]">
                <v:textbox>
                  <w:txbxContent>
                    <w:p w14:paraId="386A36E8" w14:textId="77777777" w:rsidR="00463074" w:rsidRPr="007029A6" w:rsidRDefault="00463074" w:rsidP="000B04B1">
                      <w:pPr>
                        <w:jc w:val="center"/>
                        <w:rPr>
                          <w:b/>
                          <w:sz w:val="28"/>
                          <w:szCs w:val="28"/>
                          <w:lang w:val="uk-UA"/>
                        </w:rPr>
                      </w:pPr>
                      <w:r w:rsidRPr="007029A6">
                        <w:rPr>
                          <w:b/>
                          <w:sz w:val="28"/>
                          <w:szCs w:val="28"/>
                          <w:lang w:val="uk-UA"/>
                        </w:rPr>
                        <w:t>Складові частини податку на майно :</w:t>
                      </w:r>
                    </w:p>
                  </w:txbxContent>
                </v:textbox>
                <w10:wrap type="topAndBottom" anchorx="margin"/>
              </v:roundrect>
            </w:pict>
          </mc:Fallback>
        </mc:AlternateContent>
      </w:r>
      <w:r w:rsidR="000B04B1" w:rsidRPr="007620A2">
        <w:rPr>
          <w:rFonts w:ascii="Times New Roman" w:hAnsi="Times New Roman" w:cs="Times New Roman"/>
          <w:b/>
          <w:sz w:val="24"/>
          <w:szCs w:val="24"/>
          <w:lang w:val="uk-UA"/>
        </w:rPr>
        <w:t>Податок на майно (18010000)</w:t>
      </w:r>
      <w:r w:rsidR="000B04B1" w:rsidRPr="007620A2">
        <w:rPr>
          <w:rFonts w:ascii="Times New Roman" w:hAnsi="Times New Roman" w:cs="Times New Roman"/>
          <w:sz w:val="24"/>
          <w:szCs w:val="24"/>
          <w:lang w:val="uk-UA"/>
        </w:rPr>
        <w:t xml:space="preserve"> є одним з ключових джерел наповнення бюджету громади.</w:t>
      </w:r>
    </w:p>
    <w:p w14:paraId="46281709" w14:textId="261772D5" w:rsidR="000B04B1" w:rsidRPr="007620A2" w:rsidRDefault="00892D6E" w:rsidP="000B04B1">
      <w:pPr>
        <w:spacing w:after="0" w:line="240" w:lineRule="auto"/>
        <w:ind w:firstLine="567"/>
        <w:jc w:val="both"/>
        <w:rPr>
          <w:rFonts w:ascii="Times New Roman" w:hAnsi="Times New Roman" w:cs="Times New Roman"/>
          <w:color w:val="000000"/>
          <w:sz w:val="24"/>
          <w:szCs w:val="24"/>
          <w:lang w:val="uk-UA"/>
        </w:rPr>
      </w:pPr>
      <w:r w:rsidRPr="007620A2">
        <w:rPr>
          <w:rFonts w:ascii="Times New Roman" w:hAnsi="Times New Roman" w:cs="Times New Roman"/>
          <w:b/>
          <w:sz w:val="24"/>
          <w:szCs w:val="24"/>
          <w:lang w:val="uk-UA"/>
        </w:rPr>
        <w:t>Податок на нерухоме майно, відмінне від земельної ділянки (ККДБ 18010100, 18010200,</w:t>
      </w:r>
      <w:r w:rsidR="000B04B1" w:rsidRPr="007620A2">
        <w:rPr>
          <w:rFonts w:ascii="Times New Roman" w:hAnsi="Times New Roman" w:cs="Times New Roman"/>
          <w:b/>
          <w:sz w:val="24"/>
          <w:szCs w:val="24"/>
          <w:lang w:val="uk-UA"/>
        </w:rPr>
        <w:t>18010300, 18010400) на 2025 рік розраховано в обсязі 47</w:t>
      </w:r>
      <w:r w:rsidR="003F7140">
        <w:rPr>
          <w:rFonts w:ascii="Times New Roman" w:hAnsi="Times New Roman" w:cs="Times New Roman"/>
          <w:b/>
          <w:sz w:val="24"/>
          <w:szCs w:val="24"/>
          <w:lang w:val="uk-UA"/>
        </w:rPr>
        <w:t xml:space="preserve"> </w:t>
      </w:r>
      <w:r w:rsidR="000B04B1" w:rsidRPr="007620A2">
        <w:rPr>
          <w:rFonts w:ascii="Times New Roman" w:hAnsi="Times New Roman" w:cs="Times New Roman"/>
          <w:b/>
          <w:sz w:val="24"/>
          <w:szCs w:val="24"/>
          <w:lang w:val="uk-UA"/>
        </w:rPr>
        <w:t xml:space="preserve">482,2 тис. грн. </w:t>
      </w:r>
      <w:r w:rsidR="000B04B1" w:rsidRPr="007620A2">
        <w:rPr>
          <w:rFonts w:ascii="Times New Roman" w:hAnsi="Times New Roman" w:cs="Times New Roman"/>
          <w:color w:val="000000"/>
          <w:sz w:val="24"/>
          <w:szCs w:val="24"/>
          <w:lang w:val="uk-UA"/>
        </w:rPr>
        <w:t>Відповідно до підпункту 266.4.1 пункту 266.4 Податкового кодексу 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14:paraId="0B08A078" w14:textId="77777777" w:rsidR="000B04B1" w:rsidRPr="007620A2" w:rsidRDefault="000B04B1" w:rsidP="000B04B1">
      <w:pPr>
        <w:pStyle w:val="rvps2"/>
        <w:shd w:val="clear" w:color="auto" w:fill="FFFFFF"/>
        <w:spacing w:before="0" w:beforeAutospacing="0" w:after="0" w:afterAutospacing="0"/>
        <w:ind w:firstLine="567"/>
        <w:jc w:val="both"/>
        <w:textAlignment w:val="baseline"/>
        <w:rPr>
          <w:color w:val="000000"/>
          <w:lang w:val="uk-UA"/>
        </w:rPr>
      </w:pPr>
      <w:r w:rsidRPr="007620A2">
        <w:rPr>
          <w:color w:val="000000"/>
          <w:shd w:val="clear" w:color="auto" w:fill="FFFFFF"/>
          <w:lang w:val="uk-UA"/>
        </w:rPr>
        <w:t xml:space="preserve">а) для квартири/квартир незалежно від їх кількості - </w:t>
      </w:r>
      <w:r w:rsidRPr="007620A2">
        <w:rPr>
          <w:color w:val="000000"/>
          <w:u w:val="single"/>
          <w:shd w:val="clear" w:color="auto" w:fill="FFFFFF"/>
          <w:lang w:val="uk-UA"/>
        </w:rPr>
        <w:t>на 60 кв. метрів</w:t>
      </w:r>
      <w:r w:rsidRPr="007620A2">
        <w:rPr>
          <w:color w:val="000000"/>
          <w:shd w:val="clear" w:color="auto" w:fill="FFFFFF"/>
          <w:lang w:val="uk-UA"/>
        </w:rPr>
        <w:t>;</w:t>
      </w:r>
    </w:p>
    <w:p w14:paraId="6500DA28" w14:textId="77777777" w:rsidR="000B04B1" w:rsidRPr="007620A2" w:rsidRDefault="000B04B1" w:rsidP="000B04B1">
      <w:pPr>
        <w:spacing w:after="0" w:line="240" w:lineRule="auto"/>
        <w:ind w:firstLine="567"/>
        <w:jc w:val="both"/>
        <w:rPr>
          <w:rFonts w:ascii="Times New Roman" w:hAnsi="Times New Roman" w:cs="Times New Roman"/>
          <w:color w:val="000000"/>
          <w:sz w:val="24"/>
          <w:szCs w:val="24"/>
          <w:shd w:val="clear" w:color="auto" w:fill="FFFFFF"/>
          <w:lang w:val="uk-UA"/>
        </w:rPr>
      </w:pPr>
      <w:r w:rsidRPr="007620A2">
        <w:rPr>
          <w:rFonts w:ascii="Times New Roman" w:hAnsi="Times New Roman" w:cs="Times New Roman"/>
          <w:color w:val="000000"/>
          <w:sz w:val="24"/>
          <w:szCs w:val="24"/>
          <w:shd w:val="clear" w:color="auto" w:fill="FFFFFF"/>
          <w:lang w:val="uk-UA"/>
        </w:rPr>
        <w:t xml:space="preserve">б) для житлового будинку/будинків незалежно від їх кількості - </w:t>
      </w:r>
      <w:r w:rsidRPr="007620A2">
        <w:rPr>
          <w:rFonts w:ascii="Times New Roman" w:hAnsi="Times New Roman" w:cs="Times New Roman"/>
          <w:color w:val="000000"/>
          <w:sz w:val="24"/>
          <w:szCs w:val="24"/>
          <w:u w:val="single"/>
          <w:shd w:val="clear" w:color="auto" w:fill="FFFFFF"/>
          <w:lang w:val="uk-UA"/>
        </w:rPr>
        <w:t>на 120 кв. метрів</w:t>
      </w:r>
      <w:r w:rsidRPr="007620A2">
        <w:rPr>
          <w:rFonts w:ascii="Times New Roman" w:hAnsi="Times New Roman" w:cs="Times New Roman"/>
          <w:color w:val="000000"/>
          <w:sz w:val="24"/>
          <w:szCs w:val="24"/>
          <w:shd w:val="clear" w:color="auto" w:fill="FFFFFF"/>
          <w:lang w:val="uk-UA"/>
        </w:rPr>
        <w:t>;</w:t>
      </w:r>
    </w:p>
    <w:p w14:paraId="6CBE2411" w14:textId="77777777" w:rsidR="000B04B1" w:rsidRPr="007620A2" w:rsidRDefault="000B04B1" w:rsidP="000B04B1">
      <w:pPr>
        <w:spacing w:after="0" w:line="240" w:lineRule="auto"/>
        <w:ind w:firstLine="567"/>
        <w:jc w:val="both"/>
        <w:rPr>
          <w:rFonts w:ascii="Times New Roman" w:hAnsi="Times New Roman" w:cs="Times New Roman"/>
          <w:color w:val="000000"/>
          <w:sz w:val="24"/>
          <w:szCs w:val="24"/>
          <w:u w:val="single"/>
          <w:shd w:val="clear" w:color="auto" w:fill="FFFFFF"/>
          <w:lang w:val="uk-UA"/>
        </w:rPr>
      </w:pPr>
      <w:r w:rsidRPr="007620A2">
        <w:rPr>
          <w:rFonts w:ascii="Times New Roman" w:hAnsi="Times New Roman" w:cs="Times New Roman"/>
          <w:color w:val="000000"/>
          <w:sz w:val="24"/>
          <w:szCs w:val="24"/>
          <w:shd w:val="clear" w:color="auto" w:fill="FFFFFF"/>
          <w:lang w:val="uk-UA"/>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w:t>
      </w:r>
      <w:r w:rsidRPr="007620A2">
        <w:rPr>
          <w:rFonts w:ascii="Times New Roman" w:hAnsi="Times New Roman" w:cs="Times New Roman"/>
          <w:color w:val="000000"/>
          <w:sz w:val="24"/>
          <w:szCs w:val="24"/>
          <w:u w:val="single"/>
          <w:shd w:val="clear" w:color="auto" w:fill="FFFFFF"/>
          <w:lang w:val="uk-UA"/>
        </w:rPr>
        <w:t>на 180 кв. метрів.</w:t>
      </w:r>
    </w:p>
    <w:p w14:paraId="557AA3D3" w14:textId="77777777" w:rsidR="000B04B1" w:rsidRPr="007620A2" w:rsidRDefault="000B04B1" w:rsidP="000B04B1">
      <w:pPr>
        <w:spacing w:after="0" w:line="240" w:lineRule="auto"/>
        <w:ind w:firstLine="567"/>
        <w:jc w:val="both"/>
        <w:rPr>
          <w:rFonts w:ascii="Times New Roman" w:hAnsi="Times New Roman"/>
          <w:sz w:val="24"/>
          <w:szCs w:val="24"/>
          <w:lang w:val="uk-UA"/>
        </w:rPr>
      </w:pPr>
      <w:r w:rsidRPr="007620A2">
        <w:rPr>
          <w:rFonts w:ascii="Times New Roman" w:hAnsi="Times New Roman" w:cs="Times New Roman"/>
          <w:color w:val="000000"/>
          <w:sz w:val="24"/>
          <w:szCs w:val="24"/>
          <w:shd w:val="clear" w:color="auto" w:fill="FFFFFF"/>
          <w:lang w:val="uk-UA"/>
        </w:rPr>
        <w:t xml:space="preserve">Крім того, відповідно до підпункту 266.7.1¹ пункту 266.7 Податкового кодексу, </w:t>
      </w:r>
      <w:r w:rsidRPr="007620A2">
        <w:rPr>
          <w:rFonts w:ascii="Times New Roman" w:eastAsia="Arial Unicode MS" w:hAnsi="Times New Roman"/>
          <w:sz w:val="24"/>
          <w:szCs w:val="24"/>
          <w:lang w:val="uk-UA" w:eastAsia="uk-UA"/>
        </w:rPr>
        <w:t xml:space="preserve">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w:t>
      </w:r>
      <w:r w:rsidRPr="007620A2">
        <w:rPr>
          <w:rFonts w:ascii="Times New Roman" w:eastAsia="Arial Unicode MS" w:hAnsi="Times New Roman"/>
          <w:sz w:val="24"/>
          <w:szCs w:val="24"/>
          <w:lang w:val="uk-UA" w:eastAsia="uk-UA"/>
        </w:rPr>
        <w:sym w:font="Symbol" w:char="002D"/>
      </w:r>
      <w:r w:rsidRPr="007620A2">
        <w:rPr>
          <w:rFonts w:ascii="Times New Roman" w:eastAsia="Arial Unicode MS" w:hAnsi="Times New Roman"/>
          <w:sz w:val="24"/>
          <w:szCs w:val="24"/>
          <w:lang w:val="uk-UA" w:eastAsia="uk-UA"/>
        </w:rPr>
        <w:t xml:space="preserve">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законодавства, </w:t>
      </w:r>
      <w:r w:rsidRPr="007620A2">
        <w:rPr>
          <w:rFonts w:ascii="Times New Roman" w:eastAsia="Arial Unicode MS" w:hAnsi="Times New Roman"/>
          <w:b/>
          <w:sz w:val="24"/>
          <w:szCs w:val="24"/>
          <w:u w:val="single"/>
          <w:lang w:val="uk-UA" w:eastAsia="uk-UA"/>
        </w:rPr>
        <w:t>збільшується на 25 000 гривень</w:t>
      </w:r>
      <w:r w:rsidRPr="007620A2">
        <w:rPr>
          <w:rFonts w:ascii="Times New Roman" w:eastAsia="Arial Unicode MS" w:hAnsi="Times New Roman"/>
          <w:sz w:val="24"/>
          <w:szCs w:val="24"/>
          <w:lang w:val="uk-UA" w:eastAsia="uk-UA"/>
        </w:rPr>
        <w:t xml:space="preserve"> на рік за кожен такий об’єкт житлової нерухомості (його частку)</w:t>
      </w:r>
      <w:r w:rsidRPr="007620A2">
        <w:rPr>
          <w:rFonts w:ascii="Times New Roman" w:hAnsi="Times New Roman"/>
          <w:sz w:val="24"/>
          <w:szCs w:val="24"/>
          <w:lang w:val="uk-UA"/>
        </w:rPr>
        <w:t>.</w:t>
      </w:r>
      <w:r w:rsidRPr="007620A2">
        <w:rPr>
          <w:rFonts w:ascii="Times New Roman" w:hAnsi="Times New Roman" w:cs="Times New Roman"/>
          <w:b/>
          <w:sz w:val="28"/>
          <w:szCs w:val="28"/>
          <w:lang w:val="uk-UA"/>
        </w:rPr>
        <w:t xml:space="preserve">            </w:t>
      </w:r>
    </w:p>
    <w:p w14:paraId="5CEBB509" w14:textId="77777777" w:rsidR="000B04B1" w:rsidRPr="007620A2" w:rsidRDefault="000B04B1" w:rsidP="000B04B1">
      <w:pPr>
        <w:spacing w:after="0"/>
        <w:jc w:val="center"/>
        <w:rPr>
          <w:rFonts w:ascii="Times New Roman" w:hAnsi="Times New Roman" w:cs="Times New Roman"/>
          <w:b/>
          <w:sz w:val="24"/>
          <w:szCs w:val="24"/>
          <w:lang w:val="uk-UA"/>
        </w:rPr>
      </w:pPr>
    </w:p>
    <w:p w14:paraId="598CFCE0" w14:textId="5CADF7DC" w:rsidR="000B04B1" w:rsidRPr="007620A2" w:rsidRDefault="000B04B1" w:rsidP="000B04B1">
      <w:pPr>
        <w:spacing w:after="0"/>
        <w:jc w:val="center"/>
        <w:rPr>
          <w:rFonts w:ascii="Calibri" w:eastAsia="+mn-ea" w:hAnsi="Calibri" w:cs="+mn-cs"/>
          <w:color w:val="FFFFFF"/>
          <w:sz w:val="28"/>
          <w:szCs w:val="28"/>
          <w:lang w:val="uk-UA" w:eastAsia="ru-RU"/>
        </w:rPr>
      </w:pPr>
      <w:r w:rsidRPr="007620A2">
        <w:rPr>
          <w:rFonts w:ascii="Times New Roman" w:hAnsi="Times New Roman" w:cs="Times New Roman"/>
          <w:b/>
          <w:sz w:val="24"/>
          <w:szCs w:val="24"/>
          <w:lang w:val="uk-UA"/>
        </w:rPr>
        <w:t xml:space="preserve">                 Структура податку на нерухоме майно на 2025 рік</w:t>
      </w:r>
      <w:r w:rsidRPr="007620A2">
        <w:rPr>
          <w:rFonts w:ascii="Calibri" w:eastAsia="+mn-ea" w:hAnsi="Calibri" w:cs="+mn-cs"/>
          <w:color w:val="FFFFFF"/>
          <w:sz w:val="28"/>
          <w:szCs w:val="28"/>
          <w:lang w:val="uk-UA" w:eastAsia="ru-RU"/>
        </w:rPr>
        <w:t>ості</w:t>
      </w:r>
    </w:p>
    <w:p w14:paraId="10CDF8B7" w14:textId="190A90BC" w:rsidR="000B04B1" w:rsidRPr="007620A2" w:rsidRDefault="007B3D11" w:rsidP="000B04B1">
      <w:pPr>
        <w:spacing w:after="0"/>
        <w:jc w:val="center"/>
        <w:rPr>
          <w:rFonts w:ascii="Times New Roman" w:hAnsi="Times New Roman" w:cs="Times New Roman"/>
          <w:b/>
          <w:sz w:val="24"/>
          <w:szCs w:val="24"/>
          <w:lang w:val="uk-UA"/>
        </w:rPr>
      </w:pPr>
      <w:r w:rsidRPr="007620A2">
        <w:rPr>
          <w:rFonts w:ascii="Times New Roman" w:hAnsi="Times New Roman" w:cs="Times New Roman"/>
          <w:noProof/>
          <w:sz w:val="24"/>
          <w:szCs w:val="24"/>
          <w:lang w:eastAsia="ru-RU"/>
        </w:rPr>
        <w:drawing>
          <wp:anchor distT="0" distB="0" distL="114300" distR="114300" simplePos="0" relativeHeight="251670528" behindDoc="1" locked="0" layoutInCell="1" allowOverlap="1" wp14:anchorId="115622C1" wp14:editId="37535323">
            <wp:simplePos x="0" y="0"/>
            <wp:positionH relativeFrom="column">
              <wp:posOffset>31115</wp:posOffset>
            </wp:positionH>
            <wp:positionV relativeFrom="paragraph">
              <wp:posOffset>188595</wp:posOffset>
            </wp:positionV>
            <wp:extent cx="6248400" cy="1504950"/>
            <wp:effectExtent l="76200" t="76200" r="95250" b="114300"/>
            <wp:wrapTight wrapText="bothSides">
              <wp:wrapPolygon edited="0">
                <wp:start x="20217" y="-1094"/>
                <wp:lineTo x="-263" y="-547"/>
                <wp:lineTo x="-198" y="21327"/>
                <wp:lineTo x="20217" y="22420"/>
                <wp:lineTo x="20283" y="22967"/>
                <wp:lineTo x="20546" y="22967"/>
                <wp:lineTo x="20612" y="22420"/>
                <wp:lineTo x="20941" y="21327"/>
                <wp:lineTo x="21863" y="16952"/>
                <wp:lineTo x="21007" y="12851"/>
                <wp:lineTo x="20941" y="12577"/>
                <wp:lineTo x="21337" y="8203"/>
                <wp:lineTo x="21534" y="4101"/>
                <wp:lineTo x="21534" y="3828"/>
                <wp:lineTo x="20480" y="-1094"/>
                <wp:lineTo x="20217" y="-1094"/>
              </wp:wrapPolygon>
            </wp:wrapTight>
            <wp:docPr id="1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anchor>
        </w:drawing>
      </w:r>
    </w:p>
    <w:p w14:paraId="48CB4811" w14:textId="77777777" w:rsidR="000B04B1" w:rsidRPr="007620A2" w:rsidRDefault="000B04B1" w:rsidP="000B04B1">
      <w:pPr>
        <w:spacing w:after="0"/>
        <w:jc w:val="center"/>
        <w:rPr>
          <w:rFonts w:ascii="Times New Roman" w:hAnsi="Times New Roman" w:cs="Times New Roman"/>
          <w:b/>
          <w:sz w:val="24"/>
          <w:szCs w:val="24"/>
          <w:lang w:val="uk-UA"/>
        </w:rPr>
      </w:pPr>
    </w:p>
    <w:p w14:paraId="399887DF" w14:textId="77777777" w:rsidR="000B04B1" w:rsidRPr="007620A2" w:rsidRDefault="000B04B1" w:rsidP="000B04B1">
      <w:pPr>
        <w:spacing w:after="0"/>
        <w:jc w:val="center"/>
        <w:rPr>
          <w:rFonts w:ascii="Times New Roman" w:hAnsi="Times New Roman" w:cs="Times New Roman"/>
          <w:b/>
          <w:sz w:val="24"/>
          <w:szCs w:val="24"/>
          <w:lang w:val="uk-UA"/>
        </w:rPr>
      </w:pPr>
    </w:p>
    <w:p w14:paraId="6C71D984" w14:textId="77777777" w:rsidR="000B04B1" w:rsidRPr="007620A2" w:rsidRDefault="000B04B1" w:rsidP="000B04B1">
      <w:pPr>
        <w:spacing w:after="0"/>
        <w:jc w:val="center"/>
        <w:rPr>
          <w:rFonts w:ascii="Times New Roman" w:hAnsi="Times New Roman" w:cs="Times New Roman"/>
          <w:b/>
          <w:sz w:val="28"/>
          <w:szCs w:val="28"/>
          <w:lang w:val="uk-UA"/>
        </w:rPr>
      </w:pPr>
      <w:r w:rsidRPr="007620A2">
        <w:rPr>
          <w:rFonts w:ascii="Times New Roman" w:hAnsi="Times New Roman" w:cs="Times New Roman"/>
          <w:b/>
          <w:sz w:val="24"/>
          <w:szCs w:val="24"/>
          <w:lang w:val="uk-UA"/>
        </w:rPr>
        <w:t>Розрахунок прогнозних показників податку на нерухоме майно, відмінне від земельної ділянки, на 2025 рік</w:t>
      </w:r>
    </w:p>
    <w:tbl>
      <w:tblPr>
        <w:tblW w:w="9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1738"/>
        <w:gridCol w:w="1559"/>
        <w:gridCol w:w="3119"/>
      </w:tblGrid>
      <w:tr w:rsidR="000B04B1" w:rsidRPr="007620A2" w14:paraId="72594EB6" w14:textId="77777777" w:rsidTr="007B3D11">
        <w:trPr>
          <w:tblHeader/>
        </w:trPr>
        <w:tc>
          <w:tcPr>
            <w:tcW w:w="3508" w:type="dxa"/>
          </w:tcPr>
          <w:p w14:paraId="66B28DA5" w14:textId="77777777" w:rsidR="000B04B1" w:rsidRPr="007620A2" w:rsidRDefault="000B04B1" w:rsidP="000B04B1">
            <w:pPr>
              <w:spacing w:line="240" w:lineRule="auto"/>
              <w:jc w:val="center"/>
              <w:rPr>
                <w:rFonts w:ascii="Times New Roman" w:hAnsi="Times New Roman" w:cs="Times New Roman"/>
                <w:b/>
                <w:lang w:val="uk-UA"/>
              </w:rPr>
            </w:pPr>
            <w:r w:rsidRPr="007620A2">
              <w:rPr>
                <w:rFonts w:ascii="Times New Roman" w:hAnsi="Times New Roman" w:cs="Times New Roman"/>
                <w:b/>
                <w:lang w:val="uk-UA"/>
              </w:rPr>
              <w:t>Код бюджетної класифікації доходів бюджету</w:t>
            </w:r>
          </w:p>
        </w:tc>
        <w:tc>
          <w:tcPr>
            <w:tcW w:w="1738" w:type="dxa"/>
          </w:tcPr>
          <w:p w14:paraId="6AF0D3F9" w14:textId="77777777" w:rsidR="000B04B1" w:rsidRPr="007620A2" w:rsidRDefault="000B04B1" w:rsidP="000B04B1">
            <w:pPr>
              <w:spacing w:line="240" w:lineRule="auto"/>
              <w:jc w:val="center"/>
              <w:rPr>
                <w:rFonts w:ascii="Times New Roman" w:hAnsi="Times New Roman" w:cs="Times New Roman"/>
                <w:b/>
                <w:lang w:val="uk-UA"/>
              </w:rPr>
            </w:pPr>
            <w:r w:rsidRPr="007620A2">
              <w:rPr>
                <w:rFonts w:ascii="Times New Roman" w:hAnsi="Times New Roman" w:cs="Times New Roman"/>
                <w:b/>
                <w:lang w:val="uk-UA"/>
              </w:rPr>
              <w:t>Очікуваний факт за                 2024 рік,                 тис. грн.</w:t>
            </w:r>
          </w:p>
        </w:tc>
        <w:tc>
          <w:tcPr>
            <w:tcW w:w="1559" w:type="dxa"/>
          </w:tcPr>
          <w:p w14:paraId="3400D9EA" w14:textId="77777777" w:rsidR="000B04B1" w:rsidRPr="007620A2" w:rsidRDefault="000B04B1" w:rsidP="000B04B1">
            <w:pPr>
              <w:spacing w:line="240" w:lineRule="auto"/>
              <w:jc w:val="center"/>
              <w:rPr>
                <w:rFonts w:ascii="Times New Roman" w:hAnsi="Times New Roman" w:cs="Times New Roman"/>
                <w:b/>
                <w:lang w:val="uk-UA"/>
              </w:rPr>
            </w:pPr>
            <w:r w:rsidRPr="007620A2">
              <w:rPr>
                <w:rFonts w:ascii="Times New Roman" w:hAnsi="Times New Roman" w:cs="Times New Roman"/>
                <w:b/>
                <w:lang w:val="uk-UA"/>
              </w:rPr>
              <w:t>Прогноз на 2025 рік,  тис. грн.</w:t>
            </w:r>
          </w:p>
        </w:tc>
        <w:tc>
          <w:tcPr>
            <w:tcW w:w="3119" w:type="dxa"/>
            <w:tcBorders>
              <w:bottom w:val="single" w:sz="4" w:space="0" w:color="auto"/>
            </w:tcBorders>
          </w:tcPr>
          <w:p w14:paraId="1FB4B390" w14:textId="77777777" w:rsidR="000B04B1" w:rsidRPr="007620A2" w:rsidRDefault="000B04B1" w:rsidP="000B04B1">
            <w:pPr>
              <w:spacing w:line="240" w:lineRule="auto"/>
              <w:jc w:val="center"/>
              <w:rPr>
                <w:rFonts w:ascii="Times New Roman" w:hAnsi="Times New Roman" w:cs="Times New Roman"/>
                <w:b/>
                <w:lang w:val="uk-UA"/>
              </w:rPr>
            </w:pPr>
            <w:r w:rsidRPr="007620A2">
              <w:rPr>
                <w:rFonts w:ascii="Times New Roman" w:hAnsi="Times New Roman" w:cs="Times New Roman"/>
                <w:b/>
                <w:lang w:val="uk-UA"/>
              </w:rPr>
              <w:t>Пояснення</w:t>
            </w:r>
          </w:p>
        </w:tc>
      </w:tr>
      <w:tr w:rsidR="000B04B1" w:rsidRPr="007620A2" w14:paraId="62184B4F" w14:textId="77777777" w:rsidTr="007B3D11">
        <w:tc>
          <w:tcPr>
            <w:tcW w:w="3508" w:type="dxa"/>
          </w:tcPr>
          <w:p w14:paraId="672D8D2F" w14:textId="77777777" w:rsidR="000B04B1" w:rsidRPr="007620A2" w:rsidRDefault="000B04B1" w:rsidP="000B04B1">
            <w:pPr>
              <w:spacing w:line="240" w:lineRule="auto"/>
              <w:jc w:val="both"/>
              <w:rPr>
                <w:rFonts w:ascii="Times New Roman" w:hAnsi="Times New Roman" w:cs="Times New Roman"/>
                <w:sz w:val="21"/>
                <w:szCs w:val="21"/>
                <w:lang w:val="uk-UA"/>
              </w:rPr>
            </w:pPr>
            <w:r w:rsidRPr="007620A2">
              <w:rPr>
                <w:rFonts w:ascii="Times New Roman" w:hAnsi="Times New Roman" w:cs="Times New Roman"/>
                <w:b/>
                <w:sz w:val="21"/>
                <w:szCs w:val="21"/>
                <w:lang w:val="uk-UA"/>
              </w:rPr>
              <w:t>18010100</w:t>
            </w:r>
            <w:r w:rsidRPr="007620A2">
              <w:rPr>
                <w:rFonts w:ascii="Times New Roman" w:hAnsi="Times New Roman" w:cs="Times New Roman"/>
                <w:sz w:val="21"/>
                <w:szCs w:val="21"/>
                <w:lang w:val="uk-UA"/>
              </w:rPr>
              <w:t xml:space="preserve"> «Податок на нерухоме майно, відмінне від земельної ділянки, сплачений юридичними особами, які є власниками об'єктів житлової нерухомості»</w:t>
            </w:r>
          </w:p>
        </w:tc>
        <w:tc>
          <w:tcPr>
            <w:tcW w:w="1738" w:type="dxa"/>
          </w:tcPr>
          <w:p w14:paraId="598E21A9"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71,5</w:t>
            </w:r>
          </w:p>
        </w:tc>
        <w:tc>
          <w:tcPr>
            <w:tcW w:w="1559" w:type="dxa"/>
            <w:tcBorders>
              <w:right w:val="single" w:sz="4" w:space="0" w:color="auto"/>
            </w:tcBorders>
          </w:tcPr>
          <w:p w14:paraId="3CAE2537"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82,2</w:t>
            </w:r>
          </w:p>
        </w:tc>
        <w:tc>
          <w:tcPr>
            <w:tcW w:w="3119" w:type="dxa"/>
            <w:tcBorders>
              <w:top w:val="single" w:sz="4" w:space="0" w:color="auto"/>
              <w:left w:val="single" w:sz="4" w:space="0" w:color="auto"/>
              <w:bottom w:val="single" w:sz="4" w:space="0" w:color="auto"/>
              <w:right w:val="single" w:sz="4" w:space="0" w:color="auto"/>
            </w:tcBorders>
          </w:tcPr>
          <w:p w14:paraId="7FD67A21" w14:textId="77777777" w:rsidR="000B04B1" w:rsidRPr="007620A2" w:rsidRDefault="000B04B1" w:rsidP="000B04B1">
            <w:pPr>
              <w:spacing w:line="240" w:lineRule="auto"/>
              <w:rPr>
                <w:rFonts w:ascii="Times New Roman" w:hAnsi="Times New Roman" w:cs="Times New Roman"/>
                <w:sz w:val="21"/>
                <w:szCs w:val="21"/>
                <w:lang w:val="uk-UA"/>
              </w:rPr>
            </w:pPr>
            <w:r w:rsidRPr="007620A2">
              <w:rPr>
                <w:rFonts w:ascii="Times New Roman" w:hAnsi="Times New Roman" w:cs="Times New Roman"/>
                <w:sz w:val="21"/>
                <w:szCs w:val="21"/>
                <w:lang w:val="uk-UA"/>
              </w:rPr>
              <w:t>Розраховано з урахуванням діючих ставок</w:t>
            </w:r>
          </w:p>
        </w:tc>
      </w:tr>
      <w:tr w:rsidR="000B04B1" w:rsidRPr="007620A2" w14:paraId="35699538" w14:textId="77777777" w:rsidTr="007B3D11">
        <w:tc>
          <w:tcPr>
            <w:tcW w:w="3508" w:type="dxa"/>
          </w:tcPr>
          <w:p w14:paraId="590DF156" w14:textId="77777777" w:rsidR="000B04B1" w:rsidRPr="007620A2" w:rsidRDefault="000B04B1" w:rsidP="000B04B1">
            <w:pPr>
              <w:spacing w:line="240" w:lineRule="auto"/>
              <w:jc w:val="both"/>
              <w:rPr>
                <w:rFonts w:ascii="Times New Roman" w:hAnsi="Times New Roman" w:cs="Times New Roman"/>
                <w:sz w:val="21"/>
                <w:szCs w:val="21"/>
                <w:lang w:val="uk-UA"/>
              </w:rPr>
            </w:pPr>
            <w:r w:rsidRPr="007620A2">
              <w:rPr>
                <w:rFonts w:ascii="Times New Roman" w:hAnsi="Times New Roman" w:cs="Times New Roman"/>
                <w:b/>
                <w:sz w:val="21"/>
                <w:szCs w:val="21"/>
                <w:lang w:val="uk-UA"/>
              </w:rPr>
              <w:t>18010200</w:t>
            </w:r>
            <w:r w:rsidRPr="007620A2">
              <w:rPr>
                <w:rFonts w:ascii="Times New Roman" w:hAnsi="Times New Roman" w:cs="Times New Roman"/>
                <w:sz w:val="21"/>
                <w:szCs w:val="21"/>
                <w:lang w:val="uk-UA"/>
              </w:rPr>
              <w:t xml:space="preserve"> «Податок на нерухоме майно, відмінне від земельної ділянки, сплачений фізичними особами, які є власниками об'єктів житлової нерухомості»</w:t>
            </w:r>
          </w:p>
        </w:tc>
        <w:tc>
          <w:tcPr>
            <w:tcW w:w="1738" w:type="dxa"/>
          </w:tcPr>
          <w:p w14:paraId="06F04FB4"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3 820,0</w:t>
            </w:r>
          </w:p>
        </w:tc>
        <w:tc>
          <w:tcPr>
            <w:tcW w:w="1559" w:type="dxa"/>
            <w:tcBorders>
              <w:right w:val="single" w:sz="4" w:space="0" w:color="auto"/>
            </w:tcBorders>
          </w:tcPr>
          <w:p w14:paraId="4C2E6F9A"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4 200,0</w:t>
            </w:r>
          </w:p>
        </w:tc>
        <w:tc>
          <w:tcPr>
            <w:tcW w:w="3119" w:type="dxa"/>
            <w:tcBorders>
              <w:top w:val="single" w:sz="4" w:space="0" w:color="auto"/>
              <w:left w:val="single" w:sz="4" w:space="0" w:color="auto"/>
              <w:bottom w:val="single" w:sz="4" w:space="0" w:color="auto"/>
              <w:right w:val="single" w:sz="4" w:space="0" w:color="auto"/>
            </w:tcBorders>
          </w:tcPr>
          <w:p w14:paraId="2C7C3E2A" w14:textId="77777777" w:rsidR="000B04B1" w:rsidRPr="007620A2" w:rsidRDefault="000B04B1" w:rsidP="000B04B1">
            <w:pPr>
              <w:spacing w:line="240" w:lineRule="auto"/>
              <w:rPr>
                <w:rFonts w:ascii="Times New Roman" w:hAnsi="Times New Roman" w:cs="Times New Roman"/>
                <w:sz w:val="21"/>
                <w:szCs w:val="21"/>
                <w:lang w:val="uk-UA"/>
              </w:rPr>
            </w:pPr>
            <w:r w:rsidRPr="007620A2">
              <w:rPr>
                <w:rFonts w:ascii="Times New Roman" w:hAnsi="Times New Roman" w:cs="Times New Roman"/>
                <w:sz w:val="21"/>
                <w:szCs w:val="21"/>
                <w:lang w:val="uk-UA"/>
              </w:rPr>
              <w:t>Розраховано з урахуванням росту мінімальної заробітної плати та очікуваних надходжень за 2024 рік</w:t>
            </w:r>
          </w:p>
        </w:tc>
      </w:tr>
      <w:tr w:rsidR="000B04B1" w:rsidRPr="007620A2" w14:paraId="792F6677" w14:textId="77777777" w:rsidTr="007B3D11">
        <w:tc>
          <w:tcPr>
            <w:tcW w:w="3508" w:type="dxa"/>
          </w:tcPr>
          <w:p w14:paraId="2E8E5585" w14:textId="77777777" w:rsidR="000B04B1" w:rsidRPr="007620A2" w:rsidRDefault="000B04B1" w:rsidP="000B04B1">
            <w:pPr>
              <w:spacing w:line="240" w:lineRule="auto"/>
              <w:jc w:val="both"/>
              <w:rPr>
                <w:rFonts w:ascii="Times New Roman" w:hAnsi="Times New Roman" w:cs="Times New Roman"/>
                <w:sz w:val="21"/>
                <w:szCs w:val="21"/>
                <w:lang w:val="uk-UA"/>
              </w:rPr>
            </w:pPr>
            <w:r w:rsidRPr="007620A2">
              <w:rPr>
                <w:rFonts w:ascii="Times New Roman" w:hAnsi="Times New Roman" w:cs="Times New Roman"/>
                <w:b/>
                <w:sz w:val="21"/>
                <w:szCs w:val="21"/>
                <w:lang w:val="uk-UA"/>
              </w:rPr>
              <w:t>18010300</w:t>
            </w:r>
            <w:r w:rsidRPr="007620A2">
              <w:rPr>
                <w:rFonts w:ascii="Times New Roman" w:hAnsi="Times New Roman" w:cs="Times New Roman"/>
                <w:sz w:val="21"/>
                <w:szCs w:val="21"/>
                <w:lang w:val="uk-UA"/>
              </w:rPr>
              <w:t xml:space="preserve"> «Податок на нерухоме майно, відмінне від земельної ділянки, сплачений фізичними особами, які є власниками об'єктів нежитлової нерухомості»</w:t>
            </w:r>
          </w:p>
        </w:tc>
        <w:tc>
          <w:tcPr>
            <w:tcW w:w="1738" w:type="dxa"/>
          </w:tcPr>
          <w:p w14:paraId="2573906E"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14 700,0</w:t>
            </w:r>
          </w:p>
        </w:tc>
        <w:tc>
          <w:tcPr>
            <w:tcW w:w="1559" w:type="dxa"/>
            <w:tcBorders>
              <w:right w:val="single" w:sz="4" w:space="0" w:color="auto"/>
            </w:tcBorders>
          </w:tcPr>
          <w:p w14:paraId="5D789FE1"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14 400,0</w:t>
            </w:r>
          </w:p>
        </w:tc>
        <w:tc>
          <w:tcPr>
            <w:tcW w:w="3119" w:type="dxa"/>
            <w:tcBorders>
              <w:top w:val="single" w:sz="4" w:space="0" w:color="auto"/>
              <w:left w:val="single" w:sz="4" w:space="0" w:color="auto"/>
              <w:bottom w:val="single" w:sz="4" w:space="0" w:color="auto"/>
              <w:right w:val="single" w:sz="4" w:space="0" w:color="auto"/>
            </w:tcBorders>
          </w:tcPr>
          <w:p w14:paraId="779A655C" w14:textId="77777777" w:rsidR="000B04B1" w:rsidRPr="007620A2" w:rsidRDefault="000B04B1" w:rsidP="000B04B1">
            <w:pPr>
              <w:spacing w:line="240" w:lineRule="auto"/>
              <w:jc w:val="both"/>
              <w:rPr>
                <w:rFonts w:ascii="Times New Roman" w:hAnsi="Times New Roman" w:cs="Times New Roman"/>
                <w:sz w:val="21"/>
                <w:szCs w:val="21"/>
                <w:lang w:val="uk-UA"/>
              </w:rPr>
            </w:pPr>
            <w:r w:rsidRPr="007620A2">
              <w:rPr>
                <w:rFonts w:ascii="Times New Roman" w:hAnsi="Times New Roman" w:cs="Times New Roman"/>
                <w:sz w:val="21"/>
                <w:szCs w:val="21"/>
                <w:lang w:val="uk-UA"/>
              </w:rPr>
              <w:t>Розраховано з урахуванням росту мінімальної заробітної плати та очікуваних надходжень за 2024 рік</w:t>
            </w:r>
          </w:p>
        </w:tc>
      </w:tr>
      <w:tr w:rsidR="000B04B1" w:rsidRPr="007620A2" w14:paraId="6237AC3C" w14:textId="77777777" w:rsidTr="007B3D11">
        <w:tc>
          <w:tcPr>
            <w:tcW w:w="3508" w:type="dxa"/>
          </w:tcPr>
          <w:p w14:paraId="2A7AE0BD" w14:textId="77777777" w:rsidR="000B04B1" w:rsidRPr="007620A2" w:rsidRDefault="000B04B1" w:rsidP="000B04B1">
            <w:pPr>
              <w:spacing w:line="240" w:lineRule="auto"/>
              <w:jc w:val="both"/>
              <w:rPr>
                <w:rFonts w:ascii="Times New Roman" w:hAnsi="Times New Roman" w:cs="Times New Roman"/>
                <w:sz w:val="21"/>
                <w:szCs w:val="21"/>
                <w:lang w:val="uk-UA"/>
              </w:rPr>
            </w:pPr>
            <w:r w:rsidRPr="007620A2">
              <w:rPr>
                <w:rFonts w:ascii="Times New Roman" w:hAnsi="Times New Roman" w:cs="Times New Roman"/>
                <w:b/>
                <w:sz w:val="21"/>
                <w:szCs w:val="21"/>
                <w:lang w:val="uk-UA"/>
              </w:rPr>
              <w:t>18010400</w:t>
            </w:r>
            <w:r w:rsidRPr="007620A2">
              <w:rPr>
                <w:rFonts w:ascii="Times New Roman" w:hAnsi="Times New Roman" w:cs="Times New Roman"/>
                <w:sz w:val="21"/>
                <w:szCs w:val="21"/>
                <w:lang w:val="uk-UA"/>
              </w:rPr>
              <w:t xml:space="preserve"> «Податок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738" w:type="dxa"/>
          </w:tcPr>
          <w:p w14:paraId="470C6FBA"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22 929,6</w:t>
            </w:r>
          </w:p>
        </w:tc>
        <w:tc>
          <w:tcPr>
            <w:tcW w:w="1559" w:type="dxa"/>
            <w:tcBorders>
              <w:right w:val="single" w:sz="4" w:space="0" w:color="auto"/>
            </w:tcBorders>
          </w:tcPr>
          <w:p w14:paraId="43270DD5" w14:textId="77777777" w:rsidR="000B04B1" w:rsidRPr="007620A2" w:rsidRDefault="000B04B1" w:rsidP="000B04B1">
            <w:pPr>
              <w:jc w:val="center"/>
              <w:rPr>
                <w:rFonts w:ascii="Times New Roman" w:hAnsi="Times New Roman" w:cs="Times New Roman"/>
                <w:sz w:val="24"/>
                <w:szCs w:val="24"/>
                <w:lang w:val="uk-UA"/>
              </w:rPr>
            </w:pPr>
            <w:r w:rsidRPr="007620A2">
              <w:rPr>
                <w:rFonts w:ascii="Times New Roman" w:hAnsi="Times New Roman" w:cs="Times New Roman"/>
                <w:sz w:val="24"/>
                <w:szCs w:val="24"/>
                <w:lang w:val="uk-UA"/>
              </w:rPr>
              <w:t>28 800,0</w:t>
            </w:r>
          </w:p>
        </w:tc>
        <w:tc>
          <w:tcPr>
            <w:tcW w:w="3119" w:type="dxa"/>
            <w:tcBorders>
              <w:top w:val="single" w:sz="4" w:space="0" w:color="auto"/>
              <w:left w:val="single" w:sz="4" w:space="0" w:color="auto"/>
              <w:bottom w:val="single" w:sz="4" w:space="0" w:color="auto"/>
              <w:right w:val="single" w:sz="4" w:space="0" w:color="auto"/>
            </w:tcBorders>
          </w:tcPr>
          <w:p w14:paraId="4C4A875C" w14:textId="77777777" w:rsidR="000B04B1" w:rsidRPr="007620A2" w:rsidRDefault="000B04B1" w:rsidP="000B04B1">
            <w:pPr>
              <w:spacing w:after="0" w:line="240" w:lineRule="auto"/>
              <w:rPr>
                <w:rFonts w:ascii="Times New Roman" w:hAnsi="Times New Roman" w:cs="Times New Roman"/>
                <w:sz w:val="21"/>
                <w:szCs w:val="21"/>
                <w:lang w:val="uk-UA"/>
              </w:rPr>
            </w:pPr>
            <w:r w:rsidRPr="007620A2">
              <w:rPr>
                <w:rFonts w:ascii="Times New Roman" w:hAnsi="Times New Roman" w:cs="Times New Roman"/>
                <w:sz w:val="21"/>
                <w:szCs w:val="21"/>
                <w:lang w:val="uk-UA"/>
              </w:rPr>
              <w:t>Розраховано з урахуванням діючих ставок</w:t>
            </w:r>
          </w:p>
        </w:tc>
      </w:tr>
      <w:tr w:rsidR="000B04B1" w:rsidRPr="007620A2" w14:paraId="00A26E90" w14:textId="77777777" w:rsidTr="007B3D11">
        <w:trPr>
          <w:trHeight w:val="886"/>
        </w:trPr>
        <w:tc>
          <w:tcPr>
            <w:tcW w:w="3508" w:type="dxa"/>
          </w:tcPr>
          <w:p w14:paraId="0CD77582" w14:textId="77777777" w:rsidR="000B04B1" w:rsidRPr="007620A2" w:rsidRDefault="000B04B1" w:rsidP="000B04B1">
            <w:pPr>
              <w:spacing w:line="240" w:lineRule="auto"/>
              <w:jc w:val="both"/>
              <w:rPr>
                <w:rFonts w:ascii="Times New Roman" w:hAnsi="Times New Roman" w:cs="Times New Roman"/>
                <w:b/>
                <w:lang w:val="uk-UA"/>
              </w:rPr>
            </w:pPr>
            <w:r w:rsidRPr="007620A2">
              <w:rPr>
                <w:rFonts w:ascii="Times New Roman" w:hAnsi="Times New Roman" w:cs="Times New Roman"/>
                <w:b/>
                <w:lang w:val="uk-UA"/>
              </w:rPr>
              <w:t>Податок на нерухоме майно, відмінне від земельної ділянки (разом)</w:t>
            </w:r>
          </w:p>
        </w:tc>
        <w:tc>
          <w:tcPr>
            <w:tcW w:w="1738" w:type="dxa"/>
          </w:tcPr>
          <w:p w14:paraId="40C3AB6F" w14:textId="77777777" w:rsidR="000B04B1" w:rsidRPr="007620A2" w:rsidRDefault="000B04B1" w:rsidP="000B04B1">
            <w:pPr>
              <w:jc w:val="center"/>
              <w:rPr>
                <w:rFonts w:ascii="Times New Roman" w:hAnsi="Times New Roman" w:cs="Times New Roman"/>
                <w:b/>
                <w:sz w:val="24"/>
                <w:szCs w:val="24"/>
                <w:lang w:val="uk-UA"/>
              </w:rPr>
            </w:pPr>
            <w:r w:rsidRPr="007620A2">
              <w:rPr>
                <w:rFonts w:ascii="Times New Roman" w:hAnsi="Times New Roman" w:cs="Times New Roman"/>
                <w:b/>
                <w:sz w:val="24"/>
                <w:szCs w:val="24"/>
                <w:lang w:val="uk-UA"/>
              </w:rPr>
              <w:t>41 521,1</w:t>
            </w:r>
          </w:p>
        </w:tc>
        <w:tc>
          <w:tcPr>
            <w:tcW w:w="1559" w:type="dxa"/>
          </w:tcPr>
          <w:p w14:paraId="2D94856F" w14:textId="77777777" w:rsidR="000B04B1" w:rsidRPr="007620A2" w:rsidRDefault="000B04B1" w:rsidP="000B04B1">
            <w:pPr>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 xml:space="preserve">    47 482,2</w:t>
            </w:r>
          </w:p>
        </w:tc>
        <w:tc>
          <w:tcPr>
            <w:tcW w:w="3119" w:type="dxa"/>
            <w:tcBorders>
              <w:top w:val="single" w:sz="4" w:space="0" w:color="auto"/>
            </w:tcBorders>
          </w:tcPr>
          <w:p w14:paraId="35CFD16F" w14:textId="77777777" w:rsidR="000B04B1" w:rsidRPr="007620A2" w:rsidRDefault="000B04B1" w:rsidP="000B04B1">
            <w:pPr>
              <w:spacing w:line="240" w:lineRule="auto"/>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Темп росту -  114,4 %</w:t>
            </w:r>
          </w:p>
        </w:tc>
      </w:tr>
    </w:tbl>
    <w:p w14:paraId="7278389E" w14:textId="77777777" w:rsidR="000B04B1" w:rsidRPr="007620A2" w:rsidRDefault="000B04B1" w:rsidP="000B04B1">
      <w:pPr>
        <w:spacing w:after="0" w:line="240" w:lineRule="auto"/>
        <w:ind w:firstLine="567"/>
        <w:jc w:val="both"/>
        <w:rPr>
          <w:rFonts w:ascii="Times New Roman" w:hAnsi="Times New Roman" w:cs="Times New Roman"/>
          <w:iCs/>
          <w:sz w:val="24"/>
          <w:szCs w:val="24"/>
          <w:u w:val="single"/>
          <w:lang w:val="uk-UA"/>
        </w:rPr>
      </w:pPr>
    </w:p>
    <w:p w14:paraId="0920E8FC" w14:textId="0F4D13DE" w:rsidR="000B04B1" w:rsidRPr="00452DD6" w:rsidRDefault="000B04B1" w:rsidP="000B04B1">
      <w:pPr>
        <w:spacing w:after="0" w:line="240" w:lineRule="auto"/>
        <w:ind w:firstLine="567"/>
        <w:jc w:val="both"/>
        <w:rPr>
          <w:rFonts w:ascii="Times New Roman" w:hAnsi="Times New Roman" w:cs="Times New Roman"/>
          <w:i/>
          <w:iCs/>
          <w:sz w:val="24"/>
          <w:szCs w:val="24"/>
          <w:lang w:val="uk-UA"/>
        </w:rPr>
      </w:pPr>
      <w:r w:rsidRPr="00452DD6">
        <w:rPr>
          <w:rFonts w:ascii="Times New Roman" w:hAnsi="Times New Roman" w:cs="Times New Roman"/>
          <w:i/>
          <w:iCs/>
          <w:sz w:val="24"/>
          <w:szCs w:val="24"/>
          <w:u w:val="single"/>
          <w:lang w:val="uk-UA"/>
        </w:rPr>
        <w:t>Довідково:</w:t>
      </w:r>
      <w:r w:rsidRPr="00452DD6">
        <w:rPr>
          <w:rFonts w:ascii="Times New Roman" w:hAnsi="Times New Roman" w:cs="Times New Roman"/>
          <w:i/>
          <w:iCs/>
          <w:sz w:val="24"/>
          <w:szCs w:val="24"/>
          <w:lang w:val="uk-UA"/>
        </w:rPr>
        <w:t xml:space="preserve"> На 01.12.2024 </w:t>
      </w:r>
      <w:r w:rsidR="0071357E">
        <w:rPr>
          <w:rFonts w:ascii="Times New Roman" w:hAnsi="Times New Roman" w:cs="Times New Roman"/>
          <w:i/>
          <w:iCs/>
          <w:sz w:val="24"/>
          <w:szCs w:val="24"/>
          <w:lang w:val="uk-UA"/>
        </w:rPr>
        <w:t>року</w:t>
      </w:r>
      <w:r w:rsidRPr="00452DD6">
        <w:rPr>
          <w:rFonts w:ascii="Times New Roman" w:hAnsi="Times New Roman" w:cs="Times New Roman"/>
          <w:i/>
          <w:iCs/>
          <w:sz w:val="24"/>
          <w:szCs w:val="24"/>
          <w:lang w:val="uk-UA"/>
        </w:rPr>
        <w:t xml:space="preserve"> юридичні та фізичні особи сплатили до бюджету Чорноморської міської територіальної громади податковий борг  по податку на нерухоме майно, відмінне від земельної ділянки  у сумі 1 004,0 тис. грн, а саме:</w:t>
      </w:r>
    </w:p>
    <w:p w14:paraId="4E96B3A2" w14:textId="77777777" w:rsidR="000B04B1" w:rsidRPr="00452DD6" w:rsidRDefault="000B04B1" w:rsidP="000B04B1">
      <w:pPr>
        <w:spacing w:after="0" w:line="240" w:lineRule="auto"/>
        <w:ind w:firstLine="567"/>
        <w:jc w:val="both"/>
        <w:rPr>
          <w:rFonts w:ascii="Times New Roman" w:hAnsi="Times New Roman" w:cs="Times New Roman"/>
          <w:i/>
          <w:sz w:val="24"/>
          <w:szCs w:val="24"/>
          <w:lang w:val="uk-UA"/>
        </w:rPr>
      </w:pPr>
      <w:r w:rsidRPr="00452DD6">
        <w:rPr>
          <w:rFonts w:ascii="Times New Roman" w:hAnsi="Times New Roman" w:cs="Times New Roman"/>
          <w:b/>
          <w:i/>
          <w:sz w:val="24"/>
          <w:szCs w:val="24"/>
          <w:lang w:val="uk-UA"/>
        </w:rPr>
        <w:t>18010200</w:t>
      </w:r>
      <w:r w:rsidRPr="00452DD6">
        <w:rPr>
          <w:rFonts w:ascii="Times New Roman" w:hAnsi="Times New Roman" w:cs="Times New Roman"/>
          <w:i/>
          <w:sz w:val="24"/>
          <w:szCs w:val="24"/>
          <w:lang w:val="uk-UA"/>
        </w:rPr>
        <w:t xml:space="preserve"> «Податок на нерухоме майно, відмінне від земельної ділянки, сплачений фізичними особами, які є власниками об'єктів житлової нерухомості» у сумі – 84,6 тис. грн;</w:t>
      </w:r>
    </w:p>
    <w:p w14:paraId="06762E83" w14:textId="134C2E18" w:rsidR="000B04B1" w:rsidRPr="00452DD6" w:rsidRDefault="000B04B1" w:rsidP="000B04B1">
      <w:pPr>
        <w:spacing w:after="0" w:line="240" w:lineRule="auto"/>
        <w:ind w:firstLine="567"/>
        <w:jc w:val="both"/>
        <w:rPr>
          <w:rFonts w:ascii="Times New Roman" w:hAnsi="Times New Roman" w:cs="Times New Roman"/>
          <w:i/>
          <w:sz w:val="24"/>
          <w:szCs w:val="24"/>
          <w:lang w:val="uk-UA"/>
        </w:rPr>
      </w:pPr>
      <w:r w:rsidRPr="00452DD6">
        <w:rPr>
          <w:rFonts w:ascii="Times New Roman" w:hAnsi="Times New Roman" w:cs="Times New Roman"/>
          <w:b/>
          <w:i/>
          <w:sz w:val="24"/>
          <w:szCs w:val="24"/>
          <w:lang w:val="uk-UA"/>
        </w:rPr>
        <w:t>18010300</w:t>
      </w:r>
      <w:r w:rsidRPr="00452DD6">
        <w:rPr>
          <w:rFonts w:ascii="Times New Roman" w:hAnsi="Times New Roman" w:cs="Times New Roman"/>
          <w:i/>
          <w:sz w:val="24"/>
          <w:szCs w:val="24"/>
          <w:lang w:val="uk-UA"/>
        </w:rPr>
        <w:t xml:space="preserve"> «Податок на нерухоме майно, відмінне від земельної ділянки, сплачений фізичними особами, які є власниками об'єктів нежитлової нерухомості» у сумі – 740,1 тис. грн;</w:t>
      </w:r>
    </w:p>
    <w:p w14:paraId="7EE31733" w14:textId="63EC317A" w:rsidR="000B04B1" w:rsidRDefault="000B04B1" w:rsidP="000B04B1">
      <w:pPr>
        <w:spacing w:after="0" w:line="240" w:lineRule="auto"/>
        <w:ind w:firstLine="567"/>
        <w:jc w:val="both"/>
        <w:rPr>
          <w:rFonts w:ascii="Times New Roman" w:hAnsi="Times New Roman" w:cs="Times New Roman"/>
          <w:i/>
          <w:sz w:val="24"/>
          <w:szCs w:val="24"/>
          <w:lang w:val="uk-UA"/>
        </w:rPr>
      </w:pPr>
      <w:r w:rsidRPr="00452DD6">
        <w:rPr>
          <w:rFonts w:ascii="Times New Roman" w:hAnsi="Times New Roman" w:cs="Times New Roman"/>
          <w:b/>
          <w:i/>
          <w:sz w:val="24"/>
          <w:szCs w:val="24"/>
          <w:lang w:val="uk-UA"/>
        </w:rPr>
        <w:t>18010400</w:t>
      </w:r>
      <w:r w:rsidRPr="00452DD6">
        <w:rPr>
          <w:rFonts w:ascii="Times New Roman" w:hAnsi="Times New Roman" w:cs="Times New Roman"/>
          <w:i/>
          <w:sz w:val="24"/>
          <w:szCs w:val="24"/>
          <w:lang w:val="uk-UA"/>
        </w:rPr>
        <w:t xml:space="preserve"> «Податок на нерухоме майно, відмінне від земельної ділянки, сплачений юридичними особами, які є власниками об'єктів нежитлової нерухомості» у сумі –  179,3 тис. грн.</w:t>
      </w:r>
    </w:p>
    <w:p w14:paraId="519E6A14" w14:textId="2A965232" w:rsidR="0071357E" w:rsidRPr="00452DD6" w:rsidRDefault="0071357E" w:rsidP="000B04B1">
      <w:pPr>
        <w:spacing w:after="0" w:line="240" w:lineRule="auto"/>
        <w:ind w:firstLine="567"/>
        <w:jc w:val="both"/>
        <w:rPr>
          <w:rFonts w:ascii="Times New Roman" w:hAnsi="Times New Roman" w:cs="Times New Roman"/>
          <w:i/>
          <w:sz w:val="24"/>
          <w:szCs w:val="24"/>
          <w:lang w:val="uk-UA"/>
        </w:rPr>
      </w:pPr>
      <w:r>
        <w:rPr>
          <w:rFonts w:ascii="Times New Roman" w:hAnsi="Times New Roman" w:cs="Times New Roman"/>
          <w:i/>
          <w:sz w:val="24"/>
          <w:szCs w:val="24"/>
          <w:lang w:val="uk-UA"/>
        </w:rPr>
        <w:t>Водночас станом на 01.12.2024 року рахується податковий борг по податку на нерухоме майно, відмінне від земельної ділянки, у загальній сумі – 12 956,8 тис. гривень.</w:t>
      </w:r>
    </w:p>
    <w:p w14:paraId="68FE07E5" w14:textId="77777777" w:rsidR="000B04B1" w:rsidRPr="00452DD6" w:rsidRDefault="000B04B1" w:rsidP="000B04B1">
      <w:pPr>
        <w:spacing w:after="0" w:line="240" w:lineRule="auto"/>
        <w:ind w:firstLine="567"/>
        <w:jc w:val="both"/>
        <w:rPr>
          <w:rFonts w:ascii="Times New Roman" w:hAnsi="Times New Roman" w:cs="Times New Roman"/>
          <w:i/>
          <w:sz w:val="24"/>
          <w:szCs w:val="24"/>
          <w:lang w:val="uk-UA"/>
        </w:rPr>
      </w:pPr>
    </w:p>
    <w:p w14:paraId="7481CC82" w14:textId="77777777" w:rsidR="000B04B1" w:rsidRPr="007620A2" w:rsidRDefault="000B04B1" w:rsidP="000B04B1">
      <w:pPr>
        <w:spacing w:after="0" w:line="240" w:lineRule="auto"/>
        <w:ind w:firstLine="567"/>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 xml:space="preserve">Податок на майно в частині плати за землю </w:t>
      </w:r>
      <w:r w:rsidRPr="007620A2">
        <w:rPr>
          <w:rFonts w:ascii="Times New Roman" w:hAnsi="Times New Roman" w:cs="Times New Roman"/>
          <w:sz w:val="24"/>
          <w:szCs w:val="24"/>
          <w:lang w:val="uk-UA"/>
        </w:rPr>
        <w:t>складає найбільшу питому вагу в структурі податку на майно, а саме 79,4 %.</w:t>
      </w:r>
    </w:p>
    <w:p w14:paraId="328F7BC8"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 xml:space="preserve">Прогнозний показник плати за землю (ККДБ 18010500, 18010600, 18010700, 18010900) </w:t>
      </w:r>
      <w:r w:rsidRPr="007620A2">
        <w:rPr>
          <w:rFonts w:ascii="Times New Roman" w:hAnsi="Times New Roman" w:cs="Times New Roman"/>
          <w:sz w:val="24"/>
          <w:szCs w:val="24"/>
          <w:lang w:val="uk-UA"/>
        </w:rPr>
        <w:t xml:space="preserve">на 2025 рік  розраховано у сумі </w:t>
      </w:r>
      <w:r w:rsidRPr="007620A2">
        <w:rPr>
          <w:rFonts w:ascii="Times New Roman" w:hAnsi="Times New Roman" w:cs="Times New Roman"/>
          <w:b/>
          <w:sz w:val="24"/>
          <w:szCs w:val="24"/>
          <w:lang w:val="uk-UA"/>
        </w:rPr>
        <w:t xml:space="preserve"> 184 000,0</w:t>
      </w:r>
      <w:r w:rsidRPr="007620A2">
        <w:rPr>
          <w:rFonts w:ascii="Times New Roman" w:hAnsi="Times New Roman" w:cs="Times New Roman"/>
          <w:sz w:val="24"/>
          <w:szCs w:val="24"/>
          <w:lang w:val="uk-UA"/>
        </w:rPr>
        <w:t xml:space="preserve"> тис. грн,</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що складає 17,7 % у структурі  доходів загального фонду бюджету (без урахування субвенцій).</w:t>
      </w:r>
    </w:p>
    <w:p w14:paraId="458C7881"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З урахуванням динаміки надходжень попередніх років та очікуваних надходжень 2024 року, коефіцієнту індексації нормативної грошової оцінки землі, у 2025 році планується отримати податок на майно в частині плати за землю, зокрема:</w:t>
      </w:r>
    </w:p>
    <w:p w14:paraId="38F7C654" w14:textId="77777777" w:rsidR="000B04B1" w:rsidRPr="007620A2" w:rsidRDefault="000B04B1" w:rsidP="000B04B1">
      <w:pPr>
        <w:pStyle w:val="a4"/>
        <w:numPr>
          <w:ilvl w:val="0"/>
          <w:numId w:val="1"/>
        </w:numPr>
        <w:tabs>
          <w:tab w:val="left" w:pos="709"/>
          <w:tab w:val="left" w:pos="851"/>
        </w:tabs>
        <w:spacing w:after="0" w:line="240" w:lineRule="auto"/>
        <w:ind w:left="0" w:firstLine="567"/>
        <w:jc w:val="both"/>
        <w:rPr>
          <w:rFonts w:ascii="Times New Roman" w:hAnsi="Times New Roman" w:cs="Times New Roman"/>
          <w:b/>
          <w:i/>
          <w:sz w:val="24"/>
          <w:szCs w:val="24"/>
          <w:lang w:val="uk-UA"/>
        </w:rPr>
      </w:pPr>
      <w:r w:rsidRPr="007620A2">
        <w:rPr>
          <w:rFonts w:ascii="Times New Roman" w:hAnsi="Times New Roman" w:cs="Times New Roman"/>
          <w:b/>
          <w:i/>
          <w:sz w:val="24"/>
          <w:szCs w:val="24"/>
          <w:lang w:val="uk-UA"/>
        </w:rPr>
        <w:t>земельного податку – 62 000,0 тис. грн (або 33,7 % від загальної суми плати за землю), що сплачується :</w:t>
      </w:r>
    </w:p>
    <w:p w14:paraId="148059B6"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юридичними особами -  60 000,0 тис. грн;</w:t>
      </w:r>
    </w:p>
    <w:p w14:paraId="1AFE62C0"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фізичними особами - 2 000,0 тис. грн;</w:t>
      </w:r>
    </w:p>
    <w:p w14:paraId="2C1F2C1A" w14:textId="77777777" w:rsidR="000B04B1" w:rsidRPr="007620A2" w:rsidRDefault="000B04B1" w:rsidP="000B04B1">
      <w:pPr>
        <w:pStyle w:val="a4"/>
        <w:numPr>
          <w:ilvl w:val="0"/>
          <w:numId w:val="1"/>
        </w:numPr>
        <w:tabs>
          <w:tab w:val="left" w:pos="709"/>
          <w:tab w:val="left" w:pos="851"/>
        </w:tabs>
        <w:spacing w:after="0" w:line="240" w:lineRule="auto"/>
        <w:ind w:left="0" w:firstLine="567"/>
        <w:jc w:val="both"/>
        <w:rPr>
          <w:rFonts w:ascii="Times New Roman" w:hAnsi="Times New Roman" w:cs="Times New Roman"/>
          <w:b/>
          <w:i/>
          <w:sz w:val="24"/>
          <w:szCs w:val="24"/>
          <w:lang w:val="uk-UA"/>
        </w:rPr>
      </w:pPr>
      <w:r w:rsidRPr="007620A2">
        <w:rPr>
          <w:rFonts w:ascii="Times New Roman" w:hAnsi="Times New Roman" w:cs="Times New Roman"/>
          <w:b/>
          <w:i/>
          <w:sz w:val="24"/>
          <w:szCs w:val="24"/>
          <w:lang w:val="uk-UA"/>
        </w:rPr>
        <w:t>орендна плата –  122 000,0 тис.  грн (або 66,3 %), що сплачується :</w:t>
      </w:r>
    </w:p>
    <w:p w14:paraId="42EBBECE"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юридичними особами – 110 000,0 тис. грн;</w:t>
      </w:r>
    </w:p>
    <w:p w14:paraId="6903CB1C" w14:textId="77777777" w:rsidR="000B04B1" w:rsidRPr="007620A2" w:rsidRDefault="000B04B1" w:rsidP="000B04B1">
      <w:pPr>
        <w:spacing w:after="0"/>
        <w:ind w:firstLine="567"/>
        <w:rPr>
          <w:rFonts w:ascii="Times New Roman" w:hAnsi="Times New Roman" w:cs="Times New Roman"/>
          <w:sz w:val="24"/>
          <w:szCs w:val="24"/>
          <w:lang w:val="uk-UA"/>
        </w:rPr>
      </w:pPr>
      <w:r w:rsidRPr="007620A2">
        <w:rPr>
          <w:rFonts w:ascii="Times New Roman" w:hAnsi="Times New Roman" w:cs="Times New Roman"/>
          <w:sz w:val="24"/>
          <w:szCs w:val="24"/>
          <w:lang w:val="uk-UA"/>
        </w:rPr>
        <w:t>- фізичними особами – 12 000,0 тис. грн.</w:t>
      </w:r>
    </w:p>
    <w:p w14:paraId="5193EF0D"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Станом на 01.12.2024р. Чорноморською міською радою укладено 882 договорів оренди землі з юридичними та фізичними особами.</w:t>
      </w:r>
    </w:p>
    <w:p w14:paraId="3346A58F" w14:textId="77777777" w:rsidR="000B04B1" w:rsidRPr="007620A2" w:rsidRDefault="000B04B1" w:rsidP="000B04B1">
      <w:pPr>
        <w:spacing w:after="0" w:line="240" w:lineRule="auto"/>
        <w:ind w:hanging="142"/>
        <w:jc w:val="both"/>
        <w:rPr>
          <w:rFonts w:ascii="Times New Roman" w:hAnsi="Times New Roman" w:cs="Times New Roman"/>
          <w:b/>
          <w:sz w:val="24"/>
          <w:szCs w:val="24"/>
          <w:lang w:val="uk-UA"/>
        </w:rPr>
      </w:pPr>
    </w:p>
    <w:p w14:paraId="384A1EA4" w14:textId="77777777" w:rsidR="000B04B1" w:rsidRPr="007620A2" w:rsidRDefault="000B04B1" w:rsidP="000B04B1">
      <w:pPr>
        <w:pStyle w:val="a4"/>
        <w:tabs>
          <w:tab w:val="left" w:pos="709"/>
          <w:tab w:val="left" w:pos="851"/>
        </w:tabs>
        <w:spacing w:after="0" w:line="240" w:lineRule="auto"/>
        <w:ind w:left="0"/>
        <w:jc w:val="both"/>
        <w:rPr>
          <w:rFonts w:ascii="Times New Roman" w:hAnsi="Times New Roman" w:cs="Times New Roman"/>
          <w:b/>
          <w:sz w:val="24"/>
          <w:szCs w:val="24"/>
          <w:lang w:val="uk-UA"/>
        </w:rPr>
      </w:pPr>
      <w:r w:rsidRPr="007620A2">
        <w:rPr>
          <w:noProof/>
          <w:lang w:eastAsia="ru-RU"/>
        </w:rPr>
        <w:drawing>
          <wp:inline distT="0" distB="0" distL="0" distR="0" wp14:anchorId="39C799D2" wp14:editId="20E06E47">
            <wp:extent cx="6037952" cy="3286665"/>
            <wp:effectExtent l="0" t="0" r="1270" b="9525"/>
            <wp:docPr id="1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E863C31" w14:textId="77777777" w:rsidR="000B04B1" w:rsidRPr="007620A2" w:rsidRDefault="000B04B1" w:rsidP="000B04B1">
      <w:pPr>
        <w:tabs>
          <w:tab w:val="left" w:pos="709"/>
          <w:tab w:val="left" w:pos="851"/>
        </w:tabs>
        <w:spacing w:after="0" w:line="240" w:lineRule="auto"/>
        <w:jc w:val="both"/>
        <w:rPr>
          <w:rFonts w:ascii="Times New Roman" w:hAnsi="Times New Roman" w:cs="Times New Roman"/>
          <w:b/>
          <w:sz w:val="24"/>
          <w:szCs w:val="24"/>
          <w:lang w:val="uk-UA"/>
        </w:rPr>
      </w:pPr>
    </w:p>
    <w:p w14:paraId="4EBFE9A2" w14:textId="5A70846E" w:rsidR="000B04B1" w:rsidRPr="007620A2" w:rsidRDefault="000B04B1" w:rsidP="000B04B1">
      <w:pPr>
        <w:pStyle w:val="a4"/>
        <w:tabs>
          <w:tab w:val="left" w:pos="709"/>
          <w:tab w:val="left" w:pos="851"/>
        </w:tabs>
        <w:spacing w:after="0" w:line="240" w:lineRule="auto"/>
        <w:ind w:left="0"/>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 xml:space="preserve">          Прогнозна сума транспортного податку (18011000, 18011100</w:t>
      </w:r>
      <w:r w:rsidRPr="007620A2">
        <w:rPr>
          <w:rFonts w:ascii="Times New Roman" w:hAnsi="Times New Roman" w:cs="Times New Roman"/>
          <w:sz w:val="24"/>
          <w:szCs w:val="24"/>
          <w:lang w:val="uk-UA"/>
        </w:rPr>
        <w:t>)  на 2025 рік</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розрахована у сумі  297,0 тис.</w:t>
      </w:r>
      <w:r w:rsidR="003F7140">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гривень.</w:t>
      </w:r>
    </w:p>
    <w:p w14:paraId="3372D0C8" w14:textId="4FC3ECE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Ставки транспортного податку</w:t>
      </w:r>
      <w:r w:rsidR="007934FB">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затверджені рішенням Чорноморської міської ради  </w:t>
      </w:r>
      <w:r w:rsidR="007934FB">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 xml:space="preserve">              від 05.01.2015 року № 574-VI (зі змінами, внесеними рішенням Чорноморської міської ради від 06.01.2016р. № 25-VII, від 27.01.2017р. № 177-VII) та встановлені </w:t>
      </w:r>
      <w:r w:rsidRPr="007620A2">
        <w:rPr>
          <w:rFonts w:ascii="Times New Roman" w:hAnsi="Times New Roman" w:cs="Times New Roman"/>
          <w:bCs/>
          <w:sz w:val="24"/>
          <w:szCs w:val="24"/>
          <w:lang w:val="uk-UA"/>
        </w:rPr>
        <w:t xml:space="preserve">в розрахунку на календарний рік у розмірі 25 000 гривень за кожен легковий автомобіль, </w:t>
      </w:r>
      <w:r w:rsidRPr="007620A2">
        <w:rPr>
          <w:rFonts w:ascii="Times New Roman" w:hAnsi="Times New Roman" w:cs="Times New Roman"/>
          <w:sz w:val="24"/>
          <w:szCs w:val="24"/>
          <w:lang w:val="uk-UA"/>
        </w:rPr>
        <w:t xml:space="preserve">з року випуску якого минуло не більше п’яти років (включно) та середньоринкова вартість якого становить понад 375 розмірів мінімальної заробітної плати, встановленої законом на 1 січня податкового (звітного) року. </w:t>
      </w:r>
    </w:p>
    <w:p w14:paraId="56C055D5" w14:textId="2A644C7C"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Перелік таких легкових автомобілів,  щороку до 1 лютого податкового (звітного року) центральний орган виконавчої влади, що забезпечує формування та реалізує державну політику економічного соціального розвитку і торгівлі, розміщує на своєму офіційному вебсайті.   </w:t>
      </w:r>
    </w:p>
    <w:p w14:paraId="2BA9A9AB"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p>
    <w:p w14:paraId="58DCF15F" w14:textId="77777777" w:rsidR="00B92684" w:rsidRDefault="00B92684" w:rsidP="000B04B1">
      <w:pPr>
        <w:spacing w:after="0" w:line="240" w:lineRule="auto"/>
        <w:ind w:firstLine="567"/>
        <w:jc w:val="both"/>
        <w:rPr>
          <w:rFonts w:ascii="Times New Roman" w:hAnsi="Times New Roman" w:cs="Times New Roman"/>
          <w:b/>
          <w:sz w:val="24"/>
          <w:szCs w:val="24"/>
          <w:lang w:val="uk-UA"/>
        </w:rPr>
      </w:pPr>
    </w:p>
    <w:p w14:paraId="4A2E6DD0" w14:textId="0EACF52A" w:rsidR="000B04B1" w:rsidRPr="007620A2" w:rsidRDefault="000B04B1" w:rsidP="009A0AE8">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 xml:space="preserve">Надходження туристичного  збору (ККДБ 18030000) </w:t>
      </w:r>
      <w:r w:rsidRPr="007620A2">
        <w:rPr>
          <w:rFonts w:ascii="Times New Roman" w:hAnsi="Times New Roman" w:cs="Times New Roman"/>
          <w:sz w:val="24"/>
          <w:szCs w:val="24"/>
          <w:lang w:val="uk-UA"/>
        </w:rPr>
        <w:t>на 2025 рік розраховано у сумі</w:t>
      </w:r>
      <w:r w:rsidR="009A0AE8">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496,0 тис. грн.</w:t>
      </w:r>
    </w:p>
    <w:p w14:paraId="5B9C3D64" w14:textId="074C5B31" w:rsidR="000B04B1" w:rsidRPr="007620A2" w:rsidRDefault="000B04B1" w:rsidP="003F7140">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Розрахунок надходжень туристичн</w:t>
      </w:r>
      <w:r w:rsidR="00892D6E">
        <w:rPr>
          <w:rFonts w:ascii="Times New Roman" w:hAnsi="Times New Roman" w:cs="Times New Roman"/>
          <w:sz w:val="24"/>
          <w:szCs w:val="24"/>
          <w:lang w:val="uk-UA"/>
        </w:rPr>
        <w:t xml:space="preserve">ого збору розраховано виходячи </w:t>
      </w:r>
      <w:r w:rsidRPr="007620A2">
        <w:rPr>
          <w:rFonts w:ascii="Times New Roman" w:hAnsi="Times New Roman" w:cs="Times New Roman"/>
          <w:sz w:val="24"/>
          <w:szCs w:val="24"/>
          <w:lang w:val="uk-UA"/>
        </w:rPr>
        <w:t>з</w:t>
      </w:r>
      <w:r w:rsidR="00892D6E">
        <w:rPr>
          <w:rFonts w:ascii="Times New Roman" w:hAnsi="Times New Roman" w:cs="Times New Roman"/>
          <w:sz w:val="24"/>
          <w:szCs w:val="24"/>
          <w:lang w:val="uk-UA"/>
        </w:rPr>
        <w:t>і</w:t>
      </w:r>
      <w:r w:rsidRPr="007620A2">
        <w:rPr>
          <w:rFonts w:ascii="Times New Roman" w:hAnsi="Times New Roman" w:cs="Times New Roman"/>
          <w:sz w:val="24"/>
          <w:szCs w:val="24"/>
          <w:lang w:val="uk-UA"/>
        </w:rPr>
        <w:t xml:space="preserve"> ставки</w:t>
      </w:r>
      <w:r w:rsidR="009A0AE8">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0,25 відсотка для внутрішнього та для в'їзного туризму, яка встановлена рішенням Чорноморської міської ради Одеської області від 26.06.2019р. № 446-VII</w:t>
      </w:r>
      <w:r w:rsidR="009A0AE8">
        <w:rPr>
          <w:rFonts w:ascii="Times New Roman" w:hAnsi="Times New Roman" w:cs="Times New Roman"/>
          <w:sz w:val="24"/>
          <w:szCs w:val="24"/>
          <w:lang w:val="uk-UA"/>
        </w:rPr>
        <w:t xml:space="preserve">. </w:t>
      </w:r>
    </w:p>
    <w:p w14:paraId="5F472AB0" w14:textId="77777777" w:rsidR="000B04B1" w:rsidRPr="007620A2" w:rsidRDefault="000B04B1" w:rsidP="003F7140">
      <w:pPr>
        <w:spacing w:after="0"/>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 xml:space="preserve">Надходження єдиного податку (ККДБ 18050300, 18050400) </w:t>
      </w:r>
      <w:r w:rsidRPr="007620A2">
        <w:rPr>
          <w:rFonts w:ascii="Times New Roman" w:hAnsi="Times New Roman" w:cs="Times New Roman"/>
          <w:sz w:val="24"/>
          <w:szCs w:val="24"/>
          <w:lang w:val="uk-UA"/>
        </w:rPr>
        <w:t>на 2025 рік</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 xml:space="preserve"> розраховано у сумі</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106 500,0 тис. грн.</w:t>
      </w:r>
    </w:p>
    <w:p w14:paraId="483D945A" w14:textId="21D42C22"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При розрахунку було враховано підвищення мінімальної заробітної плати та прожиткового мінімуму станом на 1 січня планового року</w:t>
      </w:r>
      <w:r w:rsidR="009A0AE8">
        <w:rPr>
          <w:rFonts w:ascii="Times New Roman" w:hAnsi="Times New Roman" w:cs="Times New Roman"/>
          <w:sz w:val="24"/>
          <w:szCs w:val="24"/>
          <w:lang w:val="uk-UA"/>
        </w:rPr>
        <w:t xml:space="preserve"> (</w:t>
      </w:r>
      <w:r w:rsidR="009A0AE8" w:rsidRPr="009A0AE8">
        <w:rPr>
          <w:rFonts w:ascii="Times New Roman" w:hAnsi="Times New Roman" w:cs="Times New Roman"/>
          <w:i/>
          <w:sz w:val="24"/>
          <w:szCs w:val="24"/>
          <w:lang w:val="uk-UA"/>
        </w:rPr>
        <w:t>8 000 грн</w:t>
      </w:r>
      <w:r w:rsidR="009A0AE8">
        <w:rPr>
          <w:rFonts w:ascii="Times New Roman" w:hAnsi="Times New Roman" w:cs="Times New Roman"/>
          <w:sz w:val="24"/>
          <w:szCs w:val="24"/>
          <w:lang w:val="uk-UA"/>
        </w:rPr>
        <w:t xml:space="preserve">) проти 1 січня 2024 року </w:t>
      </w:r>
      <w:r w:rsidR="009A0AE8" w:rsidRPr="009A0AE8">
        <w:rPr>
          <w:rFonts w:ascii="Times New Roman" w:hAnsi="Times New Roman" w:cs="Times New Roman"/>
          <w:i/>
          <w:sz w:val="24"/>
          <w:szCs w:val="24"/>
          <w:lang w:val="uk-UA"/>
        </w:rPr>
        <w:t>(7 100 грн)</w:t>
      </w:r>
      <w:r w:rsidR="009A0AE8">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 xml:space="preserve"> відповідно до Закону України "Про Державний бюджет України на 2025 рік". </w:t>
      </w:r>
    </w:p>
    <w:p w14:paraId="7D71288B"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Рішенням Чорноморської міської ради від 18.06.2021р. № 74-VІІI </w:t>
      </w:r>
      <w:r w:rsidRPr="007620A2">
        <w:rPr>
          <w:rFonts w:ascii="Times New Roman" w:hAnsi="Times New Roman"/>
          <w:sz w:val="24"/>
          <w:szCs w:val="24"/>
          <w:lang w:val="uk-UA"/>
        </w:rPr>
        <w:t xml:space="preserve">«Про встановлення ставок єдиного податку на території Чорноморської міської ради Одеського району Одеської області» </w:t>
      </w:r>
      <w:r w:rsidRPr="007620A2">
        <w:rPr>
          <w:rFonts w:ascii="Times New Roman" w:hAnsi="Times New Roman" w:cs="Times New Roman"/>
          <w:sz w:val="24"/>
          <w:szCs w:val="24"/>
          <w:lang w:val="uk-UA"/>
        </w:rPr>
        <w:t xml:space="preserve">встановлені такі ставки єдиного податку : </w:t>
      </w:r>
    </w:p>
    <w:p w14:paraId="792D5341" w14:textId="0EFF893E" w:rsidR="000B04B1" w:rsidRPr="007620A2" w:rsidRDefault="000B04B1" w:rsidP="000B04B1">
      <w:pPr>
        <w:pStyle w:val="a4"/>
        <w:numPr>
          <w:ilvl w:val="0"/>
          <w:numId w:val="4"/>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для платників 1 групи - 10 % від прожиткового мінімуму (3</w:t>
      </w:r>
      <w:r w:rsidR="003170C8">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028 грн) - на 202</w:t>
      </w:r>
      <w:r w:rsidR="003170C8">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                  302,80 грн щомісячно;</w:t>
      </w:r>
    </w:p>
    <w:p w14:paraId="5ADFE111" w14:textId="6DCE26D2" w:rsidR="000B04B1" w:rsidRPr="007620A2" w:rsidRDefault="000B04B1" w:rsidP="000B04B1">
      <w:pPr>
        <w:pStyle w:val="a4"/>
        <w:numPr>
          <w:ilvl w:val="0"/>
          <w:numId w:val="4"/>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для платників 2 групи</w:t>
      </w:r>
      <w:r w:rsidR="003170C8">
        <w:rPr>
          <w:rFonts w:ascii="Times New Roman" w:hAnsi="Times New Roman" w:cs="Times New Roman"/>
          <w:sz w:val="24"/>
          <w:szCs w:val="24"/>
          <w:lang w:val="uk-UA"/>
        </w:rPr>
        <w:t>, що здійснюють діяльність на території Чорноморської міської територіальної громади</w:t>
      </w:r>
      <w:r w:rsidRPr="007620A2">
        <w:rPr>
          <w:rFonts w:ascii="Times New Roman" w:hAnsi="Times New Roman" w:cs="Times New Roman"/>
          <w:sz w:val="24"/>
          <w:szCs w:val="24"/>
          <w:lang w:val="uk-UA"/>
        </w:rPr>
        <w:t xml:space="preserve"> - 10 % від мінімальної заробітної плати (</w:t>
      </w:r>
      <w:r w:rsidR="003170C8">
        <w:rPr>
          <w:rFonts w:ascii="Times New Roman" w:hAnsi="Times New Roman" w:cs="Times New Roman"/>
          <w:sz w:val="24"/>
          <w:szCs w:val="24"/>
          <w:lang w:val="uk-UA"/>
        </w:rPr>
        <w:t>8 000</w:t>
      </w:r>
      <w:r w:rsidRPr="007620A2">
        <w:rPr>
          <w:rFonts w:ascii="Times New Roman" w:hAnsi="Times New Roman" w:cs="Times New Roman"/>
          <w:sz w:val="24"/>
          <w:szCs w:val="24"/>
          <w:lang w:val="uk-UA"/>
        </w:rPr>
        <w:t xml:space="preserve"> грн) - на 202</w:t>
      </w:r>
      <w:r w:rsidR="003170C8">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 </w:t>
      </w:r>
      <w:r w:rsidR="003170C8">
        <w:rPr>
          <w:rFonts w:ascii="Times New Roman" w:hAnsi="Times New Roman" w:cs="Times New Roman"/>
          <w:sz w:val="24"/>
          <w:szCs w:val="24"/>
          <w:lang w:val="uk-UA"/>
        </w:rPr>
        <w:t>800</w:t>
      </w:r>
      <w:r w:rsidRPr="007620A2">
        <w:rPr>
          <w:rFonts w:ascii="Times New Roman" w:hAnsi="Times New Roman" w:cs="Times New Roman"/>
          <w:sz w:val="24"/>
          <w:szCs w:val="24"/>
          <w:lang w:val="uk-UA"/>
        </w:rPr>
        <w:t>,</w:t>
      </w:r>
      <w:r w:rsidR="003170C8">
        <w:rPr>
          <w:rFonts w:ascii="Times New Roman" w:hAnsi="Times New Roman" w:cs="Times New Roman"/>
          <w:sz w:val="24"/>
          <w:szCs w:val="24"/>
          <w:lang w:val="uk-UA"/>
        </w:rPr>
        <w:t>0</w:t>
      </w:r>
      <w:r w:rsidRPr="007620A2">
        <w:rPr>
          <w:rFonts w:ascii="Times New Roman" w:hAnsi="Times New Roman" w:cs="Times New Roman"/>
          <w:sz w:val="24"/>
          <w:szCs w:val="24"/>
          <w:lang w:val="uk-UA"/>
        </w:rPr>
        <w:t>0 грн щомісячно.</w:t>
      </w:r>
    </w:p>
    <w:p w14:paraId="59CA3E23"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Відповідно до пункту 293.7 статті 293 Податкового кодексу України у разі здійснення платником єдиного податку першої і другої груп господарської діяльності на території більш як однієї сільської, селищної, міської ради або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для відповідної групи  таких платників єдиного податку - 20 %, що становить 1 600 грн щомісячно.</w:t>
      </w:r>
    </w:p>
    <w:p w14:paraId="3EBEB34F" w14:textId="77777777" w:rsidR="000B04B1" w:rsidRPr="007620A2" w:rsidRDefault="000B04B1" w:rsidP="000B04B1">
      <w:pPr>
        <w:pStyle w:val="a4"/>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Для платників єдиного податку 3 та 4 групи ставки визначені Податковим кодексом України.</w:t>
      </w:r>
    </w:p>
    <w:p w14:paraId="34F1BB6F" w14:textId="77777777" w:rsidR="000B04B1" w:rsidRPr="007620A2" w:rsidRDefault="000B04B1" w:rsidP="000B04B1">
      <w:pPr>
        <w:pStyle w:val="a4"/>
        <w:spacing w:after="0" w:line="240" w:lineRule="auto"/>
        <w:ind w:left="0" w:firstLine="567"/>
        <w:jc w:val="both"/>
        <w:rPr>
          <w:rFonts w:ascii="Times New Roman" w:hAnsi="Times New Roman" w:cs="Times New Roman"/>
          <w:sz w:val="24"/>
          <w:szCs w:val="24"/>
          <w:lang w:val="uk-UA"/>
        </w:rPr>
      </w:pPr>
    </w:p>
    <w:p w14:paraId="38B07415" w14:textId="77777777" w:rsidR="000B04B1" w:rsidRPr="007620A2" w:rsidRDefault="000B04B1" w:rsidP="000B04B1">
      <w:pPr>
        <w:pStyle w:val="a4"/>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noProof/>
          <w:lang w:eastAsia="ru-RU"/>
        </w:rPr>
        <w:drawing>
          <wp:inline distT="0" distB="0" distL="0" distR="0" wp14:anchorId="6CB9490A" wp14:editId="558C5F7B">
            <wp:extent cx="5583201" cy="1295902"/>
            <wp:effectExtent l="0" t="57150" r="0" b="57150"/>
            <wp:docPr id="18"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4620C8A" w14:textId="5F075AB4" w:rsidR="000B04B1" w:rsidRPr="007620A2" w:rsidRDefault="003170C8" w:rsidP="000B04B1">
      <w:pPr>
        <w:pStyle w:val="a4"/>
        <w:spacing w:after="0" w:line="240" w:lineRule="auto"/>
        <w:ind w:left="0" w:firstLine="567"/>
        <w:jc w:val="both"/>
        <w:rPr>
          <w:rFonts w:ascii="Times New Roman" w:hAnsi="Times New Roman" w:cs="Times New Roman"/>
          <w:lang w:val="uk-UA"/>
        </w:rPr>
      </w:pPr>
      <w:r w:rsidRPr="007620A2">
        <w:rPr>
          <w:rFonts w:ascii="Times New Roman" w:hAnsi="Times New Roman" w:cs="Times New Roman"/>
          <w:noProof/>
          <w:sz w:val="24"/>
          <w:szCs w:val="24"/>
          <w:lang w:eastAsia="ru-RU"/>
        </w:rPr>
        <w:drawing>
          <wp:inline distT="0" distB="0" distL="0" distR="0" wp14:anchorId="382F92A5" wp14:editId="141982F6">
            <wp:extent cx="5874589" cy="2781300"/>
            <wp:effectExtent l="0" t="0" r="1206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087EBD7" w14:textId="73C6C635" w:rsidR="000B04B1" w:rsidRPr="007620A2" w:rsidRDefault="000B04B1" w:rsidP="000B04B1">
      <w:pPr>
        <w:pStyle w:val="a4"/>
        <w:spacing w:after="0"/>
        <w:ind w:left="0"/>
        <w:jc w:val="both"/>
        <w:rPr>
          <w:rFonts w:ascii="Times New Roman" w:hAnsi="Times New Roman" w:cs="Times New Roman"/>
          <w:sz w:val="24"/>
          <w:szCs w:val="24"/>
          <w:lang w:val="uk-UA"/>
        </w:rPr>
      </w:pPr>
    </w:p>
    <w:p w14:paraId="690E8465" w14:textId="77777777" w:rsidR="003170C8" w:rsidRDefault="000B04B1" w:rsidP="000B04B1">
      <w:pPr>
        <w:spacing w:line="240" w:lineRule="auto"/>
        <w:contextualSpacing/>
        <w:jc w:val="both"/>
        <w:rPr>
          <w:noProof/>
          <w:lang w:val="uk-UA"/>
        </w:rPr>
      </w:pPr>
      <w:r w:rsidRPr="007620A2">
        <w:rPr>
          <w:noProof/>
          <w:lang w:val="uk-UA"/>
        </w:rPr>
        <w:t xml:space="preserve">         </w:t>
      </w:r>
    </w:p>
    <w:p w14:paraId="4F9DF443" w14:textId="77777777" w:rsidR="003170C8" w:rsidRDefault="003170C8" w:rsidP="000B04B1">
      <w:pPr>
        <w:spacing w:line="240" w:lineRule="auto"/>
        <w:contextualSpacing/>
        <w:jc w:val="both"/>
        <w:rPr>
          <w:noProof/>
          <w:lang w:val="uk-UA"/>
        </w:rPr>
      </w:pPr>
    </w:p>
    <w:p w14:paraId="6DB30F3D" w14:textId="77777777" w:rsidR="004A562B" w:rsidRDefault="004A562B" w:rsidP="000B04B1">
      <w:pPr>
        <w:spacing w:line="240" w:lineRule="auto"/>
        <w:contextualSpacing/>
        <w:jc w:val="both"/>
        <w:rPr>
          <w:noProof/>
          <w:lang w:val="uk-UA"/>
        </w:rPr>
      </w:pPr>
    </w:p>
    <w:p w14:paraId="627DCEE5" w14:textId="6CFA0BA7" w:rsidR="000B04B1" w:rsidRPr="007620A2" w:rsidRDefault="000B04B1" w:rsidP="000B04B1">
      <w:pPr>
        <w:spacing w:line="240" w:lineRule="auto"/>
        <w:contextualSpacing/>
        <w:jc w:val="both"/>
        <w:rPr>
          <w:rFonts w:ascii="Times New Roman" w:hAnsi="Times New Roman"/>
          <w:b/>
          <w:lang w:val="uk-UA"/>
        </w:rPr>
      </w:pPr>
      <w:r w:rsidRPr="007620A2">
        <w:rPr>
          <w:noProof/>
          <w:lang w:val="uk-UA"/>
        </w:rPr>
        <w:t xml:space="preserve">    </w:t>
      </w:r>
    </w:p>
    <w:p w14:paraId="0F771CC2" w14:textId="77777777" w:rsidR="000B04B1" w:rsidRPr="007620A2" w:rsidRDefault="000B04B1" w:rsidP="00FA2F2E">
      <w:pPr>
        <w:spacing w:after="0" w:line="240" w:lineRule="auto"/>
        <w:ind w:firstLine="567"/>
        <w:contextualSpacing/>
        <w:jc w:val="both"/>
        <w:rPr>
          <w:rFonts w:ascii="Times New Roman" w:hAnsi="Times New Roman"/>
          <w:sz w:val="24"/>
          <w:lang w:val="uk-UA"/>
        </w:rPr>
      </w:pPr>
      <w:r w:rsidRPr="007620A2">
        <w:rPr>
          <w:rFonts w:ascii="Times New Roman" w:hAnsi="Times New Roman"/>
          <w:b/>
          <w:lang w:val="uk-UA"/>
        </w:rPr>
        <w:t xml:space="preserve">Адміністративні штрафи та інші санкції (ККДБ 21081100) </w:t>
      </w:r>
      <w:r w:rsidRPr="007620A2">
        <w:rPr>
          <w:rFonts w:ascii="Times New Roman" w:hAnsi="Times New Roman"/>
          <w:lang w:val="uk-UA"/>
        </w:rPr>
        <w:t>на 2025 рік</w:t>
      </w:r>
      <w:r w:rsidRPr="007620A2">
        <w:rPr>
          <w:rFonts w:ascii="Times New Roman" w:hAnsi="Times New Roman"/>
          <w:b/>
          <w:lang w:val="uk-UA"/>
        </w:rPr>
        <w:t xml:space="preserve"> </w:t>
      </w:r>
      <w:r w:rsidRPr="007620A2">
        <w:rPr>
          <w:rFonts w:ascii="Times New Roman" w:hAnsi="Times New Roman"/>
          <w:lang w:val="uk-UA"/>
        </w:rPr>
        <w:t xml:space="preserve"> </w:t>
      </w:r>
      <w:r w:rsidRPr="007620A2">
        <w:rPr>
          <w:rFonts w:ascii="Times New Roman" w:hAnsi="Times New Roman"/>
          <w:sz w:val="24"/>
          <w:lang w:val="uk-UA"/>
        </w:rPr>
        <w:t xml:space="preserve">розраховані у   сумі 215,0 тис. грн. </w:t>
      </w:r>
    </w:p>
    <w:p w14:paraId="6796F1BA" w14:textId="77777777" w:rsidR="000B04B1" w:rsidRPr="007620A2" w:rsidRDefault="000B04B1" w:rsidP="00FA2F2E">
      <w:pPr>
        <w:spacing w:after="0" w:line="240" w:lineRule="auto"/>
        <w:ind w:firstLine="567"/>
        <w:contextualSpacing/>
        <w:jc w:val="both"/>
        <w:rPr>
          <w:noProof/>
          <w:lang w:val="uk-UA" w:eastAsia="ru-RU"/>
        </w:rPr>
      </w:pPr>
      <w:r w:rsidRPr="007620A2">
        <w:rPr>
          <w:rFonts w:ascii="Times New Roman" w:hAnsi="Times New Roman"/>
          <w:sz w:val="24"/>
          <w:lang w:val="uk-UA"/>
        </w:rPr>
        <w:t>Відповідно до п. п. 38 п. 1 статті 64 глави 11 розділу III Бюджетного кодексу України надходження адміністративних штрафів, що накладаються місцевими органами виконавчої влади та виконавчими органами місцевих рад або утвореними ними в установленому порядку адміністративними комісіями, входить до складу доходів загального  фонду місцевого бюджету.</w:t>
      </w:r>
    </w:p>
    <w:p w14:paraId="24C44FB4" w14:textId="2804EB14" w:rsidR="000B04B1" w:rsidRPr="007620A2" w:rsidRDefault="000B04B1" w:rsidP="00FA2F2E">
      <w:pPr>
        <w:pStyle w:val="a6"/>
        <w:ind w:firstLine="567"/>
        <w:contextualSpacing/>
        <w:rPr>
          <w:rFonts w:ascii="Times New Roman" w:hAnsi="Times New Roman"/>
        </w:rPr>
      </w:pPr>
      <w:r w:rsidRPr="007620A2">
        <w:rPr>
          <w:rFonts w:ascii="Times New Roman" w:hAnsi="Times New Roman"/>
          <w:b/>
        </w:rPr>
        <w:t xml:space="preserve"> Адміністративні штрафи та інші санкції за порушення законодавства у сфері виробництва та обігу алкогольних напоїв та тютюнових виробів (ККДБ 21081500) </w:t>
      </w:r>
      <w:r w:rsidRPr="007620A2">
        <w:rPr>
          <w:rFonts w:ascii="Times New Roman" w:hAnsi="Times New Roman"/>
        </w:rPr>
        <w:t xml:space="preserve">на 2025 рік заплановані в сумі 500,0 тис. грн виходячи із динаміки надходжень за попередні  роки. </w:t>
      </w:r>
    </w:p>
    <w:p w14:paraId="1B5DA4C3" w14:textId="77777777" w:rsidR="000B04B1" w:rsidRPr="007620A2" w:rsidRDefault="000B04B1" w:rsidP="00FA2F2E">
      <w:pPr>
        <w:pStyle w:val="a6"/>
        <w:ind w:firstLine="567"/>
        <w:contextualSpacing/>
        <w:rPr>
          <w:rFonts w:ascii="Times New Roman" w:hAnsi="Times New Roman"/>
        </w:rPr>
      </w:pPr>
      <w:r w:rsidRPr="007620A2">
        <w:rPr>
          <w:rFonts w:ascii="Times New Roman" w:hAnsi="Times New Roman"/>
          <w:b/>
        </w:rPr>
        <w:t xml:space="preserve">Плата за надання адміністративних послуг (ККДБ 22010000) </w:t>
      </w:r>
      <w:r w:rsidRPr="007620A2">
        <w:rPr>
          <w:rFonts w:ascii="Times New Roman" w:hAnsi="Times New Roman"/>
        </w:rPr>
        <w:t>на 2025 рік визначена у сумі 7 590,0 тис. грн.</w:t>
      </w:r>
    </w:p>
    <w:p w14:paraId="72867CCB" w14:textId="77777777" w:rsidR="000B04B1" w:rsidRPr="007620A2" w:rsidRDefault="000B04B1" w:rsidP="00FA2F2E">
      <w:pPr>
        <w:pStyle w:val="a6"/>
        <w:ind w:firstLine="567"/>
        <w:contextualSpacing/>
        <w:rPr>
          <w:rFonts w:ascii="Times New Roman" w:hAnsi="Times New Roman"/>
        </w:rPr>
      </w:pPr>
      <w:r w:rsidRPr="007620A2">
        <w:rPr>
          <w:rFonts w:ascii="Times New Roman" w:hAnsi="Times New Roman"/>
        </w:rPr>
        <w:t xml:space="preserve">Адміністративні послуги юридичним та фізичним особам надаються через Центр надання адміністративних послуг, створений у складі виконавчого комітету Чорноморської міської ради Одеської області. </w:t>
      </w:r>
    </w:p>
    <w:p w14:paraId="2C6E5B2D" w14:textId="77777777" w:rsidR="000B04B1" w:rsidRPr="007620A2" w:rsidRDefault="000B04B1" w:rsidP="00FA2F2E">
      <w:pPr>
        <w:pStyle w:val="a6"/>
        <w:ind w:firstLine="567"/>
        <w:contextualSpacing/>
        <w:rPr>
          <w:rFonts w:ascii="Times New Roman" w:hAnsi="Times New Roman"/>
        </w:rPr>
      </w:pPr>
      <w:r w:rsidRPr="007620A2">
        <w:rPr>
          <w:rFonts w:ascii="Times New Roman" w:hAnsi="Times New Roman"/>
        </w:rPr>
        <w:t xml:space="preserve">Фахівцями Центру надається </w:t>
      </w:r>
      <w:r w:rsidRPr="007620A2">
        <w:rPr>
          <w:rFonts w:ascii="Times New Roman" w:hAnsi="Times New Roman"/>
          <w:u w:val="single"/>
        </w:rPr>
        <w:t>477 видів</w:t>
      </w:r>
      <w:r w:rsidRPr="007620A2">
        <w:rPr>
          <w:rFonts w:ascii="Times New Roman" w:hAnsi="Times New Roman"/>
        </w:rPr>
        <w:t xml:space="preserve"> адміністративних  послуг.</w:t>
      </w:r>
    </w:p>
    <w:p w14:paraId="20ACA8B0" w14:textId="77777777" w:rsidR="000B04B1" w:rsidRPr="007620A2" w:rsidRDefault="000B04B1" w:rsidP="00FA2F2E">
      <w:pPr>
        <w:pStyle w:val="a6"/>
        <w:ind w:firstLine="567"/>
        <w:contextualSpacing/>
        <w:rPr>
          <w:rFonts w:ascii="Times New Roman" w:hAnsi="Times New Roman"/>
        </w:rPr>
      </w:pPr>
      <w:r w:rsidRPr="007620A2">
        <w:rPr>
          <w:rFonts w:ascii="Times New Roman" w:hAnsi="Times New Roman"/>
        </w:rPr>
        <w:t>Структуру надходжень  за надання адміністративних послуг в основному формують:</w:t>
      </w:r>
    </w:p>
    <w:p w14:paraId="1AD02B87" w14:textId="77777777" w:rsidR="000B04B1" w:rsidRPr="007620A2" w:rsidRDefault="000B04B1" w:rsidP="00FA2F2E">
      <w:pPr>
        <w:pStyle w:val="a6"/>
        <w:ind w:firstLine="567"/>
        <w:contextualSpacing/>
        <w:rPr>
          <w:rFonts w:ascii="Times New Roman" w:hAnsi="Times New Roman"/>
        </w:rPr>
      </w:pPr>
      <w:r w:rsidRPr="007620A2">
        <w:rPr>
          <w:rFonts w:ascii="Times New Roman" w:hAnsi="Times New Roman"/>
        </w:rPr>
        <w:t>- послуги, що надаються Державною міграційною службою, які пов`язані з оформленням паспортів;</w:t>
      </w:r>
    </w:p>
    <w:p w14:paraId="3F228760" w14:textId="77777777" w:rsidR="000B04B1" w:rsidRPr="007620A2" w:rsidRDefault="000B04B1" w:rsidP="00FA2F2E">
      <w:pPr>
        <w:pStyle w:val="a6"/>
        <w:ind w:firstLine="567"/>
        <w:contextualSpacing/>
        <w:rPr>
          <w:rFonts w:ascii="Times New Roman" w:hAnsi="Times New Roman"/>
        </w:rPr>
      </w:pPr>
      <w:r w:rsidRPr="007620A2">
        <w:rPr>
          <w:rFonts w:ascii="Times New Roman" w:hAnsi="Times New Roman"/>
        </w:rPr>
        <w:t>-  послуги за отримання витягів з Державного земельного кадастру;</w:t>
      </w:r>
    </w:p>
    <w:p w14:paraId="2AB04398" w14:textId="77777777" w:rsidR="000B04B1" w:rsidRPr="007620A2" w:rsidRDefault="000B04B1" w:rsidP="00FA2F2E">
      <w:pPr>
        <w:pStyle w:val="a6"/>
        <w:ind w:firstLine="567"/>
        <w:contextualSpacing/>
        <w:rPr>
          <w:rFonts w:ascii="Times New Roman" w:hAnsi="Times New Roman"/>
        </w:rPr>
      </w:pPr>
      <w:r w:rsidRPr="007620A2">
        <w:rPr>
          <w:rFonts w:ascii="Times New Roman" w:hAnsi="Times New Roman"/>
        </w:rPr>
        <w:t>- реєстрація, зняття з реєстрації місця проживання;</w:t>
      </w:r>
    </w:p>
    <w:p w14:paraId="471DF044" w14:textId="77777777" w:rsidR="000B04B1" w:rsidRPr="007620A2" w:rsidRDefault="000B04B1" w:rsidP="00FA2F2E">
      <w:pPr>
        <w:pStyle w:val="a6"/>
        <w:ind w:firstLine="567"/>
        <w:contextualSpacing/>
        <w:rPr>
          <w:rFonts w:ascii="Times New Roman" w:hAnsi="Times New Roman"/>
        </w:rPr>
      </w:pPr>
      <w:r w:rsidRPr="007620A2">
        <w:rPr>
          <w:rFonts w:ascii="Times New Roman" w:hAnsi="Times New Roman"/>
        </w:rPr>
        <w:t>- реєстрація речових прав на нерухоме майно та їх обтяжень;</w:t>
      </w:r>
    </w:p>
    <w:p w14:paraId="62973692" w14:textId="3324E4CF" w:rsidR="000B04B1" w:rsidRDefault="000B04B1" w:rsidP="00FA2F2E">
      <w:pPr>
        <w:pStyle w:val="a6"/>
        <w:ind w:firstLine="567"/>
        <w:contextualSpacing/>
        <w:rPr>
          <w:rFonts w:ascii="Times New Roman" w:hAnsi="Times New Roman"/>
        </w:rPr>
      </w:pPr>
      <w:r w:rsidRPr="007620A2">
        <w:rPr>
          <w:rFonts w:ascii="Times New Roman" w:hAnsi="Times New Roman"/>
        </w:rPr>
        <w:t>- проведення державної реєстрації юридичних осіб, фізичних осіб - підприємців та громадських формувань</w:t>
      </w:r>
      <w:r w:rsidR="00FA2F2E">
        <w:rPr>
          <w:rFonts w:ascii="Times New Roman" w:hAnsi="Times New Roman"/>
        </w:rPr>
        <w:t>.</w:t>
      </w:r>
    </w:p>
    <w:p w14:paraId="21FA57C1" w14:textId="77777777" w:rsidR="00FA2F2E" w:rsidRPr="007620A2" w:rsidRDefault="00FA2F2E" w:rsidP="00FA2F2E">
      <w:pPr>
        <w:pStyle w:val="a6"/>
        <w:ind w:firstLine="567"/>
        <w:contextualSpacing/>
        <w:rPr>
          <w:rFonts w:ascii="Times New Roman" w:hAnsi="Times New Roman"/>
        </w:rPr>
      </w:pPr>
    </w:p>
    <w:p w14:paraId="74EB36CD" w14:textId="17AD55D4" w:rsidR="000B04B1" w:rsidRPr="007620A2" w:rsidRDefault="00FA2F2E" w:rsidP="000B04B1">
      <w:pPr>
        <w:pStyle w:val="a6"/>
        <w:ind w:firstLine="567"/>
        <w:rPr>
          <w:rFonts w:ascii="Times New Roman" w:hAnsi="Times New Roman"/>
        </w:rPr>
      </w:pPr>
      <w:r w:rsidRPr="007620A2">
        <w:rPr>
          <w:rFonts w:ascii="Times New Roman" w:hAnsi="Times New Roman"/>
          <w:noProof/>
          <w:lang w:val="ru-RU"/>
        </w:rPr>
        <w:drawing>
          <wp:inline distT="0" distB="0" distL="0" distR="0" wp14:anchorId="6FC254FE" wp14:editId="656E22C5">
            <wp:extent cx="6019800" cy="4086225"/>
            <wp:effectExtent l="0" t="0" r="0" b="9525"/>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EA25D91" w14:textId="336ACC73" w:rsidR="000B04B1" w:rsidRPr="007620A2" w:rsidRDefault="000B04B1" w:rsidP="000B04B1">
      <w:pPr>
        <w:pStyle w:val="a6"/>
        <w:spacing w:line="276" w:lineRule="auto"/>
        <w:rPr>
          <w:rFonts w:ascii="Times New Roman" w:hAnsi="Times New Roman"/>
        </w:rPr>
      </w:pPr>
      <w:r w:rsidRPr="007620A2">
        <w:rPr>
          <w:rFonts w:ascii="Times New Roman" w:hAnsi="Times New Roman"/>
          <w:noProof/>
          <w:lang w:val="ru-RU"/>
        </w:rPr>
        <mc:AlternateContent>
          <mc:Choice Requires="wps">
            <w:drawing>
              <wp:anchor distT="0" distB="0" distL="114300" distR="114300" simplePos="0" relativeHeight="251667456" behindDoc="0" locked="0" layoutInCell="1" allowOverlap="1" wp14:anchorId="4FB94388" wp14:editId="11609B2A">
                <wp:simplePos x="0" y="0"/>
                <wp:positionH relativeFrom="column">
                  <wp:posOffset>805180</wp:posOffset>
                </wp:positionH>
                <wp:positionV relativeFrom="paragraph">
                  <wp:posOffset>2185670</wp:posOffset>
                </wp:positionV>
                <wp:extent cx="1038225" cy="723900"/>
                <wp:effectExtent l="0" t="0" r="9525" b="0"/>
                <wp:wrapNone/>
                <wp:docPr id="2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72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515C2" id="AutoShape 131" o:spid="_x0000_s1026" type="#_x0000_t32" style="position:absolute;margin-left:63.4pt;margin-top:172.1pt;width:81.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"/>
            </w:pict>
          </mc:Fallback>
        </mc:AlternateContent>
      </w:r>
    </w:p>
    <w:p w14:paraId="35EC70B3" w14:textId="77777777" w:rsidR="000B04B1" w:rsidRPr="007620A2" w:rsidRDefault="000B04B1" w:rsidP="000B04B1">
      <w:pPr>
        <w:pStyle w:val="a6"/>
        <w:ind w:firstLine="567"/>
        <w:rPr>
          <w:rFonts w:ascii="Times New Roman" w:hAnsi="Times New Roman"/>
          <w:b/>
          <w:szCs w:val="24"/>
        </w:rPr>
      </w:pPr>
    </w:p>
    <w:p w14:paraId="4D5D3165"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b/>
          <w:szCs w:val="24"/>
        </w:rPr>
        <w:t xml:space="preserve">Надходження від орендної </w:t>
      </w:r>
      <w:r w:rsidRPr="003F7140">
        <w:rPr>
          <w:rFonts w:ascii="Times New Roman" w:hAnsi="Times New Roman"/>
          <w:b/>
          <w:szCs w:val="24"/>
        </w:rPr>
        <w:t>плати за користування цілісним майновим комплексом та іншим майном</w:t>
      </w:r>
      <w:r w:rsidRPr="007620A2">
        <w:rPr>
          <w:rFonts w:ascii="Times New Roman" w:hAnsi="Times New Roman"/>
          <w:szCs w:val="24"/>
        </w:rPr>
        <w:t xml:space="preserve">, що перебуває в комунальній власності, </w:t>
      </w:r>
      <w:r w:rsidRPr="007620A2">
        <w:rPr>
          <w:rFonts w:ascii="Times New Roman" w:hAnsi="Times New Roman"/>
          <w:b/>
          <w:szCs w:val="24"/>
        </w:rPr>
        <w:t>(код 22080400)</w:t>
      </w:r>
      <w:r w:rsidRPr="007620A2">
        <w:rPr>
          <w:rFonts w:ascii="Times New Roman" w:hAnsi="Times New Roman"/>
          <w:szCs w:val="24"/>
        </w:rPr>
        <w:t xml:space="preserve"> на 2025 рік прогнозується в розмірі 4 900,0 тис. грн. </w:t>
      </w:r>
    </w:p>
    <w:p w14:paraId="0B3CCCFB" w14:textId="6C7CFC0A"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xml:space="preserve">Рішенням Чорноморської міської ради Одеської області від 08.06.2018р. № 341-VIІ встановлено пропорції розподілу орендної плати між </w:t>
      </w:r>
      <w:r w:rsidR="002F6C41">
        <w:rPr>
          <w:rFonts w:ascii="Times New Roman" w:hAnsi="Times New Roman"/>
          <w:szCs w:val="24"/>
        </w:rPr>
        <w:t>б</w:t>
      </w:r>
      <w:r w:rsidRPr="007620A2">
        <w:rPr>
          <w:rFonts w:ascii="Times New Roman" w:hAnsi="Times New Roman"/>
          <w:szCs w:val="24"/>
        </w:rPr>
        <w:t>юджетом</w:t>
      </w:r>
      <w:r w:rsidR="002F6C41">
        <w:rPr>
          <w:rFonts w:ascii="Times New Roman" w:hAnsi="Times New Roman"/>
          <w:szCs w:val="24"/>
        </w:rPr>
        <w:t xml:space="preserve"> Чорноморської МТГ</w:t>
      </w:r>
      <w:r w:rsidRPr="007620A2">
        <w:rPr>
          <w:rFonts w:ascii="Times New Roman" w:hAnsi="Times New Roman"/>
          <w:szCs w:val="24"/>
        </w:rPr>
        <w:t>, орендодавцем і балансоутримувачем у співвідношенні:</w:t>
      </w:r>
    </w:p>
    <w:p w14:paraId="36907221"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за окреме індивідуально визначене майно підприємства, організації (крім нерухомого) - 100 відсотків підприємству, організації;</w:t>
      </w:r>
    </w:p>
    <w:p w14:paraId="5E7737A0"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за цілісні майнові комплекси комунальних підприємств, структурних підрозділів підприємств, організацій, нерухоме майно:</w:t>
      </w:r>
    </w:p>
    <w:p w14:paraId="1E9DD496"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- 70 відсотків орендної плати підприємству, організацій;</w:t>
      </w:r>
    </w:p>
    <w:p w14:paraId="27F141B4" w14:textId="1F1C5AEC"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- 30 відсотків - до бюджету</w:t>
      </w:r>
      <w:r w:rsidR="002F6C41">
        <w:rPr>
          <w:rFonts w:ascii="Times New Roman" w:hAnsi="Times New Roman"/>
          <w:szCs w:val="24"/>
        </w:rPr>
        <w:t xml:space="preserve"> Чорноморської МТГ</w:t>
      </w:r>
      <w:r w:rsidRPr="007620A2">
        <w:rPr>
          <w:rFonts w:ascii="Times New Roman" w:hAnsi="Times New Roman"/>
          <w:szCs w:val="24"/>
        </w:rPr>
        <w:t>;</w:t>
      </w:r>
    </w:p>
    <w:p w14:paraId="6D726D9B"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за нерухоме майно:</w:t>
      </w:r>
    </w:p>
    <w:p w14:paraId="59E3BDA1"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xml:space="preserve">- що знаходиться на балансі виконавчих органів Чорноморської міської ради Одеської області - 100 % на відповідні рахунки виконавчих органів Чорноморської міської ради Одеської області, відкритих в територіальному органі державної казначейської служби України, як власні надходження. </w:t>
      </w:r>
    </w:p>
    <w:p w14:paraId="10EEC01A" w14:textId="479DA5D0"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яке знаходиться на балансі управління комунальної власності та земельних відносин Чорноморської міської ради Одеської області - 100 % до бюджету</w:t>
      </w:r>
      <w:r w:rsidR="002F6C41">
        <w:rPr>
          <w:rFonts w:ascii="Times New Roman" w:hAnsi="Times New Roman"/>
          <w:szCs w:val="24"/>
        </w:rPr>
        <w:t xml:space="preserve"> Чорноморської МТГ</w:t>
      </w:r>
      <w:r w:rsidRPr="007620A2">
        <w:rPr>
          <w:rFonts w:ascii="Times New Roman" w:hAnsi="Times New Roman"/>
          <w:szCs w:val="24"/>
        </w:rPr>
        <w:t>.</w:t>
      </w:r>
    </w:p>
    <w:p w14:paraId="324C6D87" w14:textId="77777777" w:rsidR="000B04B1" w:rsidRDefault="000B04B1" w:rsidP="000B04B1">
      <w:pPr>
        <w:pStyle w:val="a6"/>
        <w:ind w:firstLine="567"/>
        <w:rPr>
          <w:rFonts w:ascii="Times New Roman" w:hAnsi="Times New Roman"/>
          <w:szCs w:val="24"/>
        </w:rPr>
      </w:pPr>
      <w:r w:rsidRPr="007620A2">
        <w:rPr>
          <w:rFonts w:ascii="Times New Roman" w:hAnsi="Times New Roman"/>
          <w:szCs w:val="24"/>
        </w:rPr>
        <w:t>Відповідно до Закону України «Про оренду державного та комунального майна», у разі, якщо на момент продовження дії договору оренди остання оцінка об`єкта оренди була зроблена більш як три роки тому, для продовження (поновлення) договору оренди провадиться оцінка об`єкта оренди.</w:t>
      </w:r>
    </w:p>
    <w:p w14:paraId="05EF004C" w14:textId="77777777" w:rsidR="002F6C41" w:rsidRDefault="002F6C41" w:rsidP="000B04B1">
      <w:pPr>
        <w:pStyle w:val="a6"/>
        <w:ind w:firstLine="567"/>
        <w:rPr>
          <w:rFonts w:ascii="Times New Roman" w:hAnsi="Times New Roman"/>
          <w:szCs w:val="24"/>
        </w:rPr>
      </w:pPr>
    </w:p>
    <w:p w14:paraId="3912A3D8" w14:textId="77777777" w:rsidR="000B04B1" w:rsidRPr="007620A2" w:rsidRDefault="000B04B1" w:rsidP="000B04B1">
      <w:pPr>
        <w:pStyle w:val="a6"/>
        <w:spacing w:line="276" w:lineRule="auto"/>
        <w:rPr>
          <w:rFonts w:ascii="Times New Roman" w:hAnsi="Times New Roman"/>
          <w:szCs w:val="24"/>
        </w:rPr>
      </w:pPr>
      <w:r w:rsidRPr="007620A2">
        <w:rPr>
          <w:rFonts w:ascii="Times New Roman" w:hAnsi="Times New Roman"/>
          <w:noProof/>
          <w:color w:val="FF0000"/>
          <w:szCs w:val="24"/>
          <w:lang w:val="ru-RU"/>
        </w:rPr>
        <w:drawing>
          <wp:inline distT="0" distB="0" distL="0" distR="0" wp14:anchorId="25B796F6" wp14:editId="05C3FEFD">
            <wp:extent cx="6431280" cy="2743200"/>
            <wp:effectExtent l="0" t="0" r="762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B19DBE5" w14:textId="77777777" w:rsidR="002F6C41" w:rsidRDefault="002F6C41" w:rsidP="000B04B1">
      <w:pPr>
        <w:pStyle w:val="a6"/>
        <w:ind w:firstLine="567"/>
        <w:rPr>
          <w:rFonts w:ascii="Times New Roman" w:hAnsi="Times New Roman"/>
          <w:szCs w:val="24"/>
        </w:rPr>
      </w:pPr>
    </w:p>
    <w:p w14:paraId="3A15AB92" w14:textId="77777777" w:rsidR="002F6C41" w:rsidRDefault="002F6C41" w:rsidP="000B04B1">
      <w:pPr>
        <w:pStyle w:val="a6"/>
        <w:ind w:firstLine="567"/>
        <w:rPr>
          <w:rFonts w:ascii="Times New Roman" w:hAnsi="Times New Roman"/>
          <w:szCs w:val="24"/>
        </w:rPr>
      </w:pPr>
    </w:p>
    <w:p w14:paraId="1B245A1B" w14:textId="6C63CF89"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xml:space="preserve">За даними управління комунальної власності та земельних відносин Чорноморської міської ради </w:t>
      </w:r>
      <w:r w:rsidR="002F6C41">
        <w:rPr>
          <w:rFonts w:ascii="Times New Roman" w:hAnsi="Times New Roman"/>
          <w:szCs w:val="24"/>
        </w:rPr>
        <w:t xml:space="preserve">Одеського району </w:t>
      </w:r>
      <w:r w:rsidRPr="007620A2">
        <w:rPr>
          <w:rFonts w:ascii="Times New Roman" w:hAnsi="Times New Roman"/>
          <w:szCs w:val="24"/>
        </w:rPr>
        <w:t xml:space="preserve">Одеської області кількість укладених договорів оренди комунального майна станом на 01.12.2024р. становить 186, із яких по 166 договорам зараховується до бюджету орендна плата за користування цілісним майновим комплексом та іншим майном, що перебуває в комунальній власності за ККДБ 22080400. </w:t>
      </w:r>
    </w:p>
    <w:p w14:paraId="5CA17FF8" w14:textId="181F9346" w:rsidR="000B04B1" w:rsidRDefault="000B04B1" w:rsidP="000B04B1">
      <w:pPr>
        <w:pStyle w:val="a6"/>
        <w:ind w:firstLine="567"/>
        <w:rPr>
          <w:rFonts w:ascii="Times New Roman" w:hAnsi="Times New Roman"/>
          <w:szCs w:val="24"/>
        </w:rPr>
      </w:pPr>
      <w:r w:rsidRPr="007620A2">
        <w:rPr>
          <w:rFonts w:ascii="Times New Roman" w:hAnsi="Times New Roman"/>
          <w:szCs w:val="24"/>
        </w:rPr>
        <w:t xml:space="preserve">Надходження від орендної плати за користування комунальним майном (30 % до бюджету </w:t>
      </w:r>
      <w:r w:rsidR="005F6D26">
        <w:rPr>
          <w:rFonts w:ascii="Times New Roman" w:hAnsi="Times New Roman"/>
          <w:szCs w:val="24"/>
        </w:rPr>
        <w:t>громади</w:t>
      </w:r>
      <w:r w:rsidRPr="007620A2">
        <w:rPr>
          <w:rFonts w:ascii="Times New Roman" w:hAnsi="Times New Roman"/>
          <w:szCs w:val="24"/>
        </w:rPr>
        <w:t>) за даними зведеної звітності від комунальних підприємств станом на 01.10.2024 року  формується наступним чином:</w:t>
      </w:r>
    </w:p>
    <w:p w14:paraId="06341180" w14:textId="77777777" w:rsidR="00B80572" w:rsidRPr="007620A2" w:rsidRDefault="00B80572" w:rsidP="000B04B1">
      <w:pPr>
        <w:pStyle w:val="a6"/>
        <w:ind w:firstLine="567"/>
        <w:rPr>
          <w:rFonts w:ascii="Times New Roman" w:hAnsi="Times New Roman"/>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134"/>
        <w:gridCol w:w="1559"/>
        <w:gridCol w:w="1418"/>
      </w:tblGrid>
      <w:tr w:rsidR="000B04B1" w:rsidRPr="007620A2" w14:paraId="54FA2AE8" w14:textId="77777777" w:rsidTr="00B80572">
        <w:trPr>
          <w:tblHeader/>
        </w:trPr>
        <w:tc>
          <w:tcPr>
            <w:tcW w:w="4219" w:type="dxa"/>
            <w:shd w:val="clear" w:color="auto" w:fill="auto"/>
          </w:tcPr>
          <w:p w14:paraId="219976C3" w14:textId="77777777" w:rsidR="000B04B1" w:rsidRPr="007620A2" w:rsidRDefault="000B04B1" w:rsidP="000B04B1">
            <w:pPr>
              <w:pStyle w:val="a6"/>
              <w:jc w:val="center"/>
              <w:rPr>
                <w:rFonts w:ascii="Times New Roman" w:hAnsi="Times New Roman"/>
                <w:color w:val="000000" w:themeColor="text1"/>
                <w:szCs w:val="24"/>
              </w:rPr>
            </w:pPr>
          </w:p>
          <w:p w14:paraId="176DE1C5" w14:textId="77777777" w:rsidR="000B04B1" w:rsidRPr="007620A2" w:rsidRDefault="000B04B1" w:rsidP="000B04B1">
            <w:pPr>
              <w:pStyle w:val="a6"/>
              <w:jc w:val="center"/>
              <w:rPr>
                <w:rFonts w:ascii="Times New Roman" w:hAnsi="Times New Roman"/>
                <w:color w:val="000000" w:themeColor="text1"/>
                <w:szCs w:val="24"/>
              </w:rPr>
            </w:pPr>
          </w:p>
          <w:p w14:paraId="6D7B0E9E" w14:textId="77777777" w:rsidR="000B04B1" w:rsidRPr="007620A2" w:rsidRDefault="000B04B1" w:rsidP="000B04B1">
            <w:pPr>
              <w:pStyle w:val="a6"/>
              <w:jc w:val="center"/>
              <w:rPr>
                <w:rFonts w:ascii="Times New Roman" w:hAnsi="Times New Roman"/>
                <w:color w:val="000000" w:themeColor="text1"/>
                <w:szCs w:val="24"/>
              </w:rPr>
            </w:pPr>
            <w:r w:rsidRPr="007620A2">
              <w:rPr>
                <w:rFonts w:ascii="Times New Roman" w:hAnsi="Times New Roman"/>
                <w:color w:val="000000" w:themeColor="text1"/>
                <w:szCs w:val="24"/>
              </w:rPr>
              <w:t>Назва орендодавця</w:t>
            </w:r>
          </w:p>
        </w:tc>
        <w:tc>
          <w:tcPr>
            <w:tcW w:w="1559" w:type="dxa"/>
            <w:shd w:val="clear" w:color="auto" w:fill="auto"/>
            <w:vAlign w:val="center"/>
          </w:tcPr>
          <w:p w14:paraId="24ECAB40" w14:textId="77777777" w:rsidR="000B04B1" w:rsidRPr="007620A2" w:rsidRDefault="000B04B1" w:rsidP="000B04B1">
            <w:pPr>
              <w:pStyle w:val="a6"/>
              <w:jc w:val="center"/>
              <w:rPr>
                <w:rFonts w:ascii="Times New Roman" w:hAnsi="Times New Roman"/>
                <w:color w:val="000000" w:themeColor="text1"/>
                <w:szCs w:val="24"/>
              </w:rPr>
            </w:pPr>
            <w:r w:rsidRPr="007620A2">
              <w:rPr>
                <w:rFonts w:ascii="Times New Roman" w:hAnsi="Times New Roman"/>
                <w:color w:val="000000" w:themeColor="text1"/>
                <w:szCs w:val="24"/>
              </w:rPr>
              <w:t>Сума надходжень станом на 01.10.2024р., тис. грн</w:t>
            </w:r>
          </w:p>
        </w:tc>
        <w:tc>
          <w:tcPr>
            <w:tcW w:w="1134" w:type="dxa"/>
            <w:shd w:val="clear" w:color="auto" w:fill="auto"/>
            <w:vAlign w:val="center"/>
          </w:tcPr>
          <w:p w14:paraId="267286CD" w14:textId="77777777" w:rsidR="000B04B1" w:rsidRPr="007620A2" w:rsidRDefault="000B04B1" w:rsidP="000B04B1">
            <w:pPr>
              <w:pStyle w:val="a6"/>
              <w:jc w:val="center"/>
              <w:rPr>
                <w:rFonts w:ascii="Times New Roman" w:hAnsi="Times New Roman"/>
                <w:color w:val="000000" w:themeColor="text1"/>
                <w:szCs w:val="24"/>
              </w:rPr>
            </w:pPr>
            <w:r w:rsidRPr="007620A2">
              <w:rPr>
                <w:rFonts w:ascii="Times New Roman" w:hAnsi="Times New Roman"/>
                <w:color w:val="000000" w:themeColor="text1"/>
                <w:szCs w:val="24"/>
              </w:rPr>
              <w:t>Питома вага у загальній сумі надходжень, %</w:t>
            </w:r>
          </w:p>
        </w:tc>
        <w:tc>
          <w:tcPr>
            <w:tcW w:w="1559" w:type="dxa"/>
            <w:shd w:val="clear" w:color="auto" w:fill="auto"/>
            <w:vAlign w:val="center"/>
          </w:tcPr>
          <w:p w14:paraId="12AA2411" w14:textId="77777777" w:rsidR="000B04B1" w:rsidRPr="007620A2" w:rsidRDefault="000B04B1" w:rsidP="000B04B1">
            <w:pPr>
              <w:pStyle w:val="a6"/>
              <w:jc w:val="center"/>
              <w:rPr>
                <w:rFonts w:ascii="Times New Roman" w:hAnsi="Times New Roman"/>
                <w:color w:val="000000" w:themeColor="text1"/>
                <w:szCs w:val="24"/>
              </w:rPr>
            </w:pPr>
            <w:r w:rsidRPr="007620A2">
              <w:rPr>
                <w:rFonts w:ascii="Times New Roman" w:hAnsi="Times New Roman"/>
                <w:color w:val="000000" w:themeColor="text1"/>
                <w:szCs w:val="24"/>
              </w:rPr>
              <w:t>Кількість договорів оренди станом на 01.10.2024р.</w:t>
            </w:r>
          </w:p>
        </w:tc>
        <w:tc>
          <w:tcPr>
            <w:tcW w:w="1418" w:type="dxa"/>
            <w:shd w:val="clear" w:color="auto" w:fill="auto"/>
            <w:vAlign w:val="center"/>
          </w:tcPr>
          <w:p w14:paraId="24365F7E" w14:textId="77777777" w:rsidR="000B04B1" w:rsidRPr="007620A2" w:rsidRDefault="000B04B1" w:rsidP="000B04B1">
            <w:pPr>
              <w:pStyle w:val="a6"/>
              <w:jc w:val="center"/>
              <w:rPr>
                <w:rFonts w:ascii="Times New Roman" w:hAnsi="Times New Roman"/>
                <w:color w:val="000000" w:themeColor="text1"/>
                <w:szCs w:val="24"/>
              </w:rPr>
            </w:pPr>
            <w:r w:rsidRPr="007620A2">
              <w:rPr>
                <w:rFonts w:ascii="Times New Roman" w:hAnsi="Times New Roman"/>
                <w:color w:val="000000" w:themeColor="text1"/>
                <w:szCs w:val="24"/>
              </w:rPr>
              <w:t>Розрахункова сума орендної плати на 2025 рік, тис. грн</w:t>
            </w:r>
          </w:p>
        </w:tc>
      </w:tr>
      <w:tr w:rsidR="000B04B1" w:rsidRPr="007620A2" w14:paraId="7C624CF4" w14:textId="77777777" w:rsidTr="000B04B1">
        <w:trPr>
          <w:trHeight w:val="431"/>
        </w:trPr>
        <w:tc>
          <w:tcPr>
            <w:tcW w:w="4219" w:type="dxa"/>
            <w:shd w:val="clear" w:color="auto" w:fill="auto"/>
          </w:tcPr>
          <w:p w14:paraId="1C4CE0B9" w14:textId="77777777" w:rsidR="000B04B1" w:rsidRPr="007620A2" w:rsidRDefault="000B04B1" w:rsidP="000B04B1">
            <w:pPr>
              <w:pStyle w:val="a6"/>
              <w:spacing w:line="276" w:lineRule="auto"/>
              <w:rPr>
                <w:rFonts w:ascii="Times New Roman" w:hAnsi="Times New Roman"/>
                <w:color w:val="000000" w:themeColor="text1"/>
                <w:szCs w:val="24"/>
              </w:rPr>
            </w:pPr>
            <w:r w:rsidRPr="007620A2">
              <w:rPr>
                <w:rFonts w:ascii="Times New Roman" w:hAnsi="Times New Roman"/>
                <w:color w:val="000000" w:themeColor="text1"/>
                <w:szCs w:val="24"/>
              </w:rPr>
              <w:t>КП "МУЖКГ" (30%)</w:t>
            </w:r>
          </w:p>
        </w:tc>
        <w:tc>
          <w:tcPr>
            <w:tcW w:w="1559" w:type="dxa"/>
            <w:shd w:val="clear" w:color="auto" w:fill="auto"/>
          </w:tcPr>
          <w:p w14:paraId="4C55D5E6"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2 076,4</w:t>
            </w:r>
          </w:p>
        </w:tc>
        <w:tc>
          <w:tcPr>
            <w:tcW w:w="1134" w:type="dxa"/>
            <w:shd w:val="clear" w:color="auto" w:fill="auto"/>
          </w:tcPr>
          <w:p w14:paraId="13FBB758"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57,8 %</w:t>
            </w:r>
          </w:p>
        </w:tc>
        <w:tc>
          <w:tcPr>
            <w:tcW w:w="1559" w:type="dxa"/>
            <w:shd w:val="clear" w:color="auto" w:fill="auto"/>
          </w:tcPr>
          <w:p w14:paraId="3AB555D4"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72</w:t>
            </w:r>
          </w:p>
        </w:tc>
        <w:tc>
          <w:tcPr>
            <w:tcW w:w="1418" w:type="dxa"/>
            <w:shd w:val="clear" w:color="auto" w:fill="auto"/>
          </w:tcPr>
          <w:p w14:paraId="59AA7BF5"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2 900,0</w:t>
            </w:r>
          </w:p>
        </w:tc>
      </w:tr>
      <w:tr w:rsidR="000B04B1" w:rsidRPr="007620A2" w14:paraId="1A52F6BE" w14:textId="77777777" w:rsidTr="000B04B1">
        <w:trPr>
          <w:trHeight w:val="416"/>
        </w:trPr>
        <w:tc>
          <w:tcPr>
            <w:tcW w:w="4219" w:type="dxa"/>
            <w:shd w:val="clear" w:color="auto" w:fill="auto"/>
          </w:tcPr>
          <w:p w14:paraId="622F1C82" w14:textId="77777777" w:rsidR="000B04B1" w:rsidRPr="007620A2" w:rsidRDefault="000B04B1" w:rsidP="000B04B1">
            <w:pPr>
              <w:pStyle w:val="a6"/>
              <w:spacing w:line="276" w:lineRule="auto"/>
              <w:rPr>
                <w:rFonts w:ascii="Times New Roman" w:hAnsi="Times New Roman"/>
                <w:color w:val="000000" w:themeColor="text1"/>
                <w:szCs w:val="24"/>
              </w:rPr>
            </w:pPr>
            <w:r w:rsidRPr="007620A2">
              <w:rPr>
                <w:rFonts w:ascii="Times New Roman" w:hAnsi="Times New Roman"/>
                <w:color w:val="000000" w:themeColor="text1"/>
                <w:szCs w:val="24"/>
              </w:rPr>
              <w:t>КНП "Чорноморська лікарня"(30%)</w:t>
            </w:r>
          </w:p>
        </w:tc>
        <w:tc>
          <w:tcPr>
            <w:tcW w:w="1559" w:type="dxa"/>
            <w:shd w:val="clear" w:color="auto" w:fill="auto"/>
          </w:tcPr>
          <w:p w14:paraId="44658869"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927,3</w:t>
            </w:r>
          </w:p>
        </w:tc>
        <w:tc>
          <w:tcPr>
            <w:tcW w:w="1134" w:type="dxa"/>
            <w:shd w:val="clear" w:color="auto" w:fill="auto"/>
          </w:tcPr>
          <w:p w14:paraId="062EEE2D"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25,8 %</w:t>
            </w:r>
          </w:p>
        </w:tc>
        <w:tc>
          <w:tcPr>
            <w:tcW w:w="1559" w:type="dxa"/>
            <w:shd w:val="clear" w:color="auto" w:fill="auto"/>
          </w:tcPr>
          <w:p w14:paraId="5173F981"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12</w:t>
            </w:r>
          </w:p>
        </w:tc>
        <w:tc>
          <w:tcPr>
            <w:tcW w:w="1418" w:type="dxa"/>
            <w:shd w:val="clear" w:color="auto" w:fill="auto"/>
          </w:tcPr>
          <w:p w14:paraId="6937BCCD"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1 200,0</w:t>
            </w:r>
          </w:p>
        </w:tc>
      </w:tr>
      <w:tr w:rsidR="000B04B1" w:rsidRPr="007620A2" w14:paraId="11D4C09E" w14:textId="77777777" w:rsidTr="000B04B1">
        <w:trPr>
          <w:trHeight w:val="416"/>
        </w:trPr>
        <w:tc>
          <w:tcPr>
            <w:tcW w:w="4219" w:type="dxa"/>
            <w:shd w:val="clear" w:color="auto" w:fill="auto"/>
          </w:tcPr>
          <w:p w14:paraId="7BD08A92" w14:textId="77777777" w:rsidR="000B04B1" w:rsidRPr="007620A2" w:rsidRDefault="000B04B1" w:rsidP="000B04B1">
            <w:pPr>
              <w:pStyle w:val="a6"/>
              <w:spacing w:line="276" w:lineRule="auto"/>
              <w:rPr>
                <w:rFonts w:ascii="Times New Roman" w:hAnsi="Times New Roman"/>
                <w:color w:val="000000" w:themeColor="text1"/>
                <w:szCs w:val="24"/>
              </w:rPr>
            </w:pPr>
            <w:r w:rsidRPr="007620A2">
              <w:rPr>
                <w:rFonts w:ascii="Times New Roman" w:hAnsi="Times New Roman"/>
                <w:color w:val="000000" w:themeColor="text1"/>
                <w:szCs w:val="24"/>
              </w:rPr>
              <w:t>УКВ та ЗВ ЧМР (100%)</w:t>
            </w:r>
          </w:p>
        </w:tc>
        <w:tc>
          <w:tcPr>
            <w:tcW w:w="1559" w:type="dxa"/>
            <w:shd w:val="clear" w:color="auto" w:fill="auto"/>
          </w:tcPr>
          <w:p w14:paraId="0A61020C"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329,8</w:t>
            </w:r>
          </w:p>
        </w:tc>
        <w:tc>
          <w:tcPr>
            <w:tcW w:w="1134" w:type="dxa"/>
            <w:shd w:val="clear" w:color="auto" w:fill="auto"/>
          </w:tcPr>
          <w:p w14:paraId="46983557"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9,2 %</w:t>
            </w:r>
          </w:p>
        </w:tc>
        <w:tc>
          <w:tcPr>
            <w:tcW w:w="1559" w:type="dxa"/>
            <w:shd w:val="clear" w:color="auto" w:fill="auto"/>
          </w:tcPr>
          <w:p w14:paraId="5843202C"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14</w:t>
            </w:r>
          </w:p>
        </w:tc>
        <w:tc>
          <w:tcPr>
            <w:tcW w:w="1418" w:type="dxa"/>
            <w:shd w:val="clear" w:color="auto" w:fill="auto"/>
          </w:tcPr>
          <w:p w14:paraId="22362276"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440,0</w:t>
            </w:r>
          </w:p>
        </w:tc>
      </w:tr>
      <w:tr w:rsidR="000B04B1" w:rsidRPr="007620A2" w14:paraId="23F7B5A5" w14:textId="77777777" w:rsidTr="000B04B1">
        <w:trPr>
          <w:trHeight w:val="416"/>
        </w:trPr>
        <w:tc>
          <w:tcPr>
            <w:tcW w:w="4219" w:type="dxa"/>
            <w:shd w:val="clear" w:color="auto" w:fill="auto"/>
          </w:tcPr>
          <w:p w14:paraId="29EE2645" w14:textId="77777777" w:rsidR="000B04B1" w:rsidRPr="007620A2" w:rsidRDefault="000B04B1" w:rsidP="000B04B1">
            <w:pPr>
              <w:pStyle w:val="a6"/>
              <w:spacing w:line="276" w:lineRule="auto"/>
              <w:rPr>
                <w:rFonts w:ascii="Times New Roman" w:hAnsi="Times New Roman"/>
                <w:color w:val="000000" w:themeColor="text1"/>
                <w:szCs w:val="24"/>
              </w:rPr>
            </w:pPr>
            <w:r w:rsidRPr="007620A2">
              <w:rPr>
                <w:rFonts w:ascii="Times New Roman" w:hAnsi="Times New Roman"/>
                <w:color w:val="000000" w:themeColor="text1"/>
                <w:szCs w:val="24"/>
              </w:rPr>
              <w:t>КП "Фірма «Райдуга" (30%)</w:t>
            </w:r>
          </w:p>
        </w:tc>
        <w:tc>
          <w:tcPr>
            <w:tcW w:w="1559" w:type="dxa"/>
            <w:shd w:val="clear" w:color="auto" w:fill="auto"/>
          </w:tcPr>
          <w:p w14:paraId="303EF9BD"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113,5</w:t>
            </w:r>
          </w:p>
        </w:tc>
        <w:tc>
          <w:tcPr>
            <w:tcW w:w="1134" w:type="dxa"/>
            <w:shd w:val="clear" w:color="auto" w:fill="auto"/>
          </w:tcPr>
          <w:p w14:paraId="7AFF84E0"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3,2 %</w:t>
            </w:r>
          </w:p>
        </w:tc>
        <w:tc>
          <w:tcPr>
            <w:tcW w:w="1559" w:type="dxa"/>
            <w:shd w:val="clear" w:color="auto" w:fill="auto"/>
          </w:tcPr>
          <w:p w14:paraId="37996E93"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4</w:t>
            </w:r>
          </w:p>
        </w:tc>
        <w:tc>
          <w:tcPr>
            <w:tcW w:w="1418" w:type="dxa"/>
            <w:shd w:val="clear" w:color="auto" w:fill="auto"/>
          </w:tcPr>
          <w:p w14:paraId="1433D825"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150,0</w:t>
            </w:r>
          </w:p>
        </w:tc>
      </w:tr>
      <w:tr w:rsidR="000B04B1" w:rsidRPr="007620A2" w14:paraId="13591292" w14:textId="77777777" w:rsidTr="000B04B1">
        <w:trPr>
          <w:trHeight w:val="416"/>
        </w:trPr>
        <w:tc>
          <w:tcPr>
            <w:tcW w:w="4219" w:type="dxa"/>
            <w:shd w:val="clear" w:color="auto" w:fill="auto"/>
          </w:tcPr>
          <w:p w14:paraId="7100493D" w14:textId="77777777" w:rsidR="000B04B1" w:rsidRPr="007620A2" w:rsidRDefault="000B04B1" w:rsidP="000B04B1">
            <w:pPr>
              <w:pStyle w:val="a6"/>
              <w:spacing w:line="276" w:lineRule="auto"/>
              <w:rPr>
                <w:rFonts w:ascii="Times New Roman" w:hAnsi="Times New Roman"/>
                <w:color w:val="000000" w:themeColor="text1"/>
                <w:szCs w:val="24"/>
              </w:rPr>
            </w:pPr>
            <w:r w:rsidRPr="007620A2">
              <w:rPr>
                <w:rFonts w:ascii="Times New Roman" w:hAnsi="Times New Roman"/>
                <w:color w:val="000000" w:themeColor="text1"/>
                <w:szCs w:val="24"/>
              </w:rPr>
              <w:t>КП "Палац спорту "Юність"</w:t>
            </w:r>
          </w:p>
        </w:tc>
        <w:tc>
          <w:tcPr>
            <w:tcW w:w="1559" w:type="dxa"/>
            <w:shd w:val="clear" w:color="auto" w:fill="auto"/>
          </w:tcPr>
          <w:p w14:paraId="3306A23F"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57,1</w:t>
            </w:r>
          </w:p>
        </w:tc>
        <w:tc>
          <w:tcPr>
            <w:tcW w:w="1134" w:type="dxa"/>
            <w:shd w:val="clear" w:color="auto" w:fill="auto"/>
          </w:tcPr>
          <w:p w14:paraId="208B12BF"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1,6 %</w:t>
            </w:r>
          </w:p>
        </w:tc>
        <w:tc>
          <w:tcPr>
            <w:tcW w:w="1559" w:type="dxa"/>
            <w:shd w:val="clear" w:color="auto" w:fill="auto"/>
          </w:tcPr>
          <w:p w14:paraId="125AE449"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73</w:t>
            </w:r>
          </w:p>
        </w:tc>
        <w:tc>
          <w:tcPr>
            <w:tcW w:w="1418" w:type="dxa"/>
            <w:shd w:val="clear" w:color="auto" w:fill="auto"/>
          </w:tcPr>
          <w:p w14:paraId="43F46F27"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80,0</w:t>
            </w:r>
          </w:p>
        </w:tc>
      </w:tr>
      <w:tr w:rsidR="000B04B1" w:rsidRPr="007620A2" w14:paraId="09926B4B" w14:textId="77777777" w:rsidTr="000B04B1">
        <w:trPr>
          <w:trHeight w:val="421"/>
        </w:trPr>
        <w:tc>
          <w:tcPr>
            <w:tcW w:w="4219" w:type="dxa"/>
            <w:shd w:val="clear" w:color="auto" w:fill="auto"/>
          </w:tcPr>
          <w:p w14:paraId="5B2A37FD" w14:textId="77777777" w:rsidR="000B04B1" w:rsidRPr="007620A2" w:rsidRDefault="000B04B1" w:rsidP="000B04B1">
            <w:pPr>
              <w:pStyle w:val="a6"/>
              <w:spacing w:line="276" w:lineRule="auto"/>
              <w:jc w:val="left"/>
              <w:rPr>
                <w:rFonts w:ascii="Times New Roman" w:hAnsi="Times New Roman"/>
                <w:color w:val="000000" w:themeColor="text1"/>
                <w:szCs w:val="24"/>
              </w:rPr>
            </w:pPr>
            <w:r w:rsidRPr="007620A2">
              <w:rPr>
                <w:rFonts w:ascii="Times New Roman" w:hAnsi="Times New Roman"/>
                <w:color w:val="000000" w:themeColor="text1"/>
                <w:szCs w:val="24"/>
              </w:rPr>
              <w:t>КП "Чорноморськтеплоенерго" (30%)</w:t>
            </w:r>
          </w:p>
        </w:tc>
        <w:tc>
          <w:tcPr>
            <w:tcW w:w="1559" w:type="dxa"/>
            <w:shd w:val="clear" w:color="auto" w:fill="auto"/>
          </w:tcPr>
          <w:p w14:paraId="7DB2D3A7"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55,8</w:t>
            </w:r>
          </w:p>
        </w:tc>
        <w:tc>
          <w:tcPr>
            <w:tcW w:w="1134" w:type="dxa"/>
            <w:shd w:val="clear" w:color="auto" w:fill="auto"/>
          </w:tcPr>
          <w:p w14:paraId="506E9957"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1,5 %</w:t>
            </w:r>
          </w:p>
        </w:tc>
        <w:tc>
          <w:tcPr>
            <w:tcW w:w="1559" w:type="dxa"/>
            <w:shd w:val="clear" w:color="auto" w:fill="auto"/>
          </w:tcPr>
          <w:p w14:paraId="3DFD7932"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6</w:t>
            </w:r>
          </w:p>
        </w:tc>
        <w:tc>
          <w:tcPr>
            <w:tcW w:w="1418" w:type="dxa"/>
            <w:shd w:val="clear" w:color="auto" w:fill="auto"/>
          </w:tcPr>
          <w:p w14:paraId="401F3DCB"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70,0</w:t>
            </w:r>
          </w:p>
        </w:tc>
      </w:tr>
      <w:tr w:rsidR="000B04B1" w:rsidRPr="007620A2" w14:paraId="6956AE18" w14:textId="77777777" w:rsidTr="000B04B1">
        <w:trPr>
          <w:trHeight w:val="421"/>
        </w:trPr>
        <w:tc>
          <w:tcPr>
            <w:tcW w:w="4219" w:type="dxa"/>
            <w:shd w:val="clear" w:color="auto" w:fill="auto"/>
          </w:tcPr>
          <w:p w14:paraId="512AC7DB" w14:textId="77777777" w:rsidR="000B04B1" w:rsidRPr="007620A2" w:rsidRDefault="000B04B1" w:rsidP="000B04B1">
            <w:pPr>
              <w:pStyle w:val="a6"/>
              <w:spacing w:line="276" w:lineRule="auto"/>
              <w:jc w:val="left"/>
              <w:rPr>
                <w:rFonts w:ascii="Times New Roman" w:hAnsi="Times New Roman"/>
                <w:color w:val="000000" w:themeColor="text1"/>
                <w:szCs w:val="24"/>
              </w:rPr>
            </w:pPr>
            <w:r w:rsidRPr="007620A2">
              <w:rPr>
                <w:rFonts w:ascii="Times New Roman" w:hAnsi="Times New Roman"/>
                <w:color w:val="000000" w:themeColor="text1"/>
                <w:szCs w:val="24"/>
              </w:rPr>
              <w:t>КП "Чорноморськводоканал" (30%)</w:t>
            </w:r>
          </w:p>
        </w:tc>
        <w:tc>
          <w:tcPr>
            <w:tcW w:w="1559" w:type="dxa"/>
            <w:shd w:val="clear" w:color="auto" w:fill="auto"/>
          </w:tcPr>
          <w:p w14:paraId="7141EB75"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34,5</w:t>
            </w:r>
          </w:p>
        </w:tc>
        <w:tc>
          <w:tcPr>
            <w:tcW w:w="1134" w:type="dxa"/>
            <w:shd w:val="clear" w:color="auto" w:fill="auto"/>
          </w:tcPr>
          <w:p w14:paraId="08F2CB9D"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0,9 %</w:t>
            </w:r>
          </w:p>
        </w:tc>
        <w:tc>
          <w:tcPr>
            <w:tcW w:w="1559" w:type="dxa"/>
            <w:shd w:val="clear" w:color="auto" w:fill="auto"/>
          </w:tcPr>
          <w:p w14:paraId="6579ECEC"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5</w:t>
            </w:r>
          </w:p>
        </w:tc>
        <w:tc>
          <w:tcPr>
            <w:tcW w:w="1418" w:type="dxa"/>
            <w:shd w:val="clear" w:color="auto" w:fill="auto"/>
          </w:tcPr>
          <w:p w14:paraId="1182FDFE" w14:textId="77777777" w:rsidR="000B04B1" w:rsidRPr="007620A2" w:rsidRDefault="000B04B1" w:rsidP="000B04B1">
            <w:pPr>
              <w:pStyle w:val="a6"/>
              <w:spacing w:line="276" w:lineRule="auto"/>
              <w:jc w:val="center"/>
              <w:rPr>
                <w:rFonts w:ascii="Times New Roman" w:hAnsi="Times New Roman"/>
                <w:color w:val="000000" w:themeColor="text1"/>
                <w:szCs w:val="24"/>
              </w:rPr>
            </w:pPr>
            <w:r w:rsidRPr="007620A2">
              <w:rPr>
                <w:rFonts w:ascii="Times New Roman" w:hAnsi="Times New Roman"/>
                <w:color w:val="000000" w:themeColor="text1"/>
                <w:szCs w:val="24"/>
              </w:rPr>
              <w:t>60,0</w:t>
            </w:r>
          </w:p>
        </w:tc>
      </w:tr>
      <w:tr w:rsidR="000B04B1" w:rsidRPr="007620A2" w14:paraId="25683DB5" w14:textId="77777777" w:rsidTr="000B04B1">
        <w:trPr>
          <w:trHeight w:val="419"/>
        </w:trPr>
        <w:tc>
          <w:tcPr>
            <w:tcW w:w="4219" w:type="dxa"/>
            <w:shd w:val="clear" w:color="auto" w:fill="auto"/>
          </w:tcPr>
          <w:p w14:paraId="3D61D118" w14:textId="77777777" w:rsidR="000B04B1" w:rsidRPr="007620A2" w:rsidRDefault="000B04B1" w:rsidP="000B04B1">
            <w:pPr>
              <w:pStyle w:val="a6"/>
              <w:spacing w:line="276" w:lineRule="auto"/>
              <w:rPr>
                <w:rFonts w:ascii="Times New Roman" w:hAnsi="Times New Roman"/>
                <w:b/>
                <w:color w:val="000000" w:themeColor="text1"/>
                <w:szCs w:val="24"/>
              </w:rPr>
            </w:pPr>
            <w:r w:rsidRPr="007620A2">
              <w:rPr>
                <w:rFonts w:ascii="Times New Roman" w:hAnsi="Times New Roman"/>
                <w:b/>
                <w:color w:val="000000" w:themeColor="text1"/>
                <w:szCs w:val="24"/>
              </w:rPr>
              <w:t>РАЗОМ :</w:t>
            </w:r>
          </w:p>
        </w:tc>
        <w:tc>
          <w:tcPr>
            <w:tcW w:w="1559" w:type="dxa"/>
            <w:shd w:val="clear" w:color="auto" w:fill="auto"/>
          </w:tcPr>
          <w:p w14:paraId="6C9F61A7" w14:textId="77777777" w:rsidR="000B04B1" w:rsidRPr="007620A2" w:rsidRDefault="000B04B1" w:rsidP="000B04B1">
            <w:pPr>
              <w:pStyle w:val="a6"/>
              <w:spacing w:line="276" w:lineRule="auto"/>
              <w:jc w:val="center"/>
              <w:rPr>
                <w:rFonts w:ascii="Times New Roman" w:hAnsi="Times New Roman"/>
                <w:b/>
                <w:color w:val="000000" w:themeColor="text1"/>
                <w:szCs w:val="24"/>
              </w:rPr>
            </w:pPr>
            <w:r w:rsidRPr="007620A2">
              <w:rPr>
                <w:rFonts w:ascii="Times New Roman" w:hAnsi="Times New Roman"/>
                <w:b/>
                <w:color w:val="000000" w:themeColor="text1"/>
                <w:szCs w:val="24"/>
              </w:rPr>
              <w:t>3 594,4</w:t>
            </w:r>
          </w:p>
        </w:tc>
        <w:tc>
          <w:tcPr>
            <w:tcW w:w="1134" w:type="dxa"/>
            <w:shd w:val="clear" w:color="auto" w:fill="auto"/>
          </w:tcPr>
          <w:p w14:paraId="39723F00" w14:textId="77777777" w:rsidR="000B04B1" w:rsidRPr="007620A2" w:rsidRDefault="000B04B1" w:rsidP="000B04B1">
            <w:pPr>
              <w:pStyle w:val="a6"/>
              <w:spacing w:line="276" w:lineRule="auto"/>
              <w:jc w:val="center"/>
              <w:rPr>
                <w:rFonts w:ascii="Times New Roman" w:hAnsi="Times New Roman"/>
                <w:b/>
                <w:color w:val="000000" w:themeColor="text1"/>
                <w:szCs w:val="24"/>
              </w:rPr>
            </w:pPr>
            <w:r w:rsidRPr="007620A2">
              <w:rPr>
                <w:rFonts w:ascii="Times New Roman" w:hAnsi="Times New Roman"/>
                <w:b/>
                <w:color w:val="000000" w:themeColor="text1"/>
                <w:szCs w:val="24"/>
              </w:rPr>
              <w:t>100 %</w:t>
            </w:r>
          </w:p>
        </w:tc>
        <w:tc>
          <w:tcPr>
            <w:tcW w:w="1559" w:type="dxa"/>
            <w:shd w:val="clear" w:color="auto" w:fill="auto"/>
          </w:tcPr>
          <w:p w14:paraId="6EE7BC3D" w14:textId="3D7BC199" w:rsidR="000B04B1" w:rsidRPr="007620A2" w:rsidRDefault="000B04B1" w:rsidP="00C00F08">
            <w:pPr>
              <w:pStyle w:val="a6"/>
              <w:spacing w:line="276" w:lineRule="auto"/>
              <w:jc w:val="center"/>
              <w:rPr>
                <w:rFonts w:ascii="Times New Roman" w:hAnsi="Times New Roman"/>
                <w:b/>
                <w:color w:val="000000" w:themeColor="text1"/>
                <w:szCs w:val="24"/>
              </w:rPr>
            </w:pPr>
            <w:r w:rsidRPr="007620A2">
              <w:rPr>
                <w:rFonts w:ascii="Times New Roman" w:hAnsi="Times New Roman"/>
                <w:b/>
                <w:color w:val="000000" w:themeColor="text1"/>
                <w:szCs w:val="24"/>
              </w:rPr>
              <w:t>18</w:t>
            </w:r>
            <w:r w:rsidR="00C00F08">
              <w:rPr>
                <w:rFonts w:ascii="Times New Roman" w:hAnsi="Times New Roman"/>
                <w:b/>
                <w:color w:val="000000" w:themeColor="text1"/>
                <w:szCs w:val="24"/>
              </w:rPr>
              <w:t>6</w:t>
            </w:r>
          </w:p>
        </w:tc>
        <w:tc>
          <w:tcPr>
            <w:tcW w:w="1418" w:type="dxa"/>
            <w:shd w:val="clear" w:color="auto" w:fill="auto"/>
          </w:tcPr>
          <w:p w14:paraId="4B2D56D0" w14:textId="77777777" w:rsidR="000B04B1" w:rsidRPr="007620A2" w:rsidRDefault="000B04B1" w:rsidP="000B04B1">
            <w:pPr>
              <w:pStyle w:val="a6"/>
              <w:spacing w:line="276" w:lineRule="auto"/>
              <w:jc w:val="center"/>
              <w:rPr>
                <w:rFonts w:ascii="Times New Roman" w:hAnsi="Times New Roman"/>
                <w:b/>
                <w:color w:val="000000" w:themeColor="text1"/>
                <w:szCs w:val="24"/>
              </w:rPr>
            </w:pPr>
            <w:r w:rsidRPr="007620A2">
              <w:rPr>
                <w:rFonts w:ascii="Times New Roman" w:hAnsi="Times New Roman"/>
                <w:b/>
                <w:color w:val="000000" w:themeColor="text1"/>
                <w:szCs w:val="24"/>
              </w:rPr>
              <w:t>4 900,0</w:t>
            </w:r>
          </w:p>
        </w:tc>
      </w:tr>
    </w:tbl>
    <w:p w14:paraId="2B1421EC" w14:textId="77777777" w:rsidR="000B04B1" w:rsidRPr="007620A2" w:rsidRDefault="000B04B1" w:rsidP="000B04B1">
      <w:pPr>
        <w:pStyle w:val="a6"/>
        <w:spacing w:line="276" w:lineRule="auto"/>
        <w:rPr>
          <w:rFonts w:ascii="Times New Roman" w:hAnsi="Times New Roman"/>
          <w:szCs w:val="24"/>
        </w:rPr>
      </w:pPr>
    </w:p>
    <w:p w14:paraId="18222184"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b/>
          <w:szCs w:val="24"/>
        </w:rPr>
        <w:t>Державне мито (ККДБ 22090000)</w:t>
      </w:r>
      <w:r w:rsidRPr="007620A2">
        <w:rPr>
          <w:rFonts w:ascii="Times New Roman" w:hAnsi="Times New Roman"/>
          <w:szCs w:val="24"/>
        </w:rPr>
        <w:t xml:space="preserve"> планується на 2025 рік у сумі </w:t>
      </w:r>
      <w:r w:rsidRPr="007620A2">
        <w:rPr>
          <w:rFonts w:ascii="Times New Roman" w:hAnsi="Times New Roman"/>
          <w:b/>
          <w:szCs w:val="24"/>
        </w:rPr>
        <w:t>55,0 тис. грн</w:t>
      </w:r>
      <w:r w:rsidRPr="007620A2">
        <w:rPr>
          <w:rFonts w:ascii="Times New Roman" w:hAnsi="Times New Roman"/>
          <w:szCs w:val="24"/>
        </w:rPr>
        <w:t>.</w:t>
      </w:r>
    </w:p>
    <w:p w14:paraId="706C7175"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xml:space="preserve">Структура надходжень державного мита до бюджету міста формується за рахунок: </w:t>
      </w:r>
    </w:p>
    <w:p w14:paraId="0B4991AA"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державного мита, що сплачується за місцем розгляду та оформлення документів, у тому числі за оформлення документів на спадщину і дарування – 27,3 %;</w:t>
      </w:r>
    </w:p>
    <w:p w14:paraId="2065D97D"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державного мита, пов'язаного з  оформленням закордонних паспортів (посвідок) та паспортів України – 72,7 %.</w:t>
      </w:r>
    </w:p>
    <w:p w14:paraId="518413DD" w14:textId="77777777" w:rsidR="000B04B1" w:rsidRPr="007620A2" w:rsidRDefault="000B04B1" w:rsidP="000B04B1">
      <w:pPr>
        <w:spacing w:after="0"/>
        <w:jc w:val="both"/>
        <w:rPr>
          <w:rFonts w:ascii="Times New Roman" w:hAnsi="Times New Roman" w:cs="Times New Roman"/>
          <w:b/>
          <w:sz w:val="16"/>
          <w:szCs w:val="16"/>
          <w:lang w:val="uk-UA"/>
        </w:rPr>
      </w:pPr>
      <w:r w:rsidRPr="007620A2">
        <w:rPr>
          <w:rFonts w:ascii="Times New Roman" w:hAnsi="Times New Roman" w:cs="Times New Roman"/>
          <w:b/>
          <w:noProof/>
          <w:color w:val="D99594" w:themeColor="accent2" w:themeTint="99"/>
          <w:sz w:val="16"/>
          <w:szCs w:val="16"/>
          <w:lang w:eastAsia="ru-RU"/>
        </w:rPr>
        <w:drawing>
          <wp:inline distT="0" distB="0" distL="0" distR="0" wp14:anchorId="6C84B731" wp14:editId="7EC38C3E">
            <wp:extent cx="6347460" cy="3805555"/>
            <wp:effectExtent l="19050" t="19050" r="15240" b="23495"/>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2FADB60" w14:textId="77777777" w:rsidR="000B04B1" w:rsidRPr="007620A2" w:rsidRDefault="000B04B1" w:rsidP="000B04B1">
      <w:pPr>
        <w:pStyle w:val="a6"/>
        <w:spacing w:line="276" w:lineRule="auto"/>
        <w:ind w:left="720"/>
        <w:rPr>
          <w:rFonts w:ascii="Times New Roman" w:hAnsi="Times New Roman"/>
        </w:rPr>
      </w:pPr>
    </w:p>
    <w:p w14:paraId="7CBEE6C2" w14:textId="77777777" w:rsidR="000B04B1" w:rsidRPr="007620A2" w:rsidRDefault="000B04B1" w:rsidP="000B04B1">
      <w:pPr>
        <w:pStyle w:val="a6"/>
        <w:ind w:firstLine="567"/>
        <w:rPr>
          <w:rFonts w:ascii="Times New Roman" w:hAnsi="Times New Roman"/>
        </w:rPr>
      </w:pPr>
      <w:r w:rsidRPr="007620A2">
        <w:rPr>
          <w:rFonts w:ascii="Times New Roman" w:hAnsi="Times New Roman"/>
          <w:b/>
          <w:szCs w:val="24"/>
        </w:rPr>
        <w:t xml:space="preserve">Інші надходження (ККДБ 24060300) </w:t>
      </w:r>
      <w:r w:rsidRPr="007620A2">
        <w:rPr>
          <w:rFonts w:ascii="Times New Roman" w:hAnsi="Times New Roman"/>
          <w:szCs w:val="24"/>
        </w:rPr>
        <w:t>розраховані у сумі 1 400,0 тис. грн з урахуванням динаміки таких надходжень  за минулі періоди</w:t>
      </w:r>
      <w:r w:rsidRPr="007620A2">
        <w:rPr>
          <w:rFonts w:ascii="Times New Roman" w:hAnsi="Times New Roman"/>
        </w:rPr>
        <w:t>.</w:t>
      </w:r>
    </w:p>
    <w:p w14:paraId="42A7AE77"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Структуру  інших надходжень формують:</w:t>
      </w:r>
    </w:p>
    <w:p w14:paraId="35DCED2A" w14:textId="77777777" w:rsidR="000B04B1" w:rsidRPr="007620A2" w:rsidRDefault="000B04B1" w:rsidP="000B04B1">
      <w:pPr>
        <w:pStyle w:val="a6"/>
        <w:numPr>
          <w:ilvl w:val="0"/>
          <w:numId w:val="8"/>
        </w:numPr>
        <w:rPr>
          <w:rFonts w:ascii="Times New Roman" w:hAnsi="Times New Roman"/>
        </w:rPr>
      </w:pPr>
      <w:r w:rsidRPr="007620A2">
        <w:rPr>
          <w:rFonts w:ascii="Times New Roman" w:hAnsi="Times New Roman"/>
        </w:rPr>
        <w:t>надходження від плати за розміщення зовнішньої реклами (рішення виконавчого комітету Чорноморської міської ради від 31.10.2019р. № 277);</w:t>
      </w:r>
    </w:p>
    <w:p w14:paraId="7783273E" w14:textId="77777777" w:rsidR="000B04B1" w:rsidRPr="007620A2" w:rsidRDefault="000B04B1" w:rsidP="000B04B1">
      <w:pPr>
        <w:pStyle w:val="a6"/>
        <w:numPr>
          <w:ilvl w:val="0"/>
          <w:numId w:val="8"/>
        </w:numPr>
        <w:rPr>
          <w:rFonts w:ascii="Times New Roman" w:hAnsi="Times New Roman"/>
        </w:rPr>
      </w:pPr>
      <w:r w:rsidRPr="007620A2">
        <w:rPr>
          <w:rFonts w:ascii="Times New Roman" w:hAnsi="Times New Roman"/>
        </w:rPr>
        <w:t>відшкодування збитків внаслідок порушення порядку землекористування;</w:t>
      </w:r>
    </w:p>
    <w:p w14:paraId="7D855E32" w14:textId="77777777" w:rsidR="000B04B1" w:rsidRPr="007620A2" w:rsidRDefault="000B04B1" w:rsidP="000B04B1">
      <w:pPr>
        <w:pStyle w:val="a6"/>
        <w:numPr>
          <w:ilvl w:val="0"/>
          <w:numId w:val="8"/>
        </w:numPr>
        <w:rPr>
          <w:rFonts w:ascii="Times New Roman" w:hAnsi="Times New Roman"/>
        </w:rPr>
      </w:pPr>
      <w:r w:rsidRPr="007620A2">
        <w:rPr>
          <w:rFonts w:ascii="Times New Roman" w:hAnsi="Times New Roman"/>
        </w:rPr>
        <w:t>повернення видатків минулих років.</w:t>
      </w:r>
    </w:p>
    <w:p w14:paraId="514F8DFA" w14:textId="77777777" w:rsidR="005F6D26" w:rsidRDefault="005F6D26" w:rsidP="000B04B1">
      <w:pPr>
        <w:pStyle w:val="a6"/>
        <w:ind w:firstLine="567"/>
        <w:rPr>
          <w:rFonts w:ascii="Times New Roman" w:hAnsi="Times New Roman"/>
          <w:b/>
          <w:szCs w:val="24"/>
        </w:rPr>
      </w:pPr>
    </w:p>
    <w:p w14:paraId="20877F3C" w14:textId="77777777" w:rsidR="003A1D87" w:rsidRDefault="003A1D87" w:rsidP="000B04B1">
      <w:pPr>
        <w:pStyle w:val="a6"/>
        <w:ind w:firstLine="567"/>
        <w:rPr>
          <w:rFonts w:ascii="Times New Roman" w:hAnsi="Times New Roman"/>
          <w:b/>
          <w:szCs w:val="24"/>
        </w:rPr>
      </w:pPr>
    </w:p>
    <w:p w14:paraId="0928E775" w14:textId="77777777" w:rsidR="003A1D87" w:rsidRDefault="003A1D87" w:rsidP="000B04B1">
      <w:pPr>
        <w:pStyle w:val="a6"/>
        <w:ind w:firstLine="567"/>
        <w:rPr>
          <w:rFonts w:ascii="Times New Roman" w:hAnsi="Times New Roman"/>
          <w:b/>
          <w:szCs w:val="24"/>
        </w:rPr>
      </w:pPr>
    </w:p>
    <w:p w14:paraId="0A74007C" w14:textId="77777777" w:rsidR="008358C7" w:rsidRDefault="008358C7" w:rsidP="000B04B1">
      <w:pPr>
        <w:pStyle w:val="a6"/>
        <w:ind w:firstLine="567"/>
        <w:rPr>
          <w:rFonts w:ascii="Times New Roman" w:hAnsi="Times New Roman"/>
          <w:b/>
          <w:szCs w:val="24"/>
        </w:rPr>
      </w:pPr>
    </w:p>
    <w:p w14:paraId="1F43477A" w14:textId="77777777" w:rsidR="008358C7" w:rsidRDefault="008358C7" w:rsidP="000B04B1">
      <w:pPr>
        <w:pStyle w:val="a6"/>
        <w:ind w:firstLine="567"/>
        <w:rPr>
          <w:rFonts w:ascii="Times New Roman" w:hAnsi="Times New Roman"/>
          <w:b/>
          <w:szCs w:val="24"/>
        </w:rPr>
      </w:pPr>
    </w:p>
    <w:p w14:paraId="01443200" w14:textId="77777777" w:rsidR="003A1D87" w:rsidRDefault="003A1D87" w:rsidP="000B04B1">
      <w:pPr>
        <w:pStyle w:val="a6"/>
        <w:ind w:firstLine="567"/>
        <w:rPr>
          <w:rFonts w:ascii="Times New Roman" w:hAnsi="Times New Roman"/>
          <w:b/>
          <w:szCs w:val="24"/>
        </w:rPr>
      </w:pPr>
    </w:p>
    <w:p w14:paraId="24275F2E" w14:textId="5F6025D1" w:rsidR="000B04B1" w:rsidRPr="007620A2" w:rsidRDefault="000B04B1" w:rsidP="000B04B1">
      <w:pPr>
        <w:pStyle w:val="a6"/>
        <w:ind w:firstLine="567"/>
        <w:rPr>
          <w:rFonts w:ascii="Times New Roman" w:hAnsi="Times New Roman"/>
          <w:b/>
          <w:szCs w:val="24"/>
        </w:rPr>
      </w:pPr>
      <w:r w:rsidRPr="007620A2">
        <w:rPr>
          <w:rFonts w:ascii="Times New Roman" w:hAnsi="Times New Roman"/>
          <w:b/>
          <w:szCs w:val="24"/>
        </w:rPr>
        <w:t xml:space="preserve">Доходи спеціального фонду бюджету Чорноморської </w:t>
      </w:r>
      <w:r w:rsidR="00C90C1C">
        <w:rPr>
          <w:rFonts w:ascii="Times New Roman" w:hAnsi="Times New Roman"/>
          <w:b/>
          <w:szCs w:val="24"/>
        </w:rPr>
        <w:t xml:space="preserve">МТГ </w:t>
      </w:r>
      <w:r w:rsidRPr="007620A2">
        <w:rPr>
          <w:rFonts w:ascii="Times New Roman" w:hAnsi="Times New Roman"/>
          <w:b/>
          <w:szCs w:val="24"/>
        </w:rPr>
        <w:t xml:space="preserve">громади на 2025 рік розраховані  у сумі  12 520,3  тис. грн,  в тому числі доходи бюджету розвитку – 170,0 тис. грн. </w:t>
      </w:r>
    </w:p>
    <w:p w14:paraId="157B3258" w14:textId="77777777" w:rsidR="000B04B1" w:rsidRPr="007620A2" w:rsidRDefault="000B04B1" w:rsidP="000B04B1">
      <w:pPr>
        <w:pStyle w:val="a6"/>
        <w:ind w:firstLine="567"/>
        <w:rPr>
          <w:rFonts w:ascii="Times New Roman" w:hAnsi="Times New Roman"/>
          <w:b/>
          <w:szCs w:val="24"/>
        </w:rPr>
      </w:pPr>
      <w:r w:rsidRPr="007620A2">
        <w:rPr>
          <w:rFonts w:ascii="Times New Roman" w:hAnsi="Times New Roman"/>
          <w:b/>
          <w:szCs w:val="24"/>
        </w:rPr>
        <w:t xml:space="preserve"> </w:t>
      </w:r>
    </w:p>
    <w:p w14:paraId="32470A26" w14:textId="77777777" w:rsidR="000B04B1" w:rsidRPr="007620A2" w:rsidRDefault="000B04B1" w:rsidP="000B04B1">
      <w:pPr>
        <w:pStyle w:val="a6"/>
        <w:spacing w:line="276" w:lineRule="auto"/>
        <w:rPr>
          <w:rFonts w:ascii="Times New Roman" w:hAnsi="Times New Roman"/>
          <w:b/>
          <w:sz w:val="18"/>
          <w:szCs w:val="18"/>
        </w:rPr>
      </w:pPr>
      <w:r w:rsidRPr="007620A2">
        <w:rPr>
          <w:noProof/>
          <w:sz w:val="18"/>
          <w:szCs w:val="18"/>
          <w:lang w:val="ru-RU"/>
        </w:rPr>
        <w:drawing>
          <wp:inline distT="0" distB="0" distL="0" distR="0" wp14:anchorId="2EC6FF6D" wp14:editId="6BEB43C6">
            <wp:extent cx="6096000" cy="3116580"/>
            <wp:effectExtent l="0" t="0" r="0" b="762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A5D25C6" w14:textId="77777777" w:rsidR="000B04B1" w:rsidRPr="007620A2" w:rsidRDefault="000B04B1" w:rsidP="000B04B1">
      <w:pPr>
        <w:pStyle w:val="a6"/>
        <w:ind w:firstLine="567"/>
        <w:rPr>
          <w:rFonts w:ascii="Times New Roman" w:hAnsi="Times New Roman"/>
          <w:szCs w:val="24"/>
        </w:rPr>
      </w:pPr>
    </w:p>
    <w:p w14:paraId="127F1232" w14:textId="66704331" w:rsidR="000B04B1" w:rsidRPr="007620A2" w:rsidRDefault="000B04B1" w:rsidP="000B04B1">
      <w:pPr>
        <w:pStyle w:val="a6"/>
        <w:ind w:firstLine="567"/>
        <w:rPr>
          <w:rFonts w:ascii="Times New Roman" w:hAnsi="Times New Roman"/>
          <w:szCs w:val="24"/>
        </w:rPr>
      </w:pPr>
      <w:r w:rsidRPr="007620A2">
        <w:rPr>
          <w:rFonts w:ascii="Times New Roman" w:hAnsi="Times New Roman"/>
          <w:szCs w:val="24"/>
        </w:rPr>
        <w:t xml:space="preserve">В структурі доходів спеціального фонду бюджету міста 91,4% складають </w:t>
      </w:r>
      <w:r w:rsidRPr="007620A2">
        <w:rPr>
          <w:rFonts w:ascii="Times New Roman" w:hAnsi="Times New Roman"/>
          <w:b/>
          <w:szCs w:val="24"/>
        </w:rPr>
        <w:t>власні надходження</w:t>
      </w:r>
      <w:r w:rsidRPr="007620A2">
        <w:rPr>
          <w:rFonts w:ascii="Times New Roman" w:hAnsi="Times New Roman"/>
          <w:szCs w:val="24"/>
        </w:rPr>
        <w:t xml:space="preserve"> бюджетних установ </w:t>
      </w:r>
      <w:r w:rsidRPr="007620A2">
        <w:rPr>
          <w:rFonts w:ascii="Times New Roman" w:hAnsi="Times New Roman"/>
          <w:b/>
          <w:szCs w:val="24"/>
        </w:rPr>
        <w:t>(ККДБ 25000000)</w:t>
      </w:r>
      <w:r w:rsidRPr="007620A2">
        <w:rPr>
          <w:rFonts w:ascii="Times New Roman" w:hAnsi="Times New Roman"/>
          <w:szCs w:val="24"/>
        </w:rPr>
        <w:t>,</w:t>
      </w:r>
      <w:r w:rsidRPr="007620A2">
        <w:rPr>
          <w:rFonts w:ascii="Times New Roman" w:hAnsi="Times New Roman"/>
          <w:b/>
          <w:szCs w:val="24"/>
        </w:rPr>
        <w:t xml:space="preserve"> </w:t>
      </w:r>
      <w:r w:rsidRPr="007620A2">
        <w:rPr>
          <w:rFonts w:ascii="Times New Roman" w:hAnsi="Times New Roman"/>
          <w:szCs w:val="24"/>
        </w:rPr>
        <w:t>які</w:t>
      </w:r>
      <w:r w:rsidRPr="007620A2">
        <w:rPr>
          <w:rFonts w:ascii="Times New Roman" w:hAnsi="Times New Roman"/>
          <w:b/>
          <w:szCs w:val="24"/>
        </w:rPr>
        <w:t xml:space="preserve"> </w:t>
      </w:r>
      <w:r w:rsidRPr="007620A2">
        <w:rPr>
          <w:rFonts w:ascii="Times New Roman" w:hAnsi="Times New Roman"/>
          <w:szCs w:val="24"/>
        </w:rPr>
        <w:t>розраховано у сумі 11 450,3 тис. грн.</w:t>
      </w:r>
    </w:p>
    <w:p w14:paraId="365A2289" w14:textId="0D3CD6C5" w:rsidR="000B04B1" w:rsidRPr="007620A2" w:rsidRDefault="000B04B1" w:rsidP="000B04B1">
      <w:pPr>
        <w:spacing w:after="0" w:line="240" w:lineRule="auto"/>
        <w:ind w:firstLine="567"/>
        <w:jc w:val="both"/>
        <w:rPr>
          <w:rFonts w:ascii="Times New Roman" w:hAnsi="Times New Roman"/>
          <w:sz w:val="24"/>
          <w:szCs w:val="24"/>
          <w:lang w:val="uk-UA"/>
        </w:rPr>
      </w:pPr>
      <w:r w:rsidRPr="007620A2">
        <w:rPr>
          <w:rFonts w:ascii="Times New Roman" w:hAnsi="Times New Roman"/>
          <w:sz w:val="24"/>
          <w:szCs w:val="24"/>
          <w:lang w:val="uk-UA"/>
        </w:rPr>
        <w:t xml:space="preserve">У складі спеціального фонду бюджету громади створено </w:t>
      </w:r>
      <w:r w:rsidRPr="007620A2">
        <w:rPr>
          <w:rFonts w:ascii="Times New Roman" w:hAnsi="Times New Roman"/>
          <w:b/>
          <w:sz w:val="24"/>
          <w:szCs w:val="24"/>
          <w:lang w:val="uk-UA"/>
        </w:rPr>
        <w:t>Фонд охорони  навколишнього природного середовища</w:t>
      </w:r>
      <w:r w:rsidRPr="007620A2">
        <w:rPr>
          <w:rFonts w:ascii="Times New Roman" w:hAnsi="Times New Roman"/>
          <w:sz w:val="24"/>
          <w:szCs w:val="24"/>
          <w:lang w:val="uk-UA"/>
        </w:rPr>
        <w:t>, дох</w:t>
      </w:r>
      <w:r w:rsidR="00EA06D4">
        <w:rPr>
          <w:rFonts w:ascii="Times New Roman" w:hAnsi="Times New Roman"/>
          <w:sz w:val="24"/>
          <w:szCs w:val="24"/>
          <w:lang w:val="uk-UA"/>
        </w:rPr>
        <w:t>і</w:t>
      </w:r>
      <w:r w:rsidRPr="007620A2">
        <w:rPr>
          <w:rFonts w:ascii="Times New Roman" w:hAnsi="Times New Roman"/>
          <w:sz w:val="24"/>
          <w:szCs w:val="24"/>
          <w:lang w:val="uk-UA"/>
        </w:rPr>
        <w:t>дна частина якого формується за рахунок надходження екологічного податку та грошових стягнень за шкоду, заподіяну порушенням законодавства про охорону навколишнього природного середовища.</w:t>
      </w:r>
    </w:p>
    <w:p w14:paraId="7C58F194"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Екологічний податок (ККДБ 19010000)</w:t>
      </w:r>
      <w:r w:rsidRPr="007620A2">
        <w:rPr>
          <w:rFonts w:ascii="Times New Roman" w:hAnsi="Times New Roman" w:cs="Times New Roman"/>
          <w:sz w:val="24"/>
          <w:szCs w:val="24"/>
          <w:lang w:val="uk-UA"/>
        </w:rPr>
        <w:t xml:space="preserve"> розраховано у сумі 650,0 тис. грн. Прогнозні показники розраховані з урахуванням динаміки надходжень даного виду податку за минулі періоди.    </w:t>
      </w:r>
    </w:p>
    <w:p w14:paraId="7B38BD23"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Відповідно до Бюджетного кодексу України надходження екологічного податку у 2025 році розподіляються наступним чином:</w:t>
      </w:r>
    </w:p>
    <w:p w14:paraId="4ABCEA04"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- 55 %</w:t>
      </w:r>
      <w:r w:rsidRPr="007620A2">
        <w:rPr>
          <w:rFonts w:ascii="Times New Roman" w:hAnsi="Times New Roman" w:cs="Times New Roman"/>
          <w:sz w:val="24"/>
          <w:szCs w:val="24"/>
          <w:lang w:val="uk-UA"/>
        </w:rPr>
        <w:t xml:space="preserve"> до місцевих бюджетів, з них:</w:t>
      </w:r>
    </w:p>
    <w:p w14:paraId="4C6A707F" w14:textId="77777777" w:rsidR="000B04B1" w:rsidRPr="007620A2" w:rsidRDefault="000B04B1" w:rsidP="0048369A">
      <w:pPr>
        <w:pStyle w:val="a4"/>
        <w:numPr>
          <w:ilvl w:val="0"/>
          <w:numId w:val="6"/>
        </w:numPr>
        <w:spacing w:after="0" w:line="240" w:lineRule="auto"/>
        <w:ind w:left="567"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30 %</w:t>
      </w:r>
      <w:r w:rsidRPr="007620A2">
        <w:rPr>
          <w:rFonts w:ascii="Times New Roman" w:hAnsi="Times New Roman" w:cs="Times New Roman"/>
          <w:sz w:val="24"/>
          <w:szCs w:val="24"/>
          <w:lang w:val="uk-UA"/>
        </w:rPr>
        <w:t xml:space="preserve"> - до обласного бюджету;</w:t>
      </w:r>
    </w:p>
    <w:p w14:paraId="2A6A9832" w14:textId="77777777" w:rsidR="000B04B1" w:rsidRPr="007620A2" w:rsidRDefault="000B04B1" w:rsidP="0048369A">
      <w:pPr>
        <w:pStyle w:val="a4"/>
        <w:numPr>
          <w:ilvl w:val="0"/>
          <w:numId w:val="6"/>
        </w:numPr>
        <w:spacing w:after="0" w:line="240" w:lineRule="auto"/>
        <w:ind w:left="567"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25 %</w:t>
      </w:r>
      <w:r w:rsidRPr="007620A2">
        <w:rPr>
          <w:rFonts w:ascii="Times New Roman" w:hAnsi="Times New Roman" w:cs="Times New Roman"/>
          <w:sz w:val="24"/>
          <w:szCs w:val="24"/>
          <w:lang w:val="uk-UA"/>
        </w:rPr>
        <w:t xml:space="preserve"> - до бюджету громади;</w:t>
      </w:r>
    </w:p>
    <w:p w14:paraId="565D8AC2" w14:textId="77777777" w:rsidR="000B04B1" w:rsidRPr="007620A2" w:rsidRDefault="000B04B1" w:rsidP="000B04B1">
      <w:pPr>
        <w:pStyle w:val="a4"/>
        <w:spacing w:after="0" w:line="240" w:lineRule="auto"/>
        <w:ind w:left="567"/>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- 45 %</w:t>
      </w:r>
      <w:r w:rsidRPr="007620A2">
        <w:rPr>
          <w:rFonts w:ascii="Times New Roman" w:hAnsi="Times New Roman" w:cs="Times New Roman"/>
          <w:sz w:val="24"/>
          <w:szCs w:val="24"/>
          <w:lang w:val="uk-UA"/>
        </w:rPr>
        <w:t xml:space="preserve"> до державного бюджету.</w:t>
      </w:r>
    </w:p>
    <w:p w14:paraId="07196651" w14:textId="77777777" w:rsidR="000B04B1" w:rsidRPr="007620A2" w:rsidRDefault="000B04B1" w:rsidP="000B04B1">
      <w:pPr>
        <w:pStyle w:val="a6"/>
        <w:ind w:firstLine="567"/>
        <w:rPr>
          <w:rFonts w:ascii="Times New Roman" w:hAnsi="Times New Roman"/>
          <w:szCs w:val="24"/>
        </w:rPr>
      </w:pPr>
      <w:r w:rsidRPr="007620A2">
        <w:rPr>
          <w:rFonts w:ascii="Times New Roman" w:hAnsi="Times New Roman"/>
          <w:b/>
          <w:szCs w:val="24"/>
        </w:rPr>
        <w:t>Надходження грошових стягнень за шкоду, заподіяну порушенням законодавства про охорону навколишнього природного середовища</w:t>
      </w:r>
      <w:r w:rsidRPr="007620A2">
        <w:rPr>
          <w:rFonts w:ascii="Times New Roman" w:hAnsi="Times New Roman"/>
          <w:szCs w:val="24"/>
        </w:rPr>
        <w:t xml:space="preserve"> внаслідок господарської та іншої діяльності </w:t>
      </w:r>
      <w:r w:rsidRPr="007620A2">
        <w:rPr>
          <w:rFonts w:ascii="Times New Roman" w:hAnsi="Times New Roman"/>
          <w:b/>
          <w:szCs w:val="24"/>
        </w:rPr>
        <w:t xml:space="preserve">(ККДБ 24062100) </w:t>
      </w:r>
      <w:r w:rsidRPr="007620A2">
        <w:rPr>
          <w:rFonts w:ascii="Times New Roman" w:hAnsi="Times New Roman"/>
          <w:szCs w:val="24"/>
        </w:rPr>
        <w:t>на 2025 рік визначені  у сумі   250,0 тис. грн, оскільки даний вид надходжень носить не системний характер.</w:t>
      </w:r>
    </w:p>
    <w:p w14:paraId="7476E56C" w14:textId="77777777" w:rsidR="000B04B1" w:rsidRPr="007620A2" w:rsidRDefault="000B04B1" w:rsidP="000B04B1">
      <w:pPr>
        <w:spacing w:after="0" w:line="240" w:lineRule="auto"/>
        <w:ind w:right="-2" w:firstLine="567"/>
        <w:jc w:val="both"/>
        <w:rPr>
          <w:rFonts w:ascii="Times New Roman" w:hAnsi="Times New Roman" w:cs="Times New Roman"/>
          <w:bCs/>
          <w:sz w:val="24"/>
          <w:szCs w:val="24"/>
          <w:lang w:val="uk-UA"/>
        </w:rPr>
      </w:pPr>
      <w:r w:rsidRPr="007620A2">
        <w:rPr>
          <w:rFonts w:ascii="Times New Roman" w:hAnsi="Times New Roman" w:cs="Times New Roman"/>
          <w:sz w:val="24"/>
          <w:szCs w:val="24"/>
          <w:lang w:val="uk-UA"/>
        </w:rPr>
        <w:t xml:space="preserve">Відповідно до </w:t>
      </w:r>
      <w:r w:rsidRPr="007620A2">
        <w:rPr>
          <w:rFonts w:ascii="Times New Roman" w:hAnsi="Times New Roman" w:cs="Times New Roman"/>
          <w:bCs/>
          <w:sz w:val="24"/>
          <w:szCs w:val="24"/>
          <w:lang w:val="uk-UA"/>
        </w:rPr>
        <w:t xml:space="preserve">Бюджетного кодексу України </w:t>
      </w:r>
      <w:r w:rsidRPr="007620A2">
        <w:rPr>
          <w:rFonts w:ascii="Times New Roman" w:hAnsi="Times New Roman" w:cs="Times New Roman"/>
          <w:sz w:val="24"/>
          <w:szCs w:val="24"/>
          <w:lang w:val="uk-UA"/>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Pr="007620A2">
        <w:rPr>
          <w:rFonts w:ascii="Times New Roman" w:hAnsi="Times New Roman" w:cs="Times New Roman"/>
          <w:bCs/>
          <w:sz w:val="24"/>
          <w:szCs w:val="24"/>
          <w:lang w:val="uk-UA"/>
        </w:rPr>
        <w:t xml:space="preserve"> розподіляються наступним чином :</w:t>
      </w:r>
    </w:p>
    <w:p w14:paraId="104C62B0" w14:textId="77777777" w:rsidR="000B04B1" w:rsidRPr="007620A2" w:rsidRDefault="000B04B1" w:rsidP="00C36E77">
      <w:pPr>
        <w:pStyle w:val="a4"/>
        <w:numPr>
          <w:ilvl w:val="0"/>
          <w:numId w:val="5"/>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70 %</w:t>
      </w:r>
      <w:r w:rsidRPr="007620A2">
        <w:rPr>
          <w:rFonts w:ascii="Times New Roman" w:hAnsi="Times New Roman" w:cs="Times New Roman"/>
          <w:sz w:val="24"/>
          <w:szCs w:val="24"/>
          <w:lang w:val="uk-UA"/>
        </w:rPr>
        <w:t xml:space="preserve"> до місцевих бюджетів, з них :</w:t>
      </w:r>
    </w:p>
    <w:p w14:paraId="5D72B68E" w14:textId="77777777" w:rsidR="000B04B1" w:rsidRPr="007620A2" w:rsidRDefault="000B04B1" w:rsidP="00C36E77">
      <w:pPr>
        <w:pStyle w:val="a4"/>
        <w:numPr>
          <w:ilvl w:val="0"/>
          <w:numId w:val="6"/>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20 %</w:t>
      </w:r>
      <w:r w:rsidRPr="007620A2">
        <w:rPr>
          <w:rFonts w:ascii="Times New Roman" w:hAnsi="Times New Roman" w:cs="Times New Roman"/>
          <w:sz w:val="24"/>
          <w:szCs w:val="24"/>
          <w:lang w:val="uk-UA"/>
        </w:rPr>
        <w:t xml:space="preserve"> - до обласного бюджету;</w:t>
      </w:r>
    </w:p>
    <w:p w14:paraId="14D23D68" w14:textId="77777777" w:rsidR="000B04B1" w:rsidRPr="007620A2" w:rsidRDefault="000B04B1" w:rsidP="00C36E77">
      <w:pPr>
        <w:pStyle w:val="a4"/>
        <w:numPr>
          <w:ilvl w:val="0"/>
          <w:numId w:val="6"/>
        </w:numPr>
        <w:tabs>
          <w:tab w:val="left" w:pos="709"/>
          <w:tab w:val="left" w:pos="851"/>
        </w:tabs>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b/>
          <w:sz w:val="24"/>
          <w:szCs w:val="24"/>
          <w:lang w:val="uk-UA"/>
        </w:rPr>
        <w:t>50 %</w:t>
      </w:r>
      <w:r w:rsidRPr="007620A2">
        <w:rPr>
          <w:rFonts w:ascii="Times New Roman" w:hAnsi="Times New Roman" w:cs="Times New Roman"/>
          <w:sz w:val="24"/>
          <w:szCs w:val="24"/>
          <w:lang w:val="uk-UA"/>
        </w:rPr>
        <w:t xml:space="preserve"> - до бюджету громади;</w:t>
      </w:r>
    </w:p>
    <w:p w14:paraId="608A6DC2" w14:textId="77777777" w:rsidR="000B04B1" w:rsidRPr="007620A2" w:rsidRDefault="000B04B1" w:rsidP="00C36E77">
      <w:pPr>
        <w:pStyle w:val="a4"/>
        <w:numPr>
          <w:ilvl w:val="0"/>
          <w:numId w:val="5"/>
        </w:numPr>
        <w:tabs>
          <w:tab w:val="left" w:pos="709"/>
          <w:tab w:val="left" w:pos="851"/>
        </w:tabs>
        <w:spacing w:after="0" w:line="240" w:lineRule="auto"/>
        <w:ind w:left="0" w:firstLine="567"/>
        <w:jc w:val="both"/>
        <w:rPr>
          <w:rFonts w:ascii="Times New Roman" w:hAnsi="Times New Roman"/>
          <w:szCs w:val="24"/>
          <w:lang w:val="uk-UA"/>
        </w:rPr>
      </w:pPr>
      <w:r w:rsidRPr="007620A2">
        <w:rPr>
          <w:rFonts w:ascii="Times New Roman" w:hAnsi="Times New Roman" w:cs="Times New Roman"/>
          <w:b/>
          <w:sz w:val="24"/>
          <w:szCs w:val="24"/>
          <w:lang w:val="uk-UA"/>
        </w:rPr>
        <w:t>30 %</w:t>
      </w:r>
      <w:r w:rsidRPr="007620A2">
        <w:rPr>
          <w:rFonts w:ascii="Times New Roman" w:hAnsi="Times New Roman" w:cs="Times New Roman"/>
          <w:sz w:val="24"/>
          <w:szCs w:val="24"/>
          <w:lang w:val="uk-UA"/>
        </w:rPr>
        <w:t>- до державного бюджету.</w:t>
      </w:r>
    </w:p>
    <w:p w14:paraId="09A02B42" w14:textId="1E247CDB" w:rsidR="000B04B1" w:rsidRPr="007620A2" w:rsidRDefault="000B04B1" w:rsidP="000B04B1">
      <w:pPr>
        <w:pStyle w:val="a6"/>
        <w:ind w:firstLine="567"/>
        <w:rPr>
          <w:rFonts w:ascii="Times New Roman" w:hAnsi="Times New Roman"/>
          <w:szCs w:val="24"/>
        </w:rPr>
      </w:pPr>
      <w:r w:rsidRPr="007620A2">
        <w:rPr>
          <w:rFonts w:ascii="Times New Roman" w:hAnsi="Times New Roman"/>
          <w:b/>
          <w:szCs w:val="24"/>
        </w:rPr>
        <w:t>Бюджет розвитку</w:t>
      </w:r>
      <w:r w:rsidRPr="007620A2">
        <w:rPr>
          <w:rFonts w:ascii="Times New Roman" w:hAnsi="Times New Roman"/>
          <w:szCs w:val="24"/>
        </w:rPr>
        <w:t xml:space="preserve"> у складі спеціального фонду бюджету Чорноморської</w:t>
      </w:r>
      <w:r w:rsidR="00C36E77">
        <w:rPr>
          <w:rFonts w:ascii="Times New Roman" w:hAnsi="Times New Roman"/>
          <w:szCs w:val="24"/>
        </w:rPr>
        <w:t xml:space="preserve"> МТГ</w:t>
      </w:r>
      <w:r w:rsidRPr="007620A2">
        <w:rPr>
          <w:rFonts w:ascii="Times New Roman" w:hAnsi="Times New Roman"/>
          <w:szCs w:val="24"/>
        </w:rPr>
        <w:t>, відповідно до ст.71 Бюджетного кодексу України, сформовано за рахунок очікуваного надходження коштів від продажу земельних ділянок несільськогосподарського призначення</w:t>
      </w:r>
      <w:r w:rsidR="00C36E77">
        <w:rPr>
          <w:rFonts w:ascii="Times New Roman" w:hAnsi="Times New Roman"/>
          <w:szCs w:val="24"/>
        </w:rPr>
        <w:t xml:space="preserve"> та від відчуження майна комунальної власності</w:t>
      </w:r>
      <w:r w:rsidRPr="007620A2">
        <w:rPr>
          <w:rFonts w:ascii="Times New Roman" w:hAnsi="Times New Roman"/>
          <w:szCs w:val="24"/>
        </w:rPr>
        <w:t>.</w:t>
      </w:r>
    </w:p>
    <w:p w14:paraId="30E1AA71" w14:textId="14731AAA" w:rsidR="000B04B1" w:rsidRPr="007620A2" w:rsidRDefault="000B04B1" w:rsidP="00C36E77">
      <w:pPr>
        <w:pStyle w:val="a6"/>
        <w:ind w:firstLine="567"/>
        <w:rPr>
          <w:rFonts w:ascii="Times New Roman" w:hAnsi="Times New Roman"/>
          <w:szCs w:val="24"/>
        </w:rPr>
      </w:pPr>
      <w:r w:rsidRPr="007620A2">
        <w:rPr>
          <w:rFonts w:ascii="Times New Roman" w:hAnsi="Times New Roman"/>
          <w:b/>
          <w:szCs w:val="24"/>
        </w:rPr>
        <w:t>Надходження коштів від відчуження майна</w:t>
      </w:r>
      <w:r w:rsidRPr="007620A2">
        <w:rPr>
          <w:rFonts w:ascii="Times New Roman" w:hAnsi="Times New Roman"/>
          <w:szCs w:val="24"/>
        </w:rPr>
        <w:t xml:space="preserve">, що перебуває в комунальній власності, </w:t>
      </w:r>
      <w:r w:rsidR="00C36E77">
        <w:rPr>
          <w:rFonts w:ascii="Times New Roman" w:hAnsi="Times New Roman"/>
          <w:szCs w:val="24"/>
        </w:rPr>
        <w:t xml:space="preserve">                        </w:t>
      </w:r>
      <w:r w:rsidRPr="007620A2">
        <w:rPr>
          <w:rFonts w:ascii="Times New Roman" w:hAnsi="Times New Roman"/>
          <w:b/>
          <w:szCs w:val="24"/>
        </w:rPr>
        <w:t>(КДБ 31030000)</w:t>
      </w:r>
      <w:r w:rsidRPr="007620A2">
        <w:rPr>
          <w:rFonts w:ascii="Times New Roman" w:hAnsi="Times New Roman"/>
          <w:szCs w:val="24"/>
        </w:rPr>
        <w:t xml:space="preserve"> на 2025 рік  плануються в сумі 80,0 тис. грн.</w:t>
      </w:r>
    </w:p>
    <w:p w14:paraId="5C5485B8" w14:textId="7643CE54" w:rsidR="000B04B1" w:rsidRPr="007620A2" w:rsidRDefault="000B04B1" w:rsidP="00C36E77">
      <w:pPr>
        <w:pStyle w:val="a6"/>
        <w:ind w:firstLine="567"/>
        <w:rPr>
          <w:rFonts w:ascii="Times New Roman" w:hAnsi="Times New Roman"/>
          <w:szCs w:val="24"/>
        </w:rPr>
      </w:pPr>
      <w:r w:rsidRPr="007620A2">
        <w:rPr>
          <w:rFonts w:ascii="Times New Roman" w:hAnsi="Times New Roman"/>
          <w:szCs w:val="24"/>
        </w:rPr>
        <w:t xml:space="preserve">     Кошти плану</w:t>
      </w:r>
      <w:r w:rsidR="00C36E77">
        <w:rPr>
          <w:rFonts w:ascii="Times New Roman" w:hAnsi="Times New Roman"/>
          <w:szCs w:val="24"/>
        </w:rPr>
        <w:t>є</w:t>
      </w:r>
      <w:r w:rsidRPr="007620A2">
        <w:rPr>
          <w:rFonts w:ascii="Times New Roman" w:hAnsi="Times New Roman"/>
          <w:szCs w:val="24"/>
        </w:rPr>
        <w:t>ться отримати від відчуження майна (торг</w:t>
      </w:r>
      <w:r w:rsidR="00EA06D4">
        <w:rPr>
          <w:rFonts w:ascii="Times New Roman" w:hAnsi="Times New Roman"/>
          <w:szCs w:val="24"/>
        </w:rPr>
        <w:t>і</w:t>
      </w:r>
      <w:r w:rsidRPr="007620A2">
        <w:rPr>
          <w:rFonts w:ascii="Times New Roman" w:hAnsi="Times New Roman"/>
          <w:szCs w:val="24"/>
        </w:rPr>
        <w:t>вельний кіоск площею 8,20 кв.</w:t>
      </w:r>
      <w:r w:rsidR="00C36E77">
        <w:rPr>
          <w:rFonts w:ascii="Times New Roman" w:hAnsi="Times New Roman"/>
          <w:szCs w:val="24"/>
        </w:rPr>
        <w:t xml:space="preserve"> м</w:t>
      </w:r>
      <w:r w:rsidRPr="007620A2">
        <w:rPr>
          <w:rFonts w:ascii="Times New Roman" w:hAnsi="Times New Roman"/>
          <w:szCs w:val="24"/>
        </w:rPr>
        <w:t>, розміщений за адресою: проспект Миру, 13-В</w:t>
      </w:r>
      <w:r w:rsidR="00C36E77">
        <w:rPr>
          <w:rFonts w:ascii="Times New Roman" w:hAnsi="Times New Roman"/>
          <w:szCs w:val="24"/>
        </w:rPr>
        <w:t>,</w:t>
      </w:r>
      <w:r w:rsidRPr="007620A2">
        <w:rPr>
          <w:rFonts w:ascii="Times New Roman" w:hAnsi="Times New Roman"/>
          <w:szCs w:val="24"/>
        </w:rPr>
        <w:t xml:space="preserve"> м. Чорноморськ та торг</w:t>
      </w:r>
      <w:r w:rsidR="00EA06D4">
        <w:rPr>
          <w:rFonts w:ascii="Times New Roman" w:hAnsi="Times New Roman"/>
          <w:szCs w:val="24"/>
        </w:rPr>
        <w:t>і</w:t>
      </w:r>
      <w:r w:rsidRPr="007620A2">
        <w:rPr>
          <w:rFonts w:ascii="Times New Roman" w:hAnsi="Times New Roman"/>
          <w:szCs w:val="24"/>
        </w:rPr>
        <w:t>вельний кіоск площею 8,20 кв.</w:t>
      </w:r>
      <w:r w:rsidR="00C36E77">
        <w:rPr>
          <w:rFonts w:ascii="Times New Roman" w:hAnsi="Times New Roman"/>
          <w:szCs w:val="24"/>
        </w:rPr>
        <w:t xml:space="preserve"> </w:t>
      </w:r>
      <w:r w:rsidRPr="007620A2">
        <w:rPr>
          <w:rFonts w:ascii="Times New Roman" w:hAnsi="Times New Roman"/>
          <w:szCs w:val="24"/>
        </w:rPr>
        <w:t>м, розміщений за адресою: вулиця Спортивна, 6-В, м. Чорноморськ</w:t>
      </w:r>
      <w:r w:rsidR="00C36E77">
        <w:rPr>
          <w:rFonts w:ascii="Times New Roman" w:hAnsi="Times New Roman"/>
          <w:szCs w:val="24"/>
        </w:rPr>
        <w:t>,</w:t>
      </w:r>
      <w:r w:rsidRPr="007620A2">
        <w:rPr>
          <w:rFonts w:ascii="Times New Roman" w:hAnsi="Times New Roman"/>
          <w:szCs w:val="24"/>
        </w:rPr>
        <w:t xml:space="preserve"> що перебувають в комунальній власності, шляхом проведення процедур</w:t>
      </w:r>
      <w:r w:rsidR="00C36E77">
        <w:rPr>
          <w:rFonts w:ascii="Times New Roman" w:hAnsi="Times New Roman"/>
          <w:szCs w:val="24"/>
        </w:rPr>
        <w:t xml:space="preserve">и </w:t>
      </w:r>
      <w:r w:rsidRPr="007620A2">
        <w:rPr>
          <w:rFonts w:ascii="Times New Roman" w:hAnsi="Times New Roman"/>
          <w:szCs w:val="24"/>
        </w:rPr>
        <w:t>аукціону через електронний майданчик «Прозорро. Продажі»</w:t>
      </w:r>
      <w:r w:rsidR="00C36E77">
        <w:rPr>
          <w:rFonts w:ascii="Times New Roman" w:hAnsi="Times New Roman"/>
          <w:szCs w:val="24"/>
        </w:rPr>
        <w:t>.</w:t>
      </w:r>
    </w:p>
    <w:p w14:paraId="19E16370" w14:textId="2A39EE78" w:rsidR="000B04B1" w:rsidRPr="007620A2" w:rsidRDefault="000B04B1" w:rsidP="005F6D26">
      <w:pPr>
        <w:pStyle w:val="a6"/>
        <w:ind w:firstLine="567"/>
        <w:rPr>
          <w:rFonts w:ascii="Times New Roman" w:hAnsi="Times New Roman"/>
          <w:szCs w:val="24"/>
        </w:rPr>
      </w:pPr>
      <w:r w:rsidRPr="007620A2">
        <w:rPr>
          <w:rFonts w:ascii="Times New Roman" w:hAnsi="Times New Roman"/>
          <w:b/>
        </w:rPr>
        <w:t xml:space="preserve">Надходження </w:t>
      </w:r>
      <w:r w:rsidRPr="007620A2">
        <w:rPr>
          <w:rFonts w:ascii="Times New Roman" w:hAnsi="Times New Roman"/>
          <w:b/>
          <w:szCs w:val="24"/>
        </w:rPr>
        <w:t>коштів від продажу земельних ділянок</w:t>
      </w:r>
      <w:r w:rsidRPr="007620A2">
        <w:rPr>
          <w:rFonts w:ascii="Times New Roman" w:hAnsi="Times New Roman"/>
          <w:szCs w:val="24"/>
        </w:rPr>
        <w:t xml:space="preserve"> несільськогосподарського призначення </w:t>
      </w:r>
      <w:r w:rsidRPr="007620A2">
        <w:rPr>
          <w:rFonts w:ascii="Times New Roman" w:hAnsi="Times New Roman"/>
          <w:b/>
          <w:szCs w:val="24"/>
        </w:rPr>
        <w:t xml:space="preserve">(КДБ 33010000) </w:t>
      </w:r>
      <w:r w:rsidRPr="007620A2">
        <w:rPr>
          <w:rFonts w:ascii="Times New Roman" w:hAnsi="Times New Roman"/>
          <w:szCs w:val="24"/>
        </w:rPr>
        <w:t>розраховані в сумі 90,0 тис. грн, які очікується отримати від продажу земельної ділянки Ковальчуку П.А. площею 0,0256 га за адресою:</w:t>
      </w:r>
      <w:r w:rsidR="00A74E73">
        <w:rPr>
          <w:rFonts w:ascii="Times New Roman" w:hAnsi="Times New Roman"/>
          <w:szCs w:val="24"/>
        </w:rPr>
        <w:t xml:space="preserve"> Одеська область Одеський район</w:t>
      </w:r>
      <w:r w:rsidRPr="007620A2">
        <w:rPr>
          <w:rFonts w:ascii="Times New Roman" w:hAnsi="Times New Roman"/>
          <w:szCs w:val="24"/>
        </w:rPr>
        <w:t xml:space="preserve">  м. Чорноморськ, вул. Захисників України, 3/П-3 під існуючою нежитловою будівлею</w:t>
      </w:r>
      <w:r w:rsidR="00A74E73">
        <w:rPr>
          <w:rFonts w:ascii="Times New Roman" w:hAnsi="Times New Roman"/>
          <w:szCs w:val="24"/>
        </w:rPr>
        <w:t xml:space="preserve"> (лист УКВЗВ від 04.10.2024 № Внутр-11344-2024).</w:t>
      </w:r>
      <w:r w:rsidRPr="007620A2">
        <w:rPr>
          <w:rFonts w:ascii="Times New Roman" w:hAnsi="Times New Roman"/>
          <w:szCs w:val="24"/>
        </w:rPr>
        <w:t xml:space="preserve"> </w:t>
      </w:r>
      <w:r w:rsidR="006B5676">
        <w:rPr>
          <w:rFonts w:ascii="Times New Roman" w:hAnsi="Times New Roman"/>
          <w:szCs w:val="24"/>
        </w:rPr>
        <w:t>А</w:t>
      </w:r>
      <w:r w:rsidRPr="007620A2">
        <w:rPr>
          <w:rFonts w:ascii="Times New Roman" w:hAnsi="Times New Roman"/>
          <w:szCs w:val="24"/>
        </w:rPr>
        <w:t>вансовий внесок у розмірі 176,3 тис.</w:t>
      </w:r>
      <w:r w:rsidR="006B5676">
        <w:rPr>
          <w:rFonts w:ascii="Times New Roman" w:hAnsi="Times New Roman"/>
          <w:szCs w:val="24"/>
        </w:rPr>
        <w:t xml:space="preserve"> </w:t>
      </w:r>
      <w:r w:rsidRPr="007620A2">
        <w:rPr>
          <w:rFonts w:ascii="Times New Roman" w:hAnsi="Times New Roman"/>
          <w:szCs w:val="24"/>
        </w:rPr>
        <w:t xml:space="preserve">грн </w:t>
      </w:r>
      <w:r w:rsidR="006B5676">
        <w:rPr>
          <w:rFonts w:ascii="Times New Roman" w:hAnsi="Times New Roman"/>
          <w:szCs w:val="24"/>
        </w:rPr>
        <w:t xml:space="preserve"> сплачено </w:t>
      </w:r>
      <w:r w:rsidRPr="007620A2">
        <w:rPr>
          <w:rFonts w:ascii="Times New Roman" w:hAnsi="Times New Roman"/>
          <w:szCs w:val="24"/>
        </w:rPr>
        <w:t>у 2020 році. Розр</w:t>
      </w:r>
      <w:r w:rsidR="00325FD3">
        <w:rPr>
          <w:rFonts w:ascii="Times New Roman" w:hAnsi="Times New Roman"/>
          <w:szCs w:val="24"/>
        </w:rPr>
        <w:t xml:space="preserve">аховану залишкову суму </w:t>
      </w:r>
      <w:r w:rsidRPr="007620A2">
        <w:rPr>
          <w:rFonts w:ascii="Times New Roman" w:hAnsi="Times New Roman"/>
          <w:szCs w:val="24"/>
        </w:rPr>
        <w:t xml:space="preserve"> </w:t>
      </w:r>
      <w:r w:rsidR="00325FD3">
        <w:rPr>
          <w:rFonts w:ascii="Times New Roman" w:hAnsi="Times New Roman"/>
          <w:szCs w:val="24"/>
        </w:rPr>
        <w:t xml:space="preserve">від продажу зазначеної земельної ділянки </w:t>
      </w:r>
      <w:r w:rsidRPr="007620A2">
        <w:rPr>
          <w:rFonts w:ascii="Times New Roman" w:hAnsi="Times New Roman"/>
          <w:szCs w:val="24"/>
        </w:rPr>
        <w:t xml:space="preserve">очікується отримати у 2025 році. </w:t>
      </w:r>
    </w:p>
    <w:p w14:paraId="76B0740F" w14:textId="77777777" w:rsidR="000B04B1" w:rsidRPr="007620A2" w:rsidRDefault="000B04B1" w:rsidP="000B04B1">
      <w:pPr>
        <w:pStyle w:val="a6"/>
        <w:jc w:val="center"/>
        <w:rPr>
          <w:rFonts w:ascii="Times New Roman" w:hAnsi="Times New Roman"/>
          <w:b/>
          <w:sz w:val="28"/>
          <w:szCs w:val="28"/>
        </w:rPr>
      </w:pPr>
    </w:p>
    <w:p w14:paraId="6A616260" w14:textId="6A2D49FE" w:rsidR="000B04B1" w:rsidRPr="007620A2" w:rsidRDefault="000B04B1" w:rsidP="000B04B1">
      <w:pPr>
        <w:pStyle w:val="a6"/>
        <w:jc w:val="center"/>
        <w:rPr>
          <w:rFonts w:ascii="Times New Roman" w:hAnsi="Times New Roman"/>
          <w:b/>
          <w:sz w:val="28"/>
          <w:szCs w:val="28"/>
        </w:rPr>
      </w:pPr>
      <w:r w:rsidRPr="007620A2">
        <w:rPr>
          <w:rFonts w:ascii="Times New Roman" w:hAnsi="Times New Roman"/>
          <w:b/>
          <w:sz w:val="28"/>
          <w:szCs w:val="28"/>
        </w:rPr>
        <w:t xml:space="preserve">5. Розрахунок втрат надходжень до бюджету Чорноморської </w:t>
      </w:r>
      <w:r w:rsidR="00C36E77">
        <w:rPr>
          <w:rFonts w:ascii="Times New Roman" w:hAnsi="Times New Roman"/>
          <w:b/>
          <w:sz w:val="28"/>
          <w:szCs w:val="28"/>
        </w:rPr>
        <w:t>МТГ</w:t>
      </w:r>
      <w:r w:rsidRPr="007620A2">
        <w:rPr>
          <w:rFonts w:ascii="Times New Roman" w:hAnsi="Times New Roman"/>
          <w:b/>
          <w:sz w:val="28"/>
          <w:szCs w:val="28"/>
        </w:rPr>
        <w:t xml:space="preserve"> внаслідок наданих Чорноморською міською радою Одеського району Одеської області пільг</w:t>
      </w:r>
    </w:p>
    <w:p w14:paraId="3507F1B0" w14:textId="77777777" w:rsidR="000B04B1" w:rsidRPr="007620A2" w:rsidRDefault="000B04B1" w:rsidP="000B04B1">
      <w:pPr>
        <w:pStyle w:val="a6"/>
        <w:rPr>
          <w:rFonts w:ascii="Times New Roman" w:hAnsi="Times New Roman"/>
        </w:rPr>
      </w:pPr>
    </w:p>
    <w:p w14:paraId="0CCFCD99" w14:textId="77777777" w:rsidR="000B04B1" w:rsidRPr="007620A2" w:rsidRDefault="000B04B1" w:rsidP="000B04B1">
      <w:pPr>
        <w:pStyle w:val="a6"/>
        <w:ind w:firstLine="567"/>
        <w:rPr>
          <w:rFonts w:ascii="Times New Roman" w:hAnsi="Times New Roman"/>
        </w:rPr>
      </w:pPr>
      <w:r w:rsidRPr="007620A2">
        <w:rPr>
          <w:rFonts w:ascii="Times New Roman" w:hAnsi="Times New Roman"/>
        </w:rPr>
        <w:t>Чорноморською міською радою Одеської області відповідно до норм чинного податкового та бюджетного законодавства, Закону України "Про місцеве самоврядування в Україні", були прийняті наступні рішення щодо надання пільг:</w:t>
      </w:r>
    </w:p>
    <w:p w14:paraId="1B0F2633"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w:t>
      </w:r>
      <w:r w:rsidRPr="007620A2">
        <w:rPr>
          <w:rFonts w:ascii="Times New Roman" w:hAnsi="Times New Roman" w:cs="Times New Roman"/>
          <w:b/>
          <w:sz w:val="24"/>
          <w:szCs w:val="24"/>
          <w:lang w:val="uk-UA"/>
        </w:rPr>
        <w:t xml:space="preserve">від 26.06.2019р. № 444-VII «Про встановлення ставок та пільг із сплати земельного податку на території Чорноморської міської ради Одеської області». </w:t>
      </w:r>
      <w:r w:rsidRPr="007620A2">
        <w:rPr>
          <w:rFonts w:ascii="Times New Roman" w:hAnsi="Times New Roman" w:cs="Times New Roman"/>
          <w:sz w:val="24"/>
          <w:szCs w:val="24"/>
          <w:lang w:val="uk-UA"/>
        </w:rPr>
        <w:t>Рішенням Чорноморської міської ради Одеської області від 26.06.2019р. № 444-VII «Про встановлення ставок та пільг із сплати земельного податку на території Чорноморської міської ради Одеської області на 2020 рік» виключено термін, на який встановлюються ставки та пільги.</w:t>
      </w:r>
    </w:p>
    <w:p w14:paraId="2F392E2C" w14:textId="0691AB51" w:rsidR="000B04B1" w:rsidRPr="007620A2" w:rsidRDefault="000B04B1" w:rsidP="000B04B1">
      <w:pPr>
        <w:tabs>
          <w:tab w:val="left" w:pos="0"/>
        </w:tabs>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Додатком 2 до даного рішення визначений перелік пільг для фізичних та юридичних осіб, наданих відповідно до пункту 284.1 статті 284 Податкового кодексу України, із сплати земельного податку на території Чорноморської міської ради Одеської області, якими можливо скористатися  </w:t>
      </w:r>
      <w:r w:rsidR="00EA06D4">
        <w:rPr>
          <w:rFonts w:ascii="Times New Roman" w:hAnsi="Times New Roman" w:cs="Times New Roman"/>
          <w:sz w:val="24"/>
          <w:szCs w:val="24"/>
          <w:lang w:val="uk-UA"/>
        </w:rPr>
        <w:t>у</w:t>
      </w:r>
      <w:r w:rsidRPr="007620A2">
        <w:rPr>
          <w:rFonts w:ascii="Times New Roman" w:hAnsi="Times New Roman" w:cs="Times New Roman"/>
          <w:sz w:val="24"/>
          <w:szCs w:val="24"/>
          <w:lang w:val="uk-UA"/>
        </w:rPr>
        <w:t xml:space="preserve"> 2024 році. Пільгові категорії:</w:t>
      </w:r>
    </w:p>
    <w:p w14:paraId="3FAD17F0" w14:textId="77777777" w:rsidR="000B04B1" w:rsidRPr="007620A2" w:rsidRDefault="000B04B1" w:rsidP="000B04B1">
      <w:pPr>
        <w:tabs>
          <w:tab w:val="left" w:pos="0"/>
        </w:tabs>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органи державної влади, органи місцевого самоврядування; заклади, установи та організації, які фінансуються з державного та місцевого бюджетів; військові формування, утворені відповідно до законів України, Збройні Сили України та Державна прикордонна служба України, Служба безпеки України, структурні підрозділи апарату МВС, територіальні органи, заклади, установи, організації та підприємства, що належать до сфери управління МВС та Національної поліції; особи, яким надані земельні ділянки для будівництва та обслуговування житла і об'єктів соціальної інфраструктури, будівництво, яких здійснюється за рахунок державного, або місцевих бюджетів; комунальні підприємства засновані Чорноморською міською радою Одеської області; спеціалізовані санаторії України для реабілітації, лікування та оздоровлення хворих; 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 благодійні організації, створені відповідно до закону, діяльність яких не передбачає одержання прибутків, дошкільні та загальноосвітні навчальні заклади незалежно від форм власності і джерел фінансування, підприємства, установи, організації, громадські організації фізкультурно-спортивної спрямованості, у тому числі аероклуби та авіаційно-спортивні клуби; товариства сприяння обороні України - за земельні ділянки, на яких розміщені спортивні споруди, що використовуються для проведення всеукраїнських, міжнародних змагань та навчально-тренувального процесу збірних команд України з видів спорту та підготовки спортивного резерву.</w:t>
      </w:r>
    </w:p>
    <w:p w14:paraId="6E7C36BD" w14:textId="21193F73" w:rsidR="000B04B1" w:rsidRPr="007620A2" w:rsidRDefault="000B04B1" w:rsidP="000B04B1">
      <w:pPr>
        <w:tabs>
          <w:tab w:val="left" w:pos="0"/>
        </w:tabs>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За інформацією головного управління ДПС в Одеській області сформованою через електронну систему АІС «Місцеві бюджети рівня міста, району»  станом на 01.04.2024 року 26 підприємств задекларували пільгу зі сплати земельного податку на загальну суму 12 187,9 тис. грн, яка ймовірно очікується </w:t>
      </w:r>
      <w:r w:rsidR="00EA06D4">
        <w:rPr>
          <w:rFonts w:ascii="Times New Roman" w:hAnsi="Times New Roman" w:cs="Times New Roman"/>
          <w:sz w:val="24"/>
          <w:szCs w:val="24"/>
          <w:lang w:val="uk-UA"/>
        </w:rPr>
        <w:t>й</w:t>
      </w:r>
      <w:r w:rsidRPr="007620A2">
        <w:rPr>
          <w:rFonts w:ascii="Times New Roman" w:hAnsi="Times New Roman" w:cs="Times New Roman"/>
          <w:sz w:val="24"/>
          <w:szCs w:val="24"/>
          <w:lang w:val="uk-UA"/>
        </w:rPr>
        <w:t xml:space="preserve"> у 2025 році з урахуванням коефіцієнт</w:t>
      </w:r>
      <w:r w:rsidR="00EA06D4">
        <w:rPr>
          <w:rFonts w:ascii="Times New Roman" w:hAnsi="Times New Roman" w:cs="Times New Roman"/>
          <w:sz w:val="24"/>
          <w:szCs w:val="24"/>
          <w:lang w:val="uk-UA"/>
        </w:rPr>
        <w:t>а</w:t>
      </w:r>
      <w:r w:rsidRPr="007620A2">
        <w:rPr>
          <w:rFonts w:ascii="Times New Roman" w:hAnsi="Times New Roman" w:cs="Times New Roman"/>
          <w:sz w:val="24"/>
          <w:szCs w:val="24"/>
          <w:lang w:val="uk-UA"/>
        </w:rPr>
        <w:t xml:space="preserve"> індексації.</w:t>
      </w:r>
    </w:p>
    <w:p w14:paraId="2E4CE7B9" w14:textId="77777777" w:rsidR="000B04B1" w:rsidRPr="007620A2" w:rsidRDefault="000B04B1" w:rsidP="000B04B1">
      <w:pPr>
        <w:tabs>
          <w:tab w:val="left" w:pos="0"/>
        </w:tabs>
        <w:spacing w:after="0" w:line="240" w:lineRule="auto"/>
        <w:ind w:firstLine="567"/>
        <w:jc w:val="both"/>
        <w:rPr>
          <w:rFonts w:ascii="Times New Roman" w:hAnsi="Times New Roman" w:cs="Times New Roman"/>
          <w:sz w:val="24"/>
          <w:szCs w:val="24"/>
          <w:lang w:val="uk-UA"/>
        </w:rPr>
      </w:pPr>
    </w:p>
    <w:p w14:paraId="57626FCF" w14:textId="77777777" w:rsidR="000B04B1" w:rsidRPr="007620A2" w:rsidRDefault="000B04B1" w:rsidP="000B04B1">
      <w:pPr>
        <w:pStyle w:val="1"/>
        <w:ind w:firstLine="567"/>
        <w:jc w:val="both"/>
        <w:rPr>
          <w:b/>
          <w:sz w:val="24"/>
          <w:szCs w:val="24"/>
        </w:rPr>
      </w:pPr>
      <w:r w:rsidRPr="007620A2">
        <w:rPr>
          <w:b/>
          <w:sz w:val="24"/>
          <w:szCs w:val="24"/>
        </w:rPr>
        <w:t>- № 567 -VII від 19.06.2020р. «Про встановлення ставок та пільг із сплати податку на нерухоме майно, відмінне від земельної ділянки, на території Чорноморської міської ради Одеського району Одеської області» (зі змінами).</w:t>
      </w:r>
    </w:p>
    <w:p w14:paraId="76683C9A" w14:textId="77777777" w:rsidR="000B04B1" w:rsidRPr="007620A2" w:rsidRDefault="000B04B1" w:rsidP="005F6D26">
      <w:pPr>
        <w:spacing w:after="0" w:line="240" w:lineRule="auto"/>
        <w:ind w:firstLine="567"/>
        <w:jc w:val="both"/>
        <w:rPr>
          <w:rFonts w:ascii="Times New Roman" w:hAnsi="Times New Roman" w:cs="Times New Roman"/>
          <w:sz w:val="24"/>
          <w:szCs w:val="24"/>
          <w:lang w:val="uk-UA" w:eastAsia="uk-UA"/>
        </w:rPr>
      </w:pPr>
      <w:r w:rsidRPr="007620A2">
        <w:rPr>
          <w:rFonts w:ascii="Times New Roman" w:hAnsi="Times New Roman" w:cs="Times New Roman"/>
          <w:sz w:val="24"/>
          <w:szCs w:val="24"/>
          <w:lang w:val="uk-UA" w:eastAsia="uk-UA"/>
        </w:rPr>
        <w:t>Перелік пільги на нерухоме майно, відмінне від земельної ділянки  для фізичних та юридичних осіб, наданих відповідно до підпункту 266.4.2 пункту 266,4 статті 266 Податкового кодексу України визначений додатком 2 до вищевказаного  рішення.</w:t>
      </w:r>
    </w:p>
    <w:p w14:paraId="17E9C913" w14:textId="77777777" w:rsidR="000B04B1" w:rsidRPr="007620A2" w:rsidRDefault="000B04B1" w:rsidP="005F6D26">
      <w:pPr>
        <w:spacing w:after="0" w:line="240" w:lineRule="auto"/>
        <w:ind w:firstLine="567"/>
        <w:jc w:val="both"/>
        <w:rPr>
          <w:rFonts w:ascii="Times New Roman" w:hAnsi="Times New Roman" w:cs="Times New Roman"/>
          <w:sz w:val="24"/>
          <w:szCs w:val="24"/>
          <w:lang w:val="uk-UA" w:eastAsia="uk-UA"/>
        </w:rPr>
      </w:pPr>
      <w:r w:rsidRPr="007620A2">
        <w:rPr>
          <w:rFonts w:ascii="Times New Roman" w:hAnsi="Times New Roman" w:cs="Times New Roman"/>
          <w:sz w:val="24"/>
          <w:szCs w:val="24"/>
          <w:lang w:val="uk-UA" w:eastAsia="uk-UA"/>
        </w:rPr>
        <w:t>Пільгові категорії:</w:t>
      </w:r>
    </w:p>
    <w:p w14:paraId="7ED38B61" w14:textId="77777777" w:rsidR="000B04B1" w:rsidRPr="007620A2" w:rsidRDefault="000B04B1" w:rsidP="005F6D26">
      <w:pPr>
        <w:spacing w:after="0" w:line="240" w:lineRule="auto"/>
        <w:ind w:firstLine="567"/>
        <w:rPr>
          <w:rFonts w:ascii="Times New Roman" w:hAnsi="Times New Roman" w:cs="Times New Roman"/>
          <w:b/>
          <w:sz w:val="24"/>
          <w:szCs w:val="24"/>
          <w:lang w:val="uk-UA" w:eastAsia="uk-UA"/>
        </w:rPr>
      </w:pPr>
      <w:r w:rsidRPr="007620A2">
        <w:rPr>
          <w:rFonts w:ascii="Times New Roman" w:hAnsi="Times New Roman" w:cs="Times New Roman"/>
          <w:b/>
          <w:sz w:val="24"/>
          <w:szCs w:val="24"/>
          <w:lang w:val="uk-UA" w:eastAsia="uk-UA"/>
        </w:rPr>
        <w:t>з об'єктів житлової нерухомості, які перебувають у власності фізичних осіб платників податку:</w:t>
      </w:r>
    </w:p>
    <w:p w14:paraId="14971242" w14:textId="77777777" w:rsidR="000B04B1" w:rsidRPr="007620A2" w:rsidRDefault="000B04B1" w:rsidP="005F6D26">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а)  особи з інвалідністю першої групи;</w:t>
      </w:r>
    </w:p>
    <w:p w14:paraId="02A437EF" w14:textId="77777777" w:rsidR="000B04B1" w:rsidRPr="007620A2" w:rsidRDefault="000B04B1" w:rsidP="005F6D26">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б) ветерани війни та особи, на яких поширюється дія Закону України «Про статус ветеранів війни, гарантії їх соціального захисту»;</w:t>
      </w:r>
    </w:p>
    <w:p w14:paraId="71028A03" w14:textId="77777777" w:rsidR="000B04B1" w:rsidRPr="007620A2" w:rsidRDefault="000B04B1" w:rsidP="005F6D26">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в) фізичні особи, визнані законом особами, які постраждали внаслідок Чорнобильської катастрофи І та ІІ категорії;</w:t>
      </w:r>
    </w:p>
    <w:p w14:paraId="09758C28" w14:textId="77777777" w:rsidR="000B04B1" w:rsidRPr="007620A2" w:rsidRDefault="000B04B1" w:rsidP="005F6D26">
      <w:pPr>
        <w:spacing w:after="0" w:line="240" w:lineRule="auto"/>
        <w:ind w:firstLine="567"/>
        <w:jc w:val="both"/>
        <w:rPr>
          <w:rFonts w:ascii="Times New Roman" w:hAnsi="Times New Roman" w:cs="Times New Roman"/>
          <w:b/>
          <w:sz w:val="24"/>
          <w:szCs w:val="24"/>
          <w:lang w:val="uk-UA"/>
        </w:rPr>
      </w:pPr>
      <w:r w:rsidRPr="007620A2">
        <w:rPr>
          <w:rFonts w:ascii="Times New Roman" w:hAnsi="Times New Roman" w:cs="Times New Roman"/>
          <w:b/>
          <w:sz w:val="24"/>
          <w:szCs w:val="24"/>
          <w:lang w:val="uk-UA"/>
        </w:rPr>
        <w:t>з об'єктів нежитлової нерухомості, які перебувають у власності юридичних осіб платників податку:</w:t>
      </w:r>
    </w:p>
    <w:p w14:paraId="7D8E96B2" w14:textId="383C9013" w:rsidR="000B04B1" w:rsidRPr="007620A2" w:rsidRDefault="000B04B1" w:rsidP="005F6D26">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а) гаражно-будівельні та гаражні об’єднання, кооперативи, колективи, товариства для об’єктів нежитлової нерухомості (щодо будівл</w:t>
      </w:r>
      <w:r w:rsidR="00EA06D4">
        <w:rPr>
          <w:rFonts w:ascii="Times New Roman" w:hAnsi="Times New Roman" w:cs="Times New Roman"/>
          <w:sz w:val="24"/>
          <w:szCs w:val="24"/>
          <w:lang w:val="uk-UA"/>
        </w:rPr>
        <w:t>і</w:t>
      </w:r>
      <w:r w:rsidRPr="007620A2">
        <w:rPr>
          <w:rFonts w:ascii="Times New Roman" w:hAnsi="Times New Roman" w:cs="Times New Roman"/>
          <w:sz w:val="24"/>
          <w:szCs w:val="24"/>
          <w:lang w:val="uk-UA"/>
        </w:rPr>
        <w:t xml:space="preserve"> для конторських та адміністративних цілей)  </w:t>
      </w:r>
    </w:p>
    <w:p w14:paraId="62382565" w14:textId="77777777" w:rsidR="000B04B1" w:rsidRPr="007620A2" w:rsidRDefault="000B04B1" w:rsidP="000B04B1">
      <w:pPr>
        <w:spacing w:after="0" w:line="240" w:lineRule="auto"/>
        <w:ind w:firstLine="567"/>
        <w:rPr>
          <w:rFonts w:ascii="Times New Roman" w:hAnsi="Times New Roman" w:cs="Times New Roman"/>
          <w:b/>
          <w:sz w:val="24"/>
          <w:szCs w:val="24"/>
          <w:lang w:val="uk-UA" w:eastAsia="uk-UA"/>
        </w:rPr>
      </w:pPr>
      <w:r w:rsidRPr="007620A2">
        <w:rPr>
          <w:rFonts w:ascii="Times New Roman" w:hAnsi="Times New Roman" w:cs="Times New Roman"/>
          <w:b/>
          <w:sz w:val="24"/>
          <w:szCs w:val="24"/>
          <w:lang w:val="uk-UA" w:eastAsia="uk-UA"/>
        </w:rPr>
        <w:t>з об'єктів житлової нерухомості, які перебувають у власності юридичних осіб платників податку:</w:t>
      </w:r>
    </w:p>
    <w:p w14:paraId="1EFF81EA" w14:textId="7777777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У частині об’єктів житлово/нежитлової нерухомості, у тому числі їх часток, які внаслідок бойових дій, терористичних актів, диверсій, спричинених збройною агресією Російської Федерації проти України, зазнали незначних пошкоджень, придатні для проживання/використання за цільовим призначенням (відповідно) та підлягають відновленню шляхом поточного ремонту, податок на нерухоме майно, відмінне від земельної ділянки, не нараховується та не сплачується за період з першого числа місяця, в якому було зафіксовано факт пошкодження житлової та/або нежитлової нерухомості за даними Реєстру майна, до першого числа місяця, наступного за місяцем, в якому за даними Реєстру майна об’єкту житлової та/або нежитлової нерухомості відремонтовані.</w:t>
      </w:r>
    </w:p>
    <w:p w14:paraId="4B8776EA" w14:textId="6D8DBC43" w:rsidR="000B04B1" w:rsidRPr="007620A2" w:rsidRDefault="000B04B1" w:rsidP="000B04B1">
      <w:pPr>
        <w:pStyle w:val="rvps2"/>
        <w:shd w:val="clear" w:color="auto" w:fill="FFFFFF"/>
        <w:spacing w:before="0" w:beforeAutospacing="0" w:after="0" w:afterAutospacing="0"/>
        <w:ind w:firstLine="567"/>
        <w:jc w:val="both"/>
        <w:textAlignment w:val="baseline"/>
        <w:rPr>
          <w:lang w:val="uk-UA"/>
        </w:rPr>
      </w:pPr>
      <w:r w:rsidRPr="007620A2">
        <w:rPr>
          <w:color w:val="000000" w:themeColor="text1"/>
          <w:lang w:val="uk-UA"/>
        </w:rPr>
        <w:t xml:space="preserve">За інформацією головного управління ДПС в Одеській області, сформованою через електронну систему АІС «Місцеві бюджети рівня міста, району» 2006 станом на 01.04.2024 року, 2 гаражно-будівельні об'єднання задекларували пільгу на нерухоме майно, відмінне від земельної ділянки, для фізичних та юридичних осіб на загальну суму 5,1 тис. грн, </w:t>
      </w:r>
      <w:r w:rsidRPr="007620A2">
        <w:rPr>
          <w:lang w:val="uk-UA"/>
        </w:rPr>
        <w:t>яка ймовірно очікується і у 2025 році з урахуванням коефіцієнт</w:t>
      </w:r>
      <w:r w:rsidR="00EA06D4">
        <w:rPr>
          <w:lang w:val="uk-UA"/>
        </w:rPr>
        <w:t>а</w:t>
      </w:r>
      <w:r w:rsidRPr="007620A2">
        <w:rPr>
          <w:lang w:val="uk-UA"/>
        </w:rPr>
        <w:t xml:space="preserve"> підвищення мінімальної заробітної плати для відповідної категорії платника податку.</w:t>
      </w:r>
    </w:p>
    <w:p w14:paraId="26E9D669" w14:textId="77777777" w:rsidR="000B04B1" w:rsidRPr="007620A2" w:rsidRDefault="000B04B1" w:rsidP="000B04B1">
      <w:pPr>
        <w:pStyle w:val="rvps2"/>
        <w:shd w:val="clear" w:color="auto" w:fill="FFFFFF"/>
        <w:spacing w:before="0" w:beforeAutospacing="0" w:after="0" w:afterAutospacing="0"/>
        <w:ind w:firstLine="567"/>
        <w:jc w:val="both"/>
        <w:textAlignment w:val="baseline"/>
        <w:rPr>
          <w:color w:val="000000"/>
          <w:lang w:val="uk-UA"/>
        </w:rPr>
      </w:pPr>
    </w:p>
    <w:p w14:paraId="73D34718" w14:textId="77777777" w:rsidR="000B04B1" w:rsidRPr="007620A2" w:rsidRDefault="000B04B1" w:rsidP="000B04B1">
      <w:pPr>
        <w:spacing w:after="0" w:line="240" w:lineRule="auto"/>
        <w:ind w:left="710"/>
        <w:jc w:val="center"/>
        <w:rPr>
          <w:rFonts w:ascii="Times New Roman" w:hAnsi="Times New Roman" w:cs="Times New Roman"/>
          <w:b/>
          <w:sz w:val="28"/>
          <w:szCs w:val="28"/>
          <w:lang w:val="uk-UA"/>
        </w:rPr>
      </w:pPr>
      <w:r w:rsidRPr="007620A2">
        <w:rPr>
          <w:rFonts w:ascii="Times New Roman" w:hAnsi="Times New Roman" w:cs="Times New Roman"/>
          <w:b/>
          <w:sz w:val="28"/>
          <w:szCs w:val="28"/>
          <w:lang w:val="uk-UA"/>
        </w:rPr>
        <w:t>6.Освітня субвенція</w:t>
      </w:r>
    </w:p>
    <w:p w14:paraId="76505395" w14:textId="22A63E13" w:rsidR="008D16E0" w:rsidRPr="008D16E0" w:rsidRDefault="00AA6D52" w:rsidP="000B04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8D16E0" w:rsidRPr="008D16E0">
        <w:rPr>
          <w:rFonts w:ascii="Times New Roman" w:hAnsi="Times New Roman" w:cs="Times New Roman"/>
          <w:sz w:val="24"/>
          <w:szCs w:val="24"/>
          <w:lang w:val="uk-UA"/>
        </w:rPr>
        <w:t xml:space="preserve"> бюджеті Чорноморської </w:t>
      </w:r>
      <w:r>
        <w:rPr>
          <w:rFonts w:ascii="Times New Roman" w:hAnsi="Times New Roman" w:cs="Times New Roman"/>
          <w:sz w:val="24"/>
          <w:szCs w:val="24"/>
          <w:lang w:val="uk-UA"/>
        </w:rPr>
        <w:t xml:space="preserve">МТГ </w:t>
      </w:r>
      <w:r w:rsidR="008D16E0" w:rsidRPr="008D16E0">
        <w:rPr>
          <w:rFonts w:ascii="Times New Roman" w:hAnsi="Times New Roman" w:cs="Times New Roman"/>
          <w:sz w:val="24"/>
          <w:szCs w:val="24"/>
          <w:lang w:val="uk-UA"/>
        </w:rPr>
        <w:t xml:space="preserve"> на 2025 рік </w:t>
      </w:r>
      <w:r>
        <w:rPr>
          <w:rFonts w:ascii="Times New Roman" w:hAnsi="Times New Roman" w:cs="Times New Roman"/>
          <w:sz w:val="24"/>
          <w:szCs w:val="24"/>
          <w:lang w:val="uk-UA"/>
        </w:rPr>
        <w:t xml:space="preserve">врахована  </w:t>
      </w:r>
      <w:r w:rsidR="008D16E0" w:rsidRPr="008D16E0">
        <w:rPr>
          <w:rFonts w:ascii="Times New Roman" w:hAnsi="Times New Roman" w:cs="Times New Roman"/>
          <w:sz w:val="24"/>
          <w:szCs w:val="24"/>
          <w:lang w:val="uk-UA"/>
        </w:rPr>
        <w:t>освітн</w:t>
      </w:r>
      <w:r>
        <w:rPr>
          <w:rFonts w:ascii="Times New Roman" w:hAnsi="Times New Roman" w:cs="Times New Roman"/>
          <w:sz w:val="24"/>
          <w:szCs w:val="24"/>
          <w:lang w:val="uk-UA"/>
        </w:rPr>
        <w:t>я</w:t>
      </w:r>
      <w:r w:rsidR="008D16E0" w:rsidRPr="008D16E0">
        <w:rPr>
          <w:rFonts w:ascii="Times New Roman" w:hAnsi="Times New Roman" w:cs="Times New Roman"/>
          <w:sz w:val="24"/>
          <w:szCs w:val="24"/>
          <w:lang w:val="uk-UA"/>
        </w:rPr>
        <w:t xml:space="preserve"> субвенці</w:t>
      </w:r>
      <w:r>
        <w:rPr>
          <w:rFonts w:ascii="Times New Roman" w:hAnsi="Times New Roman" w:cs="Times New Roman"/>
          <w:sz w:val="24"/>
          <w:szCs w:val="24"/>
          <w:lang w:val="uk-UA"/>
        </w:rPr>
        <w:t xml:space="preserve">я в сумі </w:t>
      </w:r>
      <w:r w:rsidRPr="008D16E0">
        <w:rPr>
          <w:rFonts w:ascii="Times New Roman" w:hAnsi="Times New Roman" w:cs="Times New Roman"/>
          <w:sz w:val="24"/>
          <w:szCs w:val="24"/>
          <w:lang w:val="uk-UA"/>
        </w:rPr>
        <w:t>103 011,5 тис. грн</w:t>
      </w:r>
      <w:r>
        <w:rPr>
          <w:rFonts w:ascii="Times New Roman" w:hAnsi="Times New Roman" w:cs="Times New Roman"/>
          <w:sz w:val="24"/>
          <w:szCs w:val="24"/>
          <w:lang w:val="uk-UA"/>
        </w:rPr>
        <w:t xml:space="preserve">, яка розподілена бюджету громади </w:t>
      </w:r>
      <w:r w:rsidR="00133E11">
        <w:rPr>
          <w:rFonts w:ascii="Times New Roman" w:hAnsi="Times New Roman" w:cs="Times New Roman"/>
          <w:sz w:val="24"/>
          <w:szCs w:val="24"/>
          <w:lang w:val="uk-UA"/>
        </w:rPr>
        <w:t xml:space="preserve">відповідно до </w:t>
      </w:r>
      <w:r>
        <w:rPr>
          <w:rFonts w:ascii="Times New Roman" w:hAnsi="Times New Roman" w:cs="Times New Roman"/>
          <w:sz w:val="24"/>
          <w:szCs w:val="24"/>
          <w:lang w:val="uk-UA"/>
        </w:rPr>
        <w:t>постанов</w:t>
      </w:r>
      <w:r w:rsidR="00133E11">
        <w:rPr>
          <w:rFonts w:ascii="Times New Roman" w:hAnsi="Times New Roman" w:cs="Times New Roman"/>
          <w:sz w:val="24"/>
          <w:szCs w:val="24"/>
          <w:lang w:val="uk-UA"/>
        </w:rPr>
        <w:t xml:space="preserve">и </w:t>
      </w:r>
      <w:r w:rsidR="00133E11" w:rsidRPr="008D16E0">
        <w:rPr>
          <w:rFonts w:ascii="Times New Roman" w:hAnsi="Times New Roman" w:cs="Times New Roman"/>
          <w:sz w:val="24"/>
          <w:szCs w:val="24"/>
          <w:lang w:val="uk-UA"/>
        </w:rPr>
        <w:t>Кабінету Міністрів України від</w:t>
      </w:r>
      <w:r w:rsidR="00133E11">
        <w:rPr>
          <w:rFonts w:ascii="Times New Roman" w:hAnsi="Times New Roman" w:cs="Times New Roman"/>
          <w:sz w:val="24"/>
          <w:szCs w:val="24"/>
          <w:lang w:val="uk-UA"/>
        </w:rPr>
        <w:t xml:space="preserve">                          </w:t>
      </w:r>
      <w:r w:rsidR="00133E11" w:rsidRPr="008D16E0">
        <w:rPr>
          <w:rFonts w:ascii="Times New Roman" w:hAnsi="Times New Roman" w:cs="Times New Roman"/>
          <w:sz w:val="24"/>
          <w:szCs w:val="24"/>
          <w:lang w:val="uk-UA"/>
        </w:rPr>
        <w:t>5 грудня 2024 року</w:t>
      </w:r>
      <w:r w:rsidR="00133E11">
        <w:rPr>
          <w:rFonts w:ascii="Times New Roman" w:hAnsi="Times New Roman" w:cs="Times New Roman"/>
          <w:sz w:val="24"/>
          <w:szCs w:val="24"/>
          <w:lang w:val="uk-UA"/>
        </w:rPr>
        <w:t xml:space="preserve"> </w:t>
      </w:r>
      <w:r w:rsidR="00133E11" w:rsidRPr="008D16E0">
        <w:rPr>
          <w:rFonts w:ascii="Times New Roman" w:hAnsi="Times New Roman" w:cs="Times New Roman"/>
          <w:sz w:val="24"/>
          <w:szCs w:val="24"/>
          <w:lang w:val="uk-UA"/>
        </w:rPr>
        <w:t>№ 1394 «Деякі питання розподілу освітньої субвенції на 2025 рік»</w:t>
      </w:r>
      <w:r w:rsidR="00133E11">
        <w:rPr>
          <w:rFonts w:ascii="Times New Roman" w:hAnsi="Times New Roman" w:cs="Times New Roman"/>
          <w:sz w:val="24"/>
          <w:szCs w:val="24"/>
          <w:lang w:val="uk-UA"/>
        </w:rPr>
        <w:t xml:space="preserve">. </w:t>
      </w:r>
    </w:p>
    <w:p w14:paraId="045E9C64" w14:textId="1049F687" w:rsidR="000B04B1" w:rsidRPr="007620A2" w:rsidRDefault="000B04B1" w:rsidP="000B04B1">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В порівнянні з показником 2024 року</w:t>
      </w:r>
      <w:r w:rsidR="003621B6">
        <w:rPr>
          <w:rFonts w:ascii="Times New Roman" w:hAnsi="Times New Roman" w:cs="Times New Roman"/>
          <w:sz w:val="24"/>
          <w:szCs w:val="24"/>
          <w:lang w:val="uk-UA"/>
        </w:rPr>
        <w:t xml:space="preserve">, розподілений обсяг освітньої субвенції на 2025 рік менше на 56 181,4 млн грн, в зв’язку з тим, що така субвенція на 2025 рік розподілена лише на січень – серпень 2025 року. </w:t>
      </w:r>
    </w:p>
    <w:p w14:paraId="3CA263BF" w14:textId="77777777" w:rsidR="000B04B1" w:rsidRPr="007620A2" w:rsidRDefault="000B04B1" w:rsidP="000B04B1">
      <w:pPr>
        <w:spacing w:after="0" w:line="240" w:lineRule="auto"/>
        <w:ind w:firstLine="142"/>
        <w:jc w:val="both"/>
        <w:rPr>
          <w:rFonts w:ascii="Times New Roman" w:hAnsi="Times New Roman" w:cs="Times New Roman"/>
          <w:sz w:val="24"/>
          <w:szCs w:val="24"/>
          <w:lang w:val="uk-UA"/>
        </w:rPr>
      </w:pPr>
      <w:r w:rsidRPr="007620A2">
        <w:rPr>
          <w:rFonts w:ascii="Times New Roman" w:hAnsi="Times New Roman" w:cs="Times New Roman"/>
          <w:noProof/>
          <w:sz w:val="24"/>
          <w:szCs w:val="24"/>
          <w:lang w:eastAsia="ru-RU"/>
        </w:rPr>
        <w:drawing>
          <wp:inline distT="0" distB="0" distL="0" distR="0" wp14:anchorId="2B3C3203" wp14:editId="6CD842BF">
            <wp:extent cx="6301740" cy="2733675"/>
            <wp:effectExtent l="0" t="0" r="3810" b="9525"/>
            <wp:docPr id="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CD971CD" w14:textId="77777777" w:rsidR="000B04B1" w:rsidRDefault="000B04B1" w:rsidP="000B04B1">
      <w:pPr>
        <w:spacing w:after="0"/>
        <w:ind w:left="710"/>
        <w:jc w:val="center"/>
        <w:rPr>
          <w:rFonts w:ascii="Times New Roman" w:hAnsi="Times New Roman" w:cs="Times New Roman"/>
          <w:b/>
          <w:sz w:val="28"/>
          <w:szCs w:val="28"/>
          <w:lang w:val="uk-UA"/>
        </w:rPr>
      </w:pPr>
    </w:p>
    <w:p w14:paraId="00835C1C" w14:textId="77777777" w:rsidR="003621B6" w:rsidRDefault="003621B6" w:rsidP="000B04B1">
      <w:pPr>
        <w:spacing w:after="0"/>
        <w:ind w:left="710"/>
        <w:jc w:val="center"/>
        <w:rPr>
          <w:rFonts w:ascii="Times New Roman" w:hAnsi="Times New Roman" w:cs="Times New Roman"/>
          <w:b/>
          <w:sz w:val="28"/>
          <w:szCs w:val="28"/>
          <w:lang w:val="uk-UA"/>
        </w:rPr>
      </w:pPr>
    </w:p>
    <w:p w14:paraId="1737B814" w14:textId="77777777" w:rsidR="00911366" w:rsidRPr="007620A2" w:rsidRDefault="00911366" w:rsidP="000B04B1">
      <w:pPr>
        <w:spacing w:after="0"/>
        <w:ind w:left="710"/>
        <w:jc w:val="center"/>
        <w:rPr>
          <w:rFonts w:ascii="Times New Roman" w:hAnsi="Times New Roman" w:cs="Times New Roman"/>
          <w:b/>
          <w:sz w:val="28"/>
          <w:szCs w:val="28"/>
          <w:lang w:val="uk-UA"/>
        </w:rPr>
      </w:pPr>
    </w:p>
    <w:p w14:paraId="0D752C1F" w14:textId="77777777" w:rsidR="000B04B1" w:rsidRPr="007620A2" w:rsidRDefault="000B04B1" w:rsidP="000B04B1">
      <w:pPr>
        <w:pStyle w:val="a4"/>
        <w:numPr>
          <w:ilvl w:val="0"/>
          <w:numId w:val="27"/>
        </w:numPr>
        <w:spacing w:after="0"/>
        <w:jc w:val="center"/>
        <w:rPr>
          <w:rFonts w:ascii="Times New Roman" w:hAnsi="Times New Roman" w:cs="Times New Roman"/>
          <w:b/>
          <w:sz w:val="28"/>
          <w:szCs w:val="28"/>
          <w:lang w:val="uk-UA"/>
        </w:rPr>
      </w:pPr>
      <w:r w:rsidRPr="007620A2">
        <w:rPr>
          <w:rFonts w:ascii="Times New Roman" w:hAnsi="Times New Roman" w:cs="Times New Roman"/>
          <w:b/>
          <w:sz w:val="28"/>
          <w:szCs w:val="28"/>
          <w:lang w:val="uk-UA"/>
        </w:rPr>
        <w:t>Реверсна дотація</w:t>
      </w:r>
    </w:p>
    <w:p w14:paraId="632A5124" w14:textId="3DAFD4D1" w:rsidR="000B04B1" w:rsidRPr="007620A2" w:rsidRDefault="004E6F0C" w:rsidP="000B04B1">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додатку 5</w:t>
      </w:r>
      <w:r w:rsidR="000B04B1" w:rsidRPr="007620A2">
        <w:rPr>
          <w:rFonts w:ascii="Times New Roman" w:hAnsi="Times New Roman" w:cs="Times New Roman"/>
          <w:sz w:val="24"/>
          <w:szCs w:val="24"/>
          <w:lang w:val="uk-UA"/>
        </w:rPr>
        <w:t xml:space="preserve"> до  Закону України «Про Державний бюджет України на 2025 рік» обсяг реверсної дотації </w:t>
      </w:r>
      <w:r>
        <w:rPr>
          <w:rFonts w:ascii="Times New Roman" w:hAnsi="Times New Roman" w:cs="Times New Roman"/>
          <w:sz w:val="24"/>
          <w:szCs w:val="24"/>
          <w:lang w:val="uk-UA"/>
        </w:rPr>
        <w:t xml:space="preserve"> бюджету </w:t>
      </w:r>
      <w:r w:rsidR="000B04B1" w:rsidRPr="007620A2">
        <w:rPr>
          <w:rFonts w:ascii="Times New Roman" w:hAnsi="Times New Roman" w:cs="Times New Roman"/>
          <w:sz w:val="24"/>
          <w:szCs w:val="24"/>
          <w:lang w:val="uk-UA"/>
        </w:rPr>
        <w:t>Чорноморськ</w:t>
      </w:r>
      <w:r>
        <w:rPr>
          <w:rFonts w:ascii="Times New Roman" w:hAnsi="Times New Roman" w:cs="Times New Roman"/>
          <w:sz w:val="24"/>
          <w:szCs w:val="24"/>
          <w:lang w:val="uk-UA"/>
        </w:rPr>
        <w:t xml:space="preserve">ої МТГ </w:t>
      </w:r>
      <w:r w:rsidR="000B04B1" w:rsidRPr="007620A2">
        <w:rPr>
          <w:rFonts w:ascii="Times New Roman" w:hAnsi="Times New Roman" w:cs="Times New Roman"/>
          <w:sz w:val="24"/>
          <w:szCs w:val="24"/>
          <w:lang w:val="uk-UA"/>
        </w:rPr>
        <w:t xml:space="preserve"> на 2025 рік визначено  </w:t>
      </w:r>
      <w:r>
        <w:rPr>
          <w:rFonts w:ascii="Times New Roman" w:hAnsi="Times New Roman" w:cs="Times New Roman"/>
          <w:sz w:val="24"/>
          <w:szCs w:val="24"/>
          <w:lang w:val="uk-UA"/>
        </w:rPr>
        <w:t xml:space="preserve">у сумі </w:t>
      </w:r>
      <w:r w:rsidR="000B04B1" w:rsidRPr="007620A2">
        <w:rPr>
          <w:rFonts w:ascii="Times New Roman" w:hAnsi="Times New Roman" w:cs="Times New Roman"/>
          <w:sz w:val="24"/>
          <w:szCs w:val="24"/>
          <w:lang w:val="uk-UA"/>
        </w:rPr>
        <w:t>63</w:t>
      </w:r>
      <w:r w:rsidR="00A44EFC">
        <w:rPr>
          <w:rFonts w:ascii="Times New Roman" w:hAnsi="Times New Roman" w:cs="Times New Roman"/>
          <w:sz w:val="24"/>
          <w:szCs w:val="24"/>
          <w:lang w:val="uk-UA"/>
        </w:rPr>
        <w:t> </w:t>
      </w:r>
      <w:r w:rsidR="000B04B1" w:rsidRPr="007620A2">
        <w:rPr>
          <w:rFonts w:ascii="Times New Roman" w:hAnsi="Times New Roman" w:cs="Times New Roman"/>
          <w:sz w:val="24"/>
          <w:szCs w:val="24"/>
          <w:lang w:val="uk-UA"/>
        </w:rPr>
        <w:t>874</w:t>
      </w:r>
      <w:r w:rsidR="00A44EFC">
        <w:rPr>
          <w:rFonts w:ascii="Times New Roman" w:hAnsi="Times New Roman" w:cs="Times New Roman"/>
          <w:sz w:val="24"/>
          <w:szCs w:val="24"/>
          <w:lang w:val="uk-UA"/>
        </w:rPr>
        <w:t>,</w:t>
      </w:r>
      <w:r w:rsidR="000B04B1" w:rsidRPr="007620A2">
        <w:rPr>
          <w:rFonts w:ascii="Times New Roman" w:hAnsi="Times New Roman" w:cs="Times New Roman"/>
          <w:sz w:val="24"/>
          <w:szCs w:val="24"/>
          <w:lang w:val="uk-UA"/>
        </w:rPr>
        <w:t>8</w:t>
      </w:r>
      <w:r w:rsidR="00A44EFC">
        <w:rPr>
          <w:rFonts w:ascii="Times New Roman" w:hAnsi="Times New Roman" w:cs="Times New Roman"/>
          <w:sz w:val="24"/>
          <w:szCs w:val="24"/>
          <w:lang w:val="uk-UA"/>
        </w:rPr>
        <w:t xml:space="preserve"> тис.</w:t>
      </w:r>
      <w:r w:rsidR="000B04B1" w:rsidRPr="007620A2">
        <w:rPr>
          <w:rFonts w:ascii="Times New Roman" w:hAnsi="Times New Roman" w:cs="Times New Roman"/>
          <w:sz w:val="24"/>
          <w:szCs w:val="24"/>
          <w:lang w:val="uk-UA"/>
        </w:rPr>
        <w:t xml:space="preserve"> грн.</w:t>
      </w:r>
    </w:p>
    <w:p w14:paraId="6977AE8A" w14:textId="018949F0" w:rsidR="000B04B1" w:rsidRPr="007620A2" w:rsidRDefault="000B04B1" w:rsidP="000B04B1">
      <w:pPr>
        <w:spacing w:after="0" w:line="240" w:lineRule="auto"/>
        <w:ind w:firstLine="567"/>
        <w:jc w:val="both"/>
        <w:rPr>
          <w:rFonts w:ascii="Times New Roman" w:hAnsi="Times New Roman" w:cs="Times New Roman"/>
          <w:color w:val="000000"/>
          <w:sz w:val="24"/>
          <w:szCs w:val="24"/>
          <w:shd w:val="clear" w:color="auto" w:fill="FFFFFF"/>
          <w:lang w:val="uk-UA"/>
        </w:rPr>
      </w:pPr>
      <w:r w:rsidRPr="007620A2">
        <w:rPr>
          <w:rFonts w:ascii="Times New Roman" w:hAnsi="Times New Roman" w:cs="Times New Roman"/>
          <w:color w:val="000000"/>
          <w:sz w:val="24"/>
          <w:szCs w:val="24"/>
          <w:shd w:val="clear" w:color="auto" w:fill="FFFFFF"/>
          <w:lang w:val="uk-UA"/>
        </w:rPr>
        <w:t xml:space="preserve">За розрахунками Міністерства фінансів України до проєкту Закону України «Про Державний бюджет України на 2025 рік» для бюджету Чорноморської </w:t>
      </w:r>
      <w:r w:rsidR="004E6F0C">
        <w:rPr>
          <w:rFonts w:ascii="Times New Roman" w:hAnsi="Times New Roman" w:cs="Times New Roman"/>
          <w:color w:val="000000"/>
          <w:sz w:val="24"/>
          <w:szCs w:val="24"/>
          <w:shd w:val="clear" w:color="auto" w:fill="FFFFFF"/>
          <w:lang w:val="uk-UA"/>
        </w:rPr>
        <w:t>М</w:t>
      </w:r>
      <w:r w:rsidRPr="007620A2">
        <w:rPr>
          <w:rFonts w:ascii="Times New Roman" w:hAnsi="Times New Roman" w:cs="Times New Roman"/>
          <w:color w:val="000000"/>
          <w:sz w:val="24"/>
          <w:szCs w:val="24"/>
          <w:shd w:val="clear" w:color="auto" w:fill="FFFFFF"/>
          <w:lang w:val="uk-UA"/>
        </w:rPr>
        <w:t>ТГ індекс податкоспроможності становить 1,4.</w:t>
      </w:r>
    </w:p>
    <w:p w14:paraId="2F6FC385" w14:textId="77777777" w:rsidR="000B04B1" w:rsidRPr="007620A2" w:rsidRDefault="000B04B1" w:rsidP="000B04B1">
      <w:pPr>
        <w:spacing w:line="240" w:lineRule="auto"/>
        <w:ind w:firstLine="567"/>
        <w:jc w:val="both"/>
        <w:rPr>
          <w:rFonts w:ascii="Times New Roman" w:hAnsi="Times New Roman" w:cs="Times New Roman"/>
          <w:color w:val="000000"/>
          <w:sz w:val="24"/>
          <w:szCs w:val="24"/>
          <w:shd w:val="clear" w:color="auto" w:fill="FFFFFF"/>
          <w:lang w:val="uk-UA"/>
        </w:rPr>
      </w:pPr>
    </w:p>
    <w:p w14:paraId="0DF3264A" w14:textId="77777777" w:rsidR="000B04B1" w:rsidRPr="007620A2" w:rsidRDefault="000B04B1" w:rsidP="000B04B1">
      <w:pPr>
        <w:spacing w:line="240" w:lineRule="auto"/>
        <w:contextualSpacing/>
        <w:jc w:val="both"/>
        <w:rPr>
          <w:rFonts w:ascii="Times New Roman" w:hAnsi="Times New Roman" w:cs="Times New Roman"/>
          <w:sz w:val="24"/>
          <w:szCs w:val="24"/>
          <w:lang w:val="uk-UA"/>
        </w:rPr>
      </w:pPr>
      <w:r w:rsidRPr="007620A2">
        <w:rPr>
          <w:rFonts w:ascii="Times New Roman" w:hAnsi="Times New Roman" w:cs="Times New Roman"/>
          <w:noProof/>
          <w:sz w:val="24"/>
          <w:szCs w:val="24"/>
          <w:lang w:eastAsia="ru-RU"/>
        </w:rPr>
        <w:drawing>
          <wp:inline distT="0" distB="0" distL="0" distR="0" wp14:anchorId="18F34037" wp14:editId="588E8B6C">
            <wp:extent cx="6446520" cy="1885950"/>
            <wp:effectExtent l="0" t="0" r="11430" b="0"/>
            <wp:docPr id="2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410A88B" w14:textId="77777777" w:rsidR="000B04B1" w:rsidRPr="007620A2" w:rsidRDefault="000B04B1" w:rsidP="000B04B1">
      <w:pPr>
        <w:tabs>
          <w:tab w:val="left" w:pos="-5245"/>
          <w:tab w:val="left" w:pos="142"/>
          <w:tab w:val="left" w:pos="426"/>
          <w:tab w:val="left" w:pos="567"/>
          <w:tab w:val="left" w:pos="709"/>
          <w:tab w:val="left" w:pos="851"/>
        </w:tabs>
        <w:spacing w:after="0" w:line="240" w:lineRule="auto"/>
        <w:ind w:right="-2" w:firstLine="567"/>
        <w:jc w:val="center"/>
        <w:rPr>
          <w:rFonts w:ascii="Times New Roman" w:hAnsi="Times New Roman" w:cs="Times New Roman"/>
          <w:b/>
          <w:sz w:val="20"/>
          <w:szCs w:val="20"/>
          <w:lang w:val="uk-UA" w:eastAsia="uk-UA"/>
        </w:rPr>
      </w:pPr>
    </w:p>
    <w:p w14:paraId="4DBFC132" w14:textId="57F97A50" w:rsidR="008A22EE" w:rsidRPr="007620A2" w:rsidRDefault="000B12B3" w:rsidP="008A22EE">
      <w:pPr>
        <w:tabs>
          <w:tab w:val="left" w:pos="-5245"/>
          <w:tab w:val="left" w:pos="142"/>
          <w:tab w:val="left" w:pos="426"/>
          <w:tab w:val="left" w:pos="567"/>
          <w:tab w:val="left" w:pos="709"/>
          <w:tab w:val="left" w:pos="851"/>
        </w:tabs>
        <w:spacing w:after="0" w:line="240" w:lineRule="auto"/>
        <w:ind w:right="-2" w:firstLine="567"/>
        <w:jc w:val="center"/>
        <w:rPr>
          <w:rFonts w:ascii="Times New Roman" w:hAnsi="Times New Roman" w:cs="Times New Roman"/>
          <w:b/>
          <w:sz w:val="28"/>
          <w:szCs w:val="28"/>
          <w:lang w:val="uk-UA" w:eastAsia="uk-UA"/>
        </w:rPr>
      </w:pPr>
      <w:r w:rsidRPr="007620A2">
        <w:rPr>
          <w:rFonts w:ascii="Times New Roman" w:hAnsi="Times New Roman" w:cs="Times New Roman"/>
          <w:b/>
          <w:sz w:val="28"/>
          <w:szCs w:val="28"/>
          <w:lang w:val="uk-UA" w:eastAsia="uk-UA"/>
        </w:rPr>
        <w:t>8</w:t>
      </w:r>
      <w:r w:rsidR="008A22EE" w:rsidRPr="007620A2">
        <w:rPr>
          <w:rFonts w:ascii="Times New Roman" w:hAnsi="Times New Roman" w:cs="Times New Roman"/>
          <w:b/>
          <w:sz w:val="28"/>
          <w:szCs w:val="28"/>
          <w:lang w:val="uk-UA" w:eastAsia="uk-UA"/>
        </w:rPr>
        <w:t>. Пояснення до основних положень проєкту рішення Чорноморської міської ради Одеського району Одеської області «Про бюджет Чорноморської місько</w:t>
      </w:r>
      <w:r w:rsidR="00932865" w:rsidRPr="007620A2">
        <w:rPr>
          <w:rFonts w:ascii="Times New Roman" w:hAnsi="Times New Roman" w:cs="Times New Roman"/>
          <w:b/>
          <w:sz w:val="28"/>
          <w:szCs w:val="28"/>
          <w:lang w:val="uk-UA" w:eastAsia="uk-UA"/>
        </w:rPr>
        <w:t>ї територіальної громади на 2025</w:t>
      </w:r>
      <w:r w:rsidR="008A22EE" w:rsidRPr="007620A2">
        <w:rPr>
          <w:rFonts w:ascii="Times New Roman" w:hAnsi="Times New Roman" w:cs="Times New Roman"/>
          <w:b/>
          <w:sz w:val="28"/>
          <w:szCs w:val="28"/>
          <w:lang w:val="uk-UA" w:eastAsia="uk-UA"/>
        </w:rPr>
        <w:t xml:space="preserve"> рік» за видатками </w:t>
      </w:r>
    </w:p>
    <w:p w14:paraId="50636D82" w14:textId="77777777" w:rsidR="008A22EE" w:rsidRPr="007620A2" w:rsidRDefault="008A22EE" w:rsidP="008A22EE">
      <w:pPr>
        <w:tabs>
          <w:tab w:val="left" w:pos="-5245"/>
          <w:tab w:val="left" w:pos="142"/>
          <w:tab w:val="left" w:pos="426"/>
          <w:tab w:val="left" w:pos="567"/>
          <w:tab w:val="left" w:pos="709"/>
          <w:tab w:val="left" w:pos="851"/>
        </w:tabs>
        <w:spacing w:after="0" w:line="240" w:lineRule="auto"/>
        <w:ind w:right="-2" w:firstLine="567"/>
        <w:jc w:val="center"/>
        <w:rPr>
          <w:rFonts w:ascii="Times New Roman" w:hAnsi="Times New Roman" w:cs="Times New Roman"/>
          <w:b/>
          <w:i/>
          <w:sz w:val="24"/>
          <w:szCs w:val="24"/>
          <w:lang w:val="uk-UA" w:eastAsia="uk-UA"/>
        </w:rPr>
      </w:pPr>
      <w:r w:rsidRPr="007620A2">
        <w:rPr>
          <w:rFonts w:ascii="Times New Roman" w:hAnsi="Times New Roman" w:cs="Times New Roman"/>
          <w:i/>
          <w:sz w:val="24"/>
          <w:szCs w:val="24"/>
          <w:lang w:val="uk-UA"/>
        </w:rPr>
        <w:t>(підпункт  в пункту частини першої статті 76 Бюджетного кодексу України)</w:t>
      </w:r>
    </w:p>
    <w:p w14:paraId="1D8D0571" w14:textId="77777777" w:rsidR="00485D18" w:rsidRDefault="00485D18" w:rsidP="008A22EE">
      <w:pPr>
        <w:pStyle w:val="af0"/>
        <w:tabs>
          <w:tab w:val="left" w:pos="993"/>
        </w:tabs>
        <w:spacing w:before="0" w:beforeAutospacing="0" w:after="0" w:afterAutospacing="0"/>
        <w:ind w:firstLine="567"/>
        <w:jc w:val="both"/>
        <w:rPr>
          <w:b/>
          <w:lang w:val="uk-UA"/>
        </w:rPr>
      </w:pPr>
    </w:p>
    <w:p w14:paraId="1E8ACA98" w14:textId="476C25A3" w:rsidR="008A22EE" w:rsidRDefault="008A22EE" w:rsidP="008A22EE">
      <w:pPr>
        <w:pStyle w:val="af0"/>
        <w:tabs>
          <w:tab w:val="left" w:pos="993"/>
        </w:tabs>
        <w:spacing w:before="0" w:beforeAutospacing="0" w:after="0" w:afterAutospacing="0"/>
        <w:ind w:firstLine="567"/>
        <w:jc w:val="both"/>
        <w:rPr>
          <w:b/>
          <w:lang w:val="uk-UA"/>
        </w:rPr>
      </w:pPr>
      <w:r w:rsidRPr="007620A2">
        <w:rPr>
          <w:b/>
          <w:lang w:val="uk-UA"/>
        </w:rPr>
        <w:t xml:space="preserve">Загальний обсяг видатків бюджету Чорноморської </w:t>
      </w:r>
      <w:r w:rsidR="00485D18">
        <w:rPr>
          <w:b/>
          <w:lang w:val="uk-UA"/>
        </w:rPr>
        <w:t xml:space="preserve">МТГ </w:t>
      </w:r>
      <w:r w:rsidR="00932865" w:rsidRPr="007620A2">
        <w:rPr>
          <w:b/>
          <w:lang w:val="uk-UA"/>
        </w:rPr>
        <w:t>на 2025</w:t>
      </w:r>
      <w:r w:rsidRPr="007620A2">
        <w:rPr>
          <w:b/>
          <w:lang w:val="uk-UA"/>
        </w:rPr>
        <w:t xml:space="preserve"> рік розраховано у сумі </w:t>
      </w:r>
      <w:r w:rsidR="00932865" w:rsidRPr="007620A2">
        <w:rPr>
          <w:b/>
          <w:lang w:val="uk-UA"/>
        </w:rPr>
        <w:t xml:space="preserve">1 156 909,8 </w:t>
      </w:r>
      <w:r w:rsidRPr="007620A2">
        <w:rPr>
          <w:b/>
          <w:lang w:val="uk-UA"/>
        </w:rPr>
        <w:t xml:space="preserve">тис. грн, у тому числі обсяг видатків загального фонду бюджету – </w:t>
      </w:r>
      <w:r w:rsidR="00932865" w:rsidRPr="007620A2">
        <w:rPr>
          <w:b/>
          <w:lang w:val="uk-UA"/>
        </w:rPr>
        <w:t>1 13</w:t>
      </w:r>
      <w:r w:rsidR="00485D18">
        <w:rPr>
          <w:b/>
          <w:lang w:val="uk-UA"/>
        </w:rPr>
        <w:t>4</w:t>
      </w:r>
      <w:r w:rsidR="00932865" w:rsidRPr="007620A2">
        <w:rPr>
          <w:b/>
          <w:lang w:val="uk-UA"/>
        </w:rPr>
        <w:t> 389,5</w:t>
      </w:r>
      <w:r w:rsidRPr="007620A2">
        <w:rPr>
          <w:b/>
          <w:lang w:val="uk-UA"/>
        </w:rPr>
        <w:t xml:space="preserve"> тис. грн та видатків спеціального фонду –  </w:t>
      </w:r>
      <w:r w:rsidR="008C39A1">
        <w:rPr>
          <w:b/>
          <w:lang w:val="uk-UA"/>
        </w:rPr>
        <w:t>22</w:t>
      </w:r>
      <w:r w:rsidR="00932865" w:rsidRPr="007620A2">
        <w:rPr>
          <w:b/>
          <w:lang w:val="uk-UA"/>
        </w:rPr>
        <w:t> 520,3</w:t>
      </w:r>
      <w:r w:rsidRPr="007620A2">
        <w:rPr>
          <w:b/>
          <w:lang w:val="uk-UA"/>
        </w:rPr>
        <w:t xml:space="preserve"> тис. гривень.</w:t>
      </w:r>
    </w:p>
    <w:p w14:paraId="1AECB00A" w14:textId="77777777" w:rsidR="008C39A1" w:rsidRPr="007620A2" w:rsidRDefault="008C39A1" w:rsidP="008A22EE">
      <w:pPr>
        <w:pStyle w:val="af0"/>
        <w:tabs>
          <w:tab w:val="left" w:pos="993"/>
        </w:tabs>
        <w:spacing w:before="0" w:beforeAutospacing="0" w:after="0" w:afterAutospacing="0"/>
        <w:ind w:firstLine="567"/>
        <w:jc w:val="both"/>
        <w:rPr>
          <w:b/>
          <w:lang w:val="uk-UA"/>
        </w:rPr>
      </w:pPr>
    </w:p>
    <w:p w14:paraId="4D8AF858" w14:textId="77777777" w:rsidR="008A22EE" w:rsidRPr="007620A2" w:rsidRDefault="008A22EE" w:rsidP="008A22EE">
      <w:pPr>
        <w:tabs>
          <w:tab w:val="num" w:pos="0"/>
          <w:tab w:val="num" w:pos="1287"/>
          <w:tab w:val="num" w:pos="1579"/>
        </w:tabs>
        <w:spacing w:after="0" w:line="240" w:lineRule="auto"/>
        <w:ind w:right="-5"/>
        <w:jc w:val="both"/>
        <w:rPr>
          <w:rFonts w:ascii="Times New Roman" w:hAnsi="Times New Roman" w:cs="Times New Roman"/>
          <w:sz w:val="24"/>
          <w:szCs w:val="24"/>
          <w:lang w:val="uk-UA"/>
          <w14:textFill>
            <w14:gradFill>
              <w14:gsLst>
                <w14:gs w14:pos="0">
                  <w14:schemeClr w14:val="accent2">
                    <w14:lumMod w14:val="67000"/>
                  </w14:schemeClr>
                </w14:gs>
                <w14:gs w14:pos="48000">
                  <w14:schemeClr w14:val="accent2">
                    <w14:lumMod w14:val="97000"/>
                    <w14:lumOff w14:val="3000"/>
                  </w14:schemeClr>
                </w14:gs>
                <w14:gs w14:pos="100000">
                  <w14:schemeClr w14:val="accent2">
                    <w14:lumMod w14:val="60000"/>
                    <w14:lumOff w14:val="40000"/>
                  </w14:schemeClr>
                </w14:gs>
              </w14:gsLst>
              <w14:lin w14:ang="16200000" w14:scaled="0"/>
            </w14:gradFill>
          </w14:textFill>
        </w:rPr>
      </w:pPr>
      <w:r w:rsidRPr="007620A2">
        <w:rPr>
          <w:rFonts w:ascii="Times New Roman" w:hAnsi="Times New Roman" w:cs="Times New Roman"/>
          <w:noProof/>
          <w:sz w:val="24"/>
          <w:szCs w:val="24"/>
          <w:lang w:eastAsia="ru-RU"/>
        </w:rPr>
        <w:drawing>
          <wp:inline distT="0" distB="0" distL="0" distR="0" wp14:anchorId="7AF3C4B7" wp14:editId="785BFB3E">
            <wp:extent cx="6370320" cy="3314700"/>
            <wp:effectExtent l="0" t="0" r="11430" b="0"/>
            <wp:docPr id="22"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7661A9D" w14:textId="77777777" w:rsidR="008A22EE" w:rsidRPr="007620A2" w:rsidRDefault="008A22EE" w:rsidP="008A22EE">
      <w:pPr>
        <w:tabs>
          <w:tab w:val="num" w:pos="0"/>
          <w:tab w:val="num" w:pos="1287"/>
          <w:tab w:val="num" w:pos="1579"/>
        </w:tabs>
        <w:spacing w:after="0" w:line="240" w:lineRule="auto"/>
        <w:ind w:right="-5" w:firstLine="567"/>
        <w:jc w:val="both"/>
        <w:rPr>
          <w:rFonts w:ascii="Times New Roman" w:hAnsi="Times New Roman" w:cs="Times New Roman"/>
          <w:sz w:val="24"/>
          <w:szCs w:val="24"/>
          <w:lang w:val="uk-UA"/>
        </w:rPr>
      </w:pPr>
    </w:p>
    <w:p w14:paraId="052A3099" w14:textId="77777777" w:rsidR="008C39A1" w:rsidRDefault="008C39A1" w:rsidP="008A22EE">
      <w:pPr>
        <w:spacing w:after="0" w:line="240" w:lineRule="auto"/>
        <w:ind w:right="-6" w:firstLine="567"/>
        <w:contextualSpacing/>
        <w:jc w:val="both"/>
        <w:rPr>
          <w:rFonts w:ascii="Times New Roman" w:hAnsi="Times New Roman" w:cs="Times New Roman"/>
          <w:sz w:val="24"/>
          <w:szCs w:val="24"/>
          <w:lang w:val="uk-UA"/>
        </w:rPr>
      </w:pPr>
    </w:p>
    <w:p w14:paraId="560435E6" w14:textId="77777777" w:rsidR="008A22EE" w:rsidRPr="007620A2" w:rsidRDefault="008A22EE" w:rsidP="008A22EE">
      <w:pPr>
        <w:spacing w:after="0" w:line="240" w:lineRule="auto"/>
        <w:ind w:right="-6" w:firstLine="567"/>
        <w:contextualSpacing/>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Джерела, за рахунок яких сформовані видатки спеціального фонду бюджету громади:</w:t>
      </w:r>
    </w:p>
    <w:p w14:paraId="7A94892D" w14:textId="77777777" w:rsidR="008A22EE" w:rsidRPr="007620A2" w:rsidRDefault="008A22EE" w:rsidP="008A22EE">
      <w:pPr>
        <w:spacing w:after="0" w:line="240" w:lineRule="auto"/>
        <w:ind w:right="-6" w:firstLine="567"/>
        <w:contextualSpacing/>
        <w:jc w:val="both"/>
        <w:rPr>
          <w:rFonts w:ascii="Times New Roman" w:hAnsi="Times New Roman" w:cs="Times New Roman"/>
          <w:i/>
          <w:sz w:val="24"/>
          <w:szCs w:val="24"/>
          <w:lang w:val="uk-UA"/>
        </w:rPr>
      </w:pPr>
      <w:r w:rsidRPr="007620A2">
        <w:rPr>
          <w:rFonts w:ascii="Times New Roman" w:hAnsi="Times New Roman" w:cs="Times New Roman"/>
          <w:sz w:val="24"/>
          <w:szCs w:val="24"/>
          <w:lang w:val="uk-UA"/>
        </w:rPr>
        <w:t xml:space="preserve">- </w:t>
      </w:r>
      <w:r w:rsidRPr="007620A2">
        <w:rPr>
          <w:rFonts w:ascii="Times New Roman" w:hAnsi="Times New Roman" w:cs="Times New Roman"/>
          <w:i/>
          <w:sz w:val="24"/>
          <w:szCs w:val="24"/>
          <w:lang w:val="uk-UA"/>
        </w:rPr>
        <w:t>власні надходже</w:t>
      </w:r>
      <w:r w:rsidR="00932865" w:rsidRPr="007620A2">
        <w:rPr>
          <w:rFonts w:ascii="Times New Roman" w:hAnsi="Times New Roman" w:cs="Times New Roman"/>
          <w:i/>
          <w:sz w:val="24"/>
          <w:szCs w:val="24"/>
          <w:lang w:val="uk-UA"/>
        </w:rPr>
        <w:t>ння бюджетних установ – 11 450,3</w:t>
      </w:r>
      <w:r w:rsidRPr="007620A2">
        <w:rPr>
          <w:rFonts w:ascii="Times New Roman" w:hAnsi="Times New Roman" w:cs="Times New Roman"/>
          <w:i/>
          <w:sz w:val="24"/>
          <w:szCs w:val="24"/>
          <w:lang w:val="uk-UA"/>
        </w:rPr>
        <w:t xml:space="preserve"> тис. грн;</w:t>
      </w:r>
    </w:p>
    <w:p w14:paraId="2F5F6E46" w14:textId="1D92D6DE" w:rsidR="008A22EE" w:rsidRDefault="008A22EE" w:rsidP="008A22EE">
      <w:pPr>
        <w:spacing w:after="0" w:line="240" w:lineRule="auto"/>
        <w:ind w:right="-6" w:firstLine="567"/>
        <w:contextualSpacing/>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 xml:space="preserve">- надходження до бюджету розвитку – </w:t>
      </w:r>
      <w:r w:rsidR="00932865" w:rsidRPr="007620A2">
        <w:rPr>
          <w:rFonts w:ascii="Times New Roman" w:hAnsi="Times New Roman" w:cs="Times New Roman"/>
          <w:i/>
          <w:sz w:val="24"/>
          <w:szCs w:val="24"/>
          <w:lang w:val="uk-UA"/>
        </w:rPr>
        <w:t>170,0</w:t>
      </w:r>
      <w:r w:rsidRPr="007620A2">
        <w:rPr>
          <w:rFonts w:ascii="Times New Roman" w:hAnsi="Times New Roman" w:cs="Times New Roman"/>
          <w:i/>
          <w:sz w:val="24"/>
          <w:szCs w:val="24"/>
          <w:lang w:val="uk-UA"/>
        </w:rPr>
        <w:t xml:space="preserve"> тис. грн;</w:t>
      </w:r>
    </w:p>
    <w:p w14:paraId="4148D72C" w14:textId="0FFA4543" w:rsidR="00A44EFC" w:rsidRPr="007620A2" w:rsidRDefault="00A44EFC" w:rsidP="008A22EE">
      <w:pPr>
        <w:spacing w:after="0" w:line="240" w:lineRule="auto"/>
        <w:ind w:right="-6" w:firstLine="567"/>
        <w:contextualSpacing/>
        <w:jc w:val="both"/>
        <w:rPr>
          <w:rFonts w:ascii="Times New Roman" w:hAnsi="Times New Roman" w:cs="Times New Roman"/>
          <w:i/>
          <w:sz w:val="24"/>
          <w:szCs w:val="24"/>
          <w:lang w:val="uk-UA"/>
        </w:rPr>
      </w:pPr>
      <w:r>
        <w:rPr>
          <w:rFonts w:ascii="Times New Roman" w:hAnsi="Times New Roman" w:cs="Times New Roman"/>
          <w:i/>
          <w:sz w:val="24"/>
          <w:szCs w:val="24"/>
          <w:lang w:val="uk-UA"/>
        </w:rPr>
        <w:t>- передача коштів загального фонду до бюджету розвитку – 9 000,0 тис.</w:t>
      </w:r>
      <w:r w:rsidR="008C39A1">
        <w:rPr>
          <w:rFonts w:ascii="Times New Roman" w:hAnsi="Times New Roman" w:cs="Times New Roman"/>
          <w:i/>
          <w:sz w:val="24"/>
          <w:szCs w:val="24"/>
          <w:lang w:val="uk-UA"/>
        </w:rPr>
        <w:t xml:space="preserve"> </w:t>
      </w:r>
      <w:r>
        <w:rPr>
          <w:rFonts w:ascii="Times New Roman" w:hAnsi="Times New Roman" w:cs="Times New Roman"/>
          <w:i/>
          <w:sz w:val="24"/>
          <w:szCs w:val="24"/>
          <w:lang w:val="uk-UA"/>
        </w:rPr>
        <w:t>грн;</w:t>
      </w:r>
    </w:p>
    <w:p w14:paraId="1D0A5681" w14:textId="11C8A473" w:rsidR="008A22EE" w:rsidRPr="007620A2" w:rsidRDefault="008A22EE" w:rsidP="008A22EE">
      <w:pPr>
        <w:tabs>
          <w:tab w:val="num" w:pos="0"/>
          <w:tab w:val="num" w:pos="1287"/>
          <w:tab w:val="num" w:pos="1579"/>
        </w:tabs>
        <w:spacing w:after="0" w:line="240" w:lineRule="auto"/>
        <w:ind w:right="-6" w:firstLine="567"/>
        <w:contextualSpacing/>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 надходження до фонду охорони навколишньо</w:t>
      </w:r>
      <w:r w:rsidR="00932865" w:rsidRPr="007620A2">
        <w:rPr>
          <w:rFonts w:ascii="Times New Roman" w:hAnsi="Times New Roman" w:cs="Times New Roman"/>
          <w:i/>
          <w:sz w:val="24"/>
          <w:szCs w:val="24"/>
          <w:lang w:val="uk-UA"/>
        </w:rPr>
        <w:t>го природного середовища – 900,0</w:t>
      </w:r>
      <w:r w:rsidR="000B04B1" w:rsidRPr="007620A2">
        <w:rPr>
          <w:rFonts w:ascii="Times New Roman" w:hAnsi="Times New Roman" w:cs="Times New Roman"/>
          <w:i/>
          <w:sz w:val="24"/>
          <w:szCs w:val="24"/>
          <w:lang w:val="uk-UA"/>
        </w:rPr>
        <w:t> тис. </w:t>
      </w:r>
      <w:r w:rsidRPr="007620A2">
        <w:rPr>
          <w:rFonts w:ascii="Times New Roman" w:hAnsi="Times New Roman" w:cs="Times New Roman"/>
          <w:i/>
          <w:sz w:val="24"/>
          <w:szCs w:val="24"/>
          <w:lang w:val="uk-UA"/>
        </w:rPr>
        <w:t xml:space="preserve">грн. </w:t>
      </w:r>
    </w:p>
    <w:p w14:paraId="1A693DF1" w14:textId="77777777" w:rsidR="00A44EFC" w:rsidRDefault="00A44EFC" w:rsidP="008A22EE">
      <w:pPr>
        <w:tabs>
          <w:tab w:val="num" w:pos="0"/>
          <w:tab w:val="num" w:pos="1287"/>
          <w:tab w:val="num" w:pos="1579"/>
        </w:tabs>
        <w:spacing w:after="0" w:line="240" w:lineRule="auto"/>
        <w:ind w:right="-5" w:firstLine="567"/>
        <w:jc w:val="both"/>
        <w:rPr>
          <w:rFonts w:ascii="Times New Roman" w:hAnsi="Times New Roman" w:cs="Times New Roman"/>
          <w:sz w:val="24"/>
          <w:szCs w:val="24"/>
          <w:lang w:val="uk-UA" w:eastAsia="uk-UA"/>
        </w:rPr>
      </w:pPr>
    </w:p>
    <w:p w14:paraId="30A565CF" w14:textId="529F0294" w:rsidR="008A22EE" w:rsidRPr="007620A2" w:rsidRDefault="008A22EE" w:rsidP="008A22EE">
      <w:pPr>
        <w:tabs>
          <w:tab w:val="num" w:pos="0"/>
          <w:tab w:val="num" w:pos="1287"/>
          <w:tab w:val="num" w:pos="1579"/>
        </w:tabs>
        <w:spacing w:after="0" w:line="240" w:lineRule="auto"/>
        <w:ind w:right="-5" w:firstLine="567"/>
        <w:jc w:val="both"/>
        <w:rPr>
          <w:rFonts w:ascii="Times New Roman" w:hAnsi="Times New Roman" w:cs="Times New Roman"/>
          <w:sz w:val="24"/>
          <w:szCs w:val="24"/>
          <w:lang w:val="uk-UA" w:eastAsia="uk-UA"/>
        </w:rPr>
      </w:pPr>
      <w:r w:rsidRPr="007620A2">
        <w:rPr>
          <w:rFonts w:ascii="Times New Roman" w:hAnsi="Times New Roman" w:cs="Times New Roman"/>
          <w:sz w:val="24"/>
          <w:szCs w:val="24"/>
          <w:lang w:val="uk-UA" w:eastAsia="uk-UA"/>
        </w:rPr>
        <w:t>У порівнянні з плановими показниками бюджету Чорноморської міської територіальної громади на 202</w:t>
      </w:r>
      <w:r w:rsidR="00932865" w:rsidRPr="007620A2">
        <w:rPr>
          <w:rFonts w:ascii="Times New Roman" w:hAnsi="Times New Roman" w:cs="Times New Roman"/>
          <w:sz w:val="24"/>
          <w:szCs w:val="24"/>
          <w:lang w:val="uk-UA" w:eastAsia="uk-UA"/>
        </w:rPr>
        <w:t>4</w:t>
      </w:r>
      <w:r w:rsidRPr="007620A2">
        <w:rPr>
          <w:rFonts w:ascii="Times New Roman" w:hAnsi="Times New Roman" w:cs="Times New Roman"/>
          <w:sz w:val="24"/>
          <w:szCs w:val="24"/>
          <w:lang w:val="uk-UA" w:eastAsia="uk-UA"/>
        </w:rPr>
        <w:t xml:space="preserve"> рік (з урахуванням змін </w:t>
      </w:r>
      <w:r w:rsidR="004C5481">
        <w:rPr>
          <w:rFonts w:ascii="Times New Roman" w:hAnsi="Times New Roman" w:cs="Times New Roman"/>
          <w:sz w:val="24"/>
          <w:szCs w:val="24"/>
          <w:lang w:val="uk-UA" w:eastAsia="uk-UA"/>
        </w:rPr>
        <w:t>на 01.12.</w:t>
      </w:r>
      <w:r w:rsidR="006C7AD3">
        <w:rPr>
          <w:rFonts w:ascii="Times New Roman" w:hAnsi="Times New Roman" w:cs="Times New Roman"/>
          <w:sz w:val="24"/>
          <w:szCs w:val="24"/>
          <w:lang w:val="uk-UA" w:eastAsia="uk-UA"/>
        </w:rPr>
        <w:t>20</w:t>
      </w:r>
      <w:r w:rsidR="004C5481">
        <w:rPr>
          <w:rFonts w:ascii="Times New Roman" w:hAnsi="Times New Roman" w:cs="Times New Roman"/>
          <w:sz w:val="24"/>
          <w:szCs w:val="24"/>
          <w:lang w:val="uk-UA" w:eastAsia="uk-UA"/>
        </w:rPr>
        <w:t xml:space="preserve">24р. </w:t>
      </w:r>
      <w:r w:rsidRPr="007620A2">
        <w:rPr>
          <w:rFonts w:ascii="Times New Roman" w:hAnsi="Times New Roman" w:cs="Times New Roman"/>
          <w:sz w:val="24"/>
          <w:szCs w:val="24"/>
          <w:lang w:val="uk-UA" w:eastAsia="uk-UA"/>
        </w:rPr>
        <w:t xml:space="preserve">– </w:t>
      </w:r>
      <w:r w:rsidR="00932865" w:rsidRPr="007620A2">
        <w:rPr>
          <w:rFonts w:ascii="Times New Roman" w:hAnsi="Times New Roman"/>
          <w:sz w:val="24"/>
          <w:szCs w:val="24"/>
          <w:lang w:val="uk-UA"/>
        </w:rPr>
        <w:t>1 </w:t>
      </w:r>
      <w:r w:rsidR="004C5481">
        <w:rPr>
          <w:rFonts w:ascii="Times New Roman" w:hAnsi="Times New Roman"/>
          <w:sz w:val="24"/>
          <w:szCs w:val="24"/>
          <w:lang w:val="uk-UA"/>
        </w:rPr>
        <w:t>408 064,1</w:t>
      </w:r>
      <w:r w:rsidRPr="007620A2">
        <w:rPr>
          <w:rFonts w:ascii="Times New Roman" w:hAnsi="Times New Roman"/>
          <w:sz w:val="24"/>
          <w:szCs w:val="24"/>
          <w:lang w:val="uk-UA"/>
        </w:rPr>
        <w:t xml:space="preserve"> тис. </w:t>
      </w:r>
      <w:r w:rsidRPr="007620A2">
        <w:rPr>
          <w:rFonts w:ascii="Times New Roman" w:hAnsi="Times New Roman" w:cs="Times New Roman"/>
          <w:sz w:val="24"/>
          <w:szCs w:val="24"/>
          <w:lang w:val="uk-UA" w:eastAsia="uk-UA"/>
        </w:rPr>
        <w:t>грн) видатки проєкту бюджету Чорноморської місько</w:t>
      </w:r>
      <w:r w:rsidR="00932865" w:rsidRPr="007620A2">
        <w:rPr>
          <w:rFonts w:ascii="Times New Roman" w:hAnsi="Times New Roman" w:cs="Times New Roman"/>
          <w:sz w:val="24"/>
          <w:szCs w:val="24"/>
          <w:lang w:val="uk-UA" w:eastAsia="uk-UA"/>
        </w:rPr>
        <w:t>ї територіальної громади на 2025</w:t>
      </w:r>
      <w:r w:rsidRPr="007620A2">
        <w:rPr>
          <w:rFonts w:ascii="Times New Roman" w:hAnsi="Times New Roman" w:cs="Times New Roman"/>
          <w:sz w:val="24"/>
          <w:szCs w:val="24"/>
          <w:lang w:val="uk-UA" w:eastAsia="uk-UA"/>
        </w:rPr>
        <w:t xml:space="preserve"> рік зменшуються на </w:t>
      </w:r>
      <w:r w:rsidR="004C5481">
        <w:rPr>
          <w:rFonts w:ascii="Times New Roman" w:hAnsi="Times New Roman" w:cs="Times New Roman"/>
          <w:sz w:val="24"/>
          <w:szCs w:val="24"/>
          <w:lang w:val="uk-UA" w:eastAsia="uk-UA"/>
        </w:rPr>
        <w:t>251 154,3</w:t>
      </w:r>
      <w:r w:rsidR="00932865" w:rsidRPr="007620A2">
        <w:rPr>
          <w:rFonts w:ascii="Times New Roman" w:hAnsi="Times New Roman" w:cs="Times New Roman"/>
          <w:sz w:val="24"/>
          <w:szCs w:val="24"/>
          <w:lang w:val="uk-UA" w:eastAsia="uk-UA"/>
        </w:rPr>
        <w:t> тис. </w:t>
      </w:r>
      <w:r w:rsidRPr="007620A2">
        <w:rPr>
          <w:rFonts w:ascii="Times New Roman" w:hAnsi="Times New Roman" w:cs="Times New Roman"/>
          <w:sz w:val="24"/>
          <w:szCs w:val="24"/>
          <w:lang w:val="uk-UA" w:eastAsia="uk-UA"/>
        </w:rPr>
        <w:t>грн</w:t>
      </w:r>
      <w:r w:rsidR="004C5481">
        <w:rPr>
          <w:rFonts w:ascii="Times New Roman" w:hAnsi="Times New Roman" w:cs="Times New Roman"/>
          <w:sz w:val="24"/>
          <w:szCs w:val="24"/>
          <w:lang w:val="uk-UA" w:eastAsia="uk-UA"/>
        </w:rPr>
        <w:t xml:space="preserve"> або на 17,8%</w:t>
      </w:r>
      <w:r w:rsidRPr="007620A2">
        <w:rPr>
          <w:rFonts w:ascii="Times New Roman" w:hAnsi="Times New Roman" w:cs="Times New Roman"/>
          <w:sz w:val="24"/>
          <w:szCs w:val="24"/>
          <w:lang w:val="uk-UA" w:eastAsia="uk-UA"/>
        </w:rPr>
        <w:t xml:space="preserve">. </w:t>
      </w:r>
    </w:p>
    <w:p w14:paraId="543F92F6" w14:textId="3932C6B3" w:rsidR="008A22EE" w:rsidRPr="007620A2" w:rsidRDefault="008A22EE" w:rsidP="008A22EE">
      <w:pPr>
        <w:spacing w:after="0" w:line="240" w:lineRule="auto"/>
        <w:ind w:right="-6" w:firstLine="567"/>
        <w:contextualSpacing/>
        <w:jc w:val="both"/>
        <w:rPr>
          <w:rFonts w:ascii="Times New Roman" w:hAnsi="Times New Roman" w:cs="Times New Roman"/>
          <w:sz w:val="24"/>
          <w:szCs w:val="24"/>
          <w:lang w:val="uk-UA" w:eastAsia="uk-UA"/>
        </w:rPr>
      </w:pPr>
      <w:r w:rsidRPr="007620A2">
        <w:rPr>
          <w:rFonts w:ascii="Times New Roman" w:hAnsi="Times New Roman" w:cs="Times New Roman"/>
          <w:sz w:val="24"/>
          <w:szCs w:val="24"/>
          <w:lang w:val="uk-UA" w:eastAsia="uk-UA"/>
        </w:rPr>
        <w:t>Основними прич</w:t>
      </w:r>
      <w:r w:rsidR="00932865" w:rsidRPr="007620A2">
        <w:rPr>
          <w:rFonts w:ascii="Times New Roman" w:hAnsi="Times New Roman" w:cs="Times New Roman"/>
          <w:sz w:val="24"/>
          <w:szCs w:val="24"/>
          <w:lang w:val="uk-UA" w:eastAsia="uk-UA"/>
        </w:rPr>
        <w:t>инами зменшення видатків на 2025</w:t>
      </w:r>
      <w:r w:rsidRPr="007620A2">
        <w:rPr>
          <w:rFonts w:ascii="Times New Roman" w:hAnsi="Times New Roman" w:cs="Times New Roman"/>
          <w:sz w:val="24"/>
          <w:szCs w:val="24"/>
          <w:lang w:val="uk-UA" w:eastAsia="uk-UA"/>
        </w:rPr>
        <w:t xml:space="preserve"> рік у порівнянні з видатками, визначеними у бюджеті Чорноморської місько</w:t>
      </w:r>
      <w:r w:rsidR="00932865" w:rsidRPr="007620A2">
        <w:rPr>
          <w:rFonts w:ascii="Times New Roman" w:hAnsi="Times New Roman" w:cs="Times New Roman"/>
          <w:sz w:val="24"/>
          <w:szCs w:val="24"/>
          <w:lang w:val="uk-UA" w:eastAsia="uk-UA"/>
        </w:rPr>
        <w:t>ї територіальної громади на 2024</w:t>
      </w:r>
      <w:r w:rsidRPr="007620A2">
        <w:rPr>
          <w:rFonts w:ascii="Times New Roman" w:hAnsi="Times New Roman" w:cs="Times New Roman"/>
          <w:sz w:val="24"/>
          <w:szCs w:val="24"/>
          <w:lang w:val="uk-UA" w:eastAsia="uk-UA"/>
        </w:rPr>
        <w:t xml:space="preserve"> рік, зокрема, є відсутність видатків, які визначені у бюджеті Чорноморської міської територіальної громади на 202</w:t>
      </w:r>
      <w:r w:rsidR="00932865" w:rsidRPr="007620A2">
        <w:rPr>
          <w:rFonts w:ascii="Times New Roman" w:hAnsi="Times New Roman" w:cs="Times New Roman"/>
          <w:sz w:val="24"/>
          <w:szCs w:val="24"/>
          <w:lang w:val="uk-UA" w:eastAsia="uk-UA"/>
        </w:rPr>
        <w:t>4</w:t>
      </w:r>
      <w:r w:rsidRPr="007620A2">
        <w:rPr>
          <w:rFonts w:ascii="Times New Roman" w:hAnsi="Times New Roman" w:cs="Times New Roman"/>
          <w:sz w:val="24"/>
          <w:szCs w:val="24"/>
          <w:lang w:val="uk-UA" w:eastAsia="uk-UA"/>
        </w:rPr>
        <w:t xml:space="preserve"> рік за рахунок залишків коштів, які утворились станом на 01.01.202</w:t>
      </w:r>
      <w:r w:rsidR="00932865" w:rsidRPr="007620A2">
        <w:rPr>
          <w:rFonts w:ascii="Times New Roman" w:hAnsi="Times New Roman" w:cs="Times New Roman"/>
          <w:sz w:val="24"/>
          <w:szCs w:val="24"/>
          <w:lang w:val="uk-UA" w:eastAsia="uk-UA"/>
        </w:rPr>
        <w:t>4</w:t>
      </w:r>
      <w:r w:rsidRPr="007620A2">
        <w:rPr>
          <w:rFonts w:ascii="Times New Roman" w:hAnsi="Times New Roman" w:cs="Times New Roman"/>
          <w:sz w:val="24"/>
          <w:szCs w:val="24"/>
          <w:lang w:val="uk-UA" w:eastAsia="uk-UA"/>
        </w:rPr>
        <w:t xml:space="preserve">р. в сумі </w:t>
      </w:r>
      <w:r w:rsidR="001F3B71" w:rsidRPr="007620A2">
        <w:rPr>
          <w:rFonts w:ascii="Times New Roman" w:hAnsi="Times New Roman" w:cs="Times New Roman"/>
          <w:sz w:val="24"/>
          <w:szCs w:val="24"/>
          <w:lang w:val="uk-UA" w:eastAsia="uk-UA"/>
        </w:rPr>
        <w:t>169,7</w:t>
      </w:r>
      <w:r w:rsidRPr="007620A2">
        <w:rPr>
          <w:rFonts w:ascii="Times New Roman" w:hAnsi="Times New Roman" w:cs="Times New Roman"/>
          <w:sz w:val="24"/>
          <w:szCs w:val="24"/>
          <w:lang w:val="uk-UA" w:eastAsia="uk-UA"/>
        </w:rPr>
        <w:t xml:space="preserve"> млн. грн </w:t>
      </w:r>
      <w:r w:rsidR="001F3B71" w:rsidRPr="007620A2">
        <w:rPr>
          <w:rFonts w:ascii="Times New Roman" w:hAnsi="Times New Roman" w:cs="Times New Roman"/>
          <w:sz w:val="24"/>
          <w:szCs w:val="24"/>
          <w:lang w:val="uk-UA" w:eastAsia="uk-UA"/>
        </w:rPr>
        <w:t>та зменшення доведеного обсягу освітньої субвенції на 56,2 млн.</w:t>
      </w:r>
      <w:r w:rsidR="006C7AD3">
        <w:rPr>
          <w:rFonts w:ascii="Times New Roman" w:hAnsi="Times New Roman" w:cs="Times New Roman"/>
          <w:sz w:val="24"/>
          <w:szCs w:val="24"/>
          <w:lang w:val="uk-UA" w:eastAsia="uk-UA"/>
        </w:rPr>
        <w:t xml:space="preserve"> </w:t>
      </w:r>
      <w:r w:rsidR="001F3B71" w:rsidRPr="007620A2">
        <w:rPr>
          <w:rFonts w:ascii="Times New Roman" w:hAnsi="Times New Roman" w:cs="Times New Roman"/>
          <w:sz w:val="24"/>
          <w:szCs w:val="24"/>
          <w:lang w:val="uk-UA" w:eastAsia="uk-UA"/>
        </w:rPr>
        <w:t>грн.</w:t>
      </w:r>
    </w:p>
    <w:p w14:paraId="25F5BC43" w14:textId="77777777" w:rsidR="008A22EE" w:rsidRPr="007620A2" w:rsidRDefault="001F5524" w:rsidP="008A22EE">
      <w:pPr>
        <w:tabs>
          <w:tab w:val="num" w:pos="0"/>
          <w:tab w:val="num" w:pos="1287"/>
          <w:tab w:val="num" w:pos="1579"/>
        </w:tabs>
        <w:spacing w:after="0" w:line="240" w:lineRule="auto"/>
        <w:ind w:right="-5" w:firstLine="567"/>
        <w:contextualSpacing/>
        <w:jc w:val="both"/>
        <w:rPr>
          <w:rFonts w:ascii="Times New Roman" w:hAnsi="Times New Roman" w:cs="Times New Roman"/>
          <w:b/>
          <w:sz w:val="24"/>
          <w:szCs w:val="24"/>
          <w:lang w:val="uk-UA"/>
        </w:rPr>
      </w:pPr>
      <w:r w:rsidRPr="007620A2">
        <w:rPr>
          <w:rFonts w:ascii="Times New Roman" w:hAnsi="Times New Roman" w:cs="Times New Roman"/>
          <w:sz w:val="24"/>
          <w:szCs w:val="24"/>
          <w:lang w:val="uk-UA"/>
        </w:rPr>
        <w:t>Найбільшу питому вагу 58,7</w:t>
      </w:r>
      <w:r w:rsidR="008A22EE" w:rsidRPr="007620A2">
        <w:rPr>
          <w:rFonts w:ascii="Times New Roman" w:hAnsi="Times New Roman" w:cs="Times New Roman"/>
          <w:sz w:val="24"/>
          <w:szCs w:val="24"/>
          <w:lang w:val="uk-UA"/>
        </w:rPr>
        <w:t xml:space="preserve"> %, або </w:t>
      </w:r>
      <w:r w:rsidR="00E963EE" w:rsidRPr="007620A2">
        <w:rPr>
          <w:rFonts w:ascii="Times New Roman" w:hAnsi="Times New Roman" w:cs="Times New Roman"/>
          <w:sz w:val="24"/>
          <w:szCs w:val="24"/>
          <w:lang w:val="uk-UA"/>
        </w:rPr>
        <w:t>668 500,7</w:t>
      </w:r>
      <w:r w:rsidR="008A22EE" w:rsidRPr="007620A2">
        <w:rPr>
          <w:rFonts w:ascii="Times New Roman" w:hAnsi="Times New Roman" w:cs="Times New Roman"/>
          <w:sz w:val="24"/>
          <w:szCs w:val="24"/>
          <w:lang w:val="uk-UA"/>
        </w:rPr>
        <w:t xml:space="preserve"> тис. грн у розрахованих видатках загального фонду бюджету громади  складають </w:t>
      </w:r>
      <w:r w:rsidR="008A22EE" w:rsidRPr="007620A2">
        <w:rPr>
          <w:rFonts w:ascii="Times New Roman" w:hAnsi="Times New Roman" w:cs="Times New Roman"/>
          <w:b/>
          <w:sz w:val="24"/>
          <w:szCs w:val="24"/>
          <w:lang w:val="uk-UA"/>
        </w:rPr>
        <w:t>захищені видатки на:</w:t>
      </w:r>
    </w:p>
    <w:p w14:paraId="5F442876" w14:textId="38442971" w:rsidR="008A22EE" w:rsidRDefault="008A22EE" w:rsidP="004A2AA3">
      <w:pPr>
        <w:pStyle w:val="a4"/>
        <w:numPr>
          <w:ilvl w:val="0"/>
          <w:numId w:val="13"/>
        </w:numPr>
        <w:tabs>
          <w:tab w:val="num" w:pos="0"/>
          <w:tab w:val="left" w:pos="709"/>
          <w:tab w:val="left" w:pos="851"/>
          <w:tab w:val="num" w:pos="1287"/>
          <w:tab w:val="num" w:pos="1579"/>
        </w:tabs>
        <w:spacing w:after="0" w:line="240" w:lineRule="auto"/>
        <w:ind w:left="0" w:right="-5" w:firstLine="567"/>
        <w:jc w:val="both"/>
        <w:rPr>
          <w:rFonts w:ascii="Times New Roman" w:hAnsi="Times New Roman" w:cs="Times New Roman"/>
          <w:noProof/>
          <w:sz w:val="24"/>
          <w:szCs w:val="24"/>
          <w:lang w:val="uk-UA" w:eastAsia="uk-UA"/>
        </w:rPr>
      </w:pPr>
      <w:r w:rsidRPr="007620A2">
        <w:rPr>
          <w:rFonts w:ascii="Times New Roman" w:hAnsi="Times New Roman" w:cs="Times New Roman"/>
          <w:noProof/>
          <w:sz w:val="24"/>
          <w:szCs w:val="24"/>
          <w:lang w:val="uk-UA" w:eastAsia="uk-UA"/>
        </w:rPr>
        <w:t>оплату праці з нарахуваннями на заробітну плату працівник</w:t>
      </w:r>
      <w:r w:rsidR="006E2590" w:rsidRPr="007620A2">
        <w:rPr>
          <w:rFonts w:ascii="Times New Roman" w:hAnsi="Times New Roman" w:cs="Times New Roman"/>
          <w:noProof/>
          <w:sz w:val="24"/>
          <w:szCs w:val="24"/>
          <w:lang w:val="uk-UA" w:eastAsia="uk-UA"/>
        </w:rPr>
        <w:t>ів бюджетних установ –</w:t>
      </w:r>
      <w:r w:rsidR="004A2AA3">
        <w:rPr>
          <w:rFonts w:ascii="Times New Roman" w:hAnsi="Times New Roman" w:cs="Times New Roman"/>
          <w:noProof/>
          <w:sz w:val="24"/>
          <w:szCs w:val="24"/>
          <w:lang w:val="uk-UA" w:eastAsia="uk-UA"/>
        </w:rPr>
        <w:t xml:space="preserve"> </w:t>
      </w:r>
      <w:r w:rsidR="006E2590" w:rsidRPr="007620A2">
        <w:rPr>
          <w:rFonts w:ascii="Times New Roman" w:hAnsi="Times New Roman" w:cs="Times New Roman"/>
          <w:noProof/>
          <w:sz w:val="24"/>
          <w:szCs w:val="24"/>
          <w:lang w:val="uk-UA" w:eastAsia="uk-UA"/>
        </w:rPr>
        <w:t xml:space="preserve"> </w:t>
      </w:r>
      <w:r w:rsidR="00E963EE" w:rsidRPr="007620A2">
        <w:rPr>
          <w:rFonts w:ascii="Times New Roman" w:hAnsi="Times New Roman" w:cs="Times New Roman"/>
          <w:noProof/>
          <w:sz w:val="24"/>
          <w:szCs w:val="24"/>
          <w:lang w:val="uk-UA" w:eastAsia="uk-UA"/>
        </w:rPr>
        <w:t>53</w:t>
      </w:r>
      <w:r w:rsidR="004C5481">
        <w:rPr>
          <w:rFonts w:ascii="Times New Roman" w:hAnsi="Times New Roman" w:cs="Times New Roman"/>
          <w:noProof/>
          <w:sz w:val="24"/>
          <w:szCs w:val="24"/>
          <w:lang w:val="uk-UA" w:eastAsia="uk-UA"/>
        </w:rPr>
        <w:t>5 881,8</w:t>
      </w:r>
      <w:r w:rsidRPr="007620A2">
        <w:rPr>
          <w:rFonts w:ascii="Times New Roman" w:hAnsi="Times New Roman" w:cs="Times New Roman"/>
          <w:noProof/>
          <w:sz w:val="24"/>
          <w:szCs w:val="24"/>
          <w:lang w:val="uk-UA" w:eastAsia="uk-UA"/>
        </w:rPr>
        <w:t xml:space="preserve"> тис. грн;</w:t>
      </w:r>
    </w:p>
    <w:p w14:paraId="54D113B4" w14:textId="5006B9C5" w:rsidR="008A22EE" w:rsidRPr="004C5481" w:rsidRDefault="004C5481" w:rsidP="004A2AA3">
      <w:pPr>
        <w:pStyle w:val="a4"/>
        <w:numPr>
          <w:ilvl w:val="0"/>
          <w:numId w:val="13"/>
        </w:numPr>
        <w:tabs>
          <w:tab w:val="num" w:pos="0"/>
          <w:tab w:val="left" w:pos="709"/>
          <w:tab w:val="left" w:pos="851"/>
          <w:tab w:val="num" w:pos="1287"/>
          <w:tab w:val="num" w:pos="1579"/>
        </w:tabs>
        <w:spacing w:after="0" w:line="240" w:lineRule="auto"/>
        <w:ind w:right="-5" w:firstLine="567"/>
        <w:jc w:val="both"/>
        <w:rPr>
          <w:rFonts w:ascii="Times New Roman" w:hAnsi="Times New Roman" w:cs="Times New Roman"/>
          <w:noProof/>
          <w:sz w:val="24"/>
          <w:szCs w:val="24"/>
          <w:lang w:val="uk-UA" w:eastAsia="uk-UA"/>
        </w:rPr>
      </w:pPr>
      <w:r w:rsidRPr="004C5481">
        <w:rPr>
          <w:rFonts w:ascii="Times New Roman" w:hAnsi="Times New Roman" w:cs="Times New Roman"/>
          <w:noProof/>
          <w:sz w:val="24"/>
          <w:szCs w:val="24"/>
          <w:lang w:val="uk-UA" w:eastAsia="uk-UA"/>
        </w:rPr>
        <w:t>з</w:t>
      </w:r>
      <w:r w:rsidR="008A22EE" w:rsidRPr="004C5481">
        <w:rPr>
          <w:rFonts w:ascii="Times New Roman" w:hAnsi="Times New Roman" w:cs="Times New Roman"/>
          <w:noProof/>
          <w:sz w:val="24"/>
          <w:szCs w:val="24"/>
          <w:lang w:val="uk-UA" w:eastAsia="uk-UA"/>
        </w:rPr>
        <w:t xml:space="preserve">абезпечення продуктами харчування – </w:t>
      </w:r>
      <w:r w:rsidR="00E963EE" w:rsidRPr="004C5481">
        <w:rPr>
          <w:rFonts w:ascii="Times New Roman" w:hAnsi="Times New Roman" w:cs="Times New Roman"/>
          <w:noProof/>
          <w:sz w:val="24"/>
          <w:szCs w:val="24"/>
          <w:lang w:val="uk-UA" w:eastAsia="uk-UA"/>
        </w:rPr>
        <w:t>33 030,0</w:t>
      </w:r>
      <w:r w:rsidR="008A22EE" w:rsidRPr="004C5481">
        <w:rPr>
          <w:rFonts w:ascii="Times New Roman" w:hAnsi="Times New Roman" w:cs="Times New Roman"/>
          <w:noProof/>
          <w:sz w:val="24"/>
          <w:szCs w:val="24"/>
          <w:lang w:val="uk-UA" w:eastAsia="uk-UA"/>
        </w:rPr>
        <w:t xml:space="preserve"> тис.  грн;</w:t>
      </w:r>
    </w:p>
    <w:p w14:paraId="73EDBC40" w14:textId="77777777" w:rsidR="008A22EE" w:rsidRPr="007620A2" w:rsidRDefault="008A22EE" w:rsidP="004A2AA3">
      <w:pPr>
        <w:pStyle w:val="a4"/>
        <w:numPr>
          <w:ilvl w:val="0"/>
          <w:numId w:val="13"/>
        </w:numPr>
        <w:tabs>
          <w:tab w:val="num" w:pos="0"/>
          <w:tab w:val="left" w:pos="709"/>
          <w:tab w:val="left" w:pos="851"/>
          <w:tab w:val="num" w:pos="1287"/>
          <w:tab w:val="num" w:pos="1579"/>
        </w:tabs>
        <w:spacing w:after="0" w:line="240" w:lineRule="auto"/>
        <w:ind w:right="-5" w:firstLine="567"/>
        <w:jc w:val="both"/>
        <w:rPr>
          <w:rFonts w:ascii="Times New Roman" w:hAnsi="Times New Roman" w:cs="Times New Roman"/>
          <w:noProof/>
          <w:sz w:val="24"/>
          <w:szCs w:val="24"/>
          <w:lang w:val="uk-UA" w:eastAsia="uk-UA"/>
        </w:rPr>
      </w:pPr>
      <w:r w:rsidRPr="007620A2">
        <w:rPr>
          <w:rFonts w:ascii="Times New Roman" w:hAnsi="Times New Roman" w:cs="Times New Roman"/>
          <w:noProof/>
          <w:sz w:val="24"/>
          <w:szCs w:val="24"/>
          <w:lang w:val="uk-UA" w:eastAsia="uk-UA"/>
        </w:rPr>
        <w:t xml:space="preserve">оплату комунальних послуг та енергоносіїв – </w:t>
      </w:r>
      <w:r w:rsidR="00E963EE" w:rsidRPr="007620A2">
        <w:rPr>
          <w:rFonts w:ascii="Times New Roman" w:hAnsi="Times New Roman" w:cs="Times New Roman"/>
          <w:noProof/>
          <w:sz w:val="24"/>
          <w:szCs w:val="24"/>
          <w:lang w:val="uk-UA" w:eastAsia="uk-UA"/>
        </w:rPr>
        <w:t>59 469,5</w:t>
      </w:r>
      <w:r w:rsidRPr="007620A2">
        <w:rPr>
          <w:rFonts w:ascii="Times New Roman" w:hAnsi="Times New Roman" w:cs="Times New Roman"/>
          <w:noProof/>
          <w:sz w:val="24"/>
          <w:szCs w:val="24"/>
          <w:lang w:val="uk-UA" w:eastAsia="uk-UA"/>
        </w:rPr>
        <w:t xml:space="preserve"> тис. грн;</w:t>
      </w:r>
    </w:p>
    <w:p w14:paraId="025BD79E" w14:textId="77777777" w:rsidR="00E963EE" w:rsidRPr="007620A2" w:rsidRDefault="00E963EE" w:rsidP="004A2AA3">
      <w:pPr>
        <w:pStyle w:val="a4"/>
        <w:numPr>
          <w:ilvl w:val="0"/>
          <w:numId w:val="13"/>
        </w:numPr>
        <w:tabs>
          <w:tab w:val="num" w:pos="0"/>
          <w:tab w:val="left" w:pos="709"/>
          <w:tab w:val="left" w:pos="851"/>
          <w:tab w:val="num" w:pos="1287"/>
          <w:tab w:val="num" w:pos="1579"/>
        </w:tabs>
        <w:spacing w:after="0" w:line="240" w:lineRule="auto"/>
        <w:ind w:right="-5" w:firstLine="567"/>
        <w:jc w:val="both"/>
        <w:rPr>
          <w:rFonts w:ascii="Times New Roman" w:hAnsi="Times New Roman" w:cs="Times New Roman"/>
          <w:noProof/>
          <w:sz w:val="24"/>
          <w:szCs w:val="24"/>
          <w:lang w:val="uk-UA" w:eastAsia="uk-UA"/>
        </w:rPr>
      </w:pPr>
      <w:r w:rsidRPr="007620A2">
        <w:rPr>
          <w:rFonts w:ascii="Times New Roman" w:hAnsi="Times New Roman" w:cs="Times New Roman"/>
          <w:noProof/>
          <w:sz w:val="24"/>
          <w:szCs w:val="24"/>
          <w:lang w:val="uk-UA" w:eastAsia="uk-UA"/>
        </w:rPr>
        <w:t>медикаменти та перев’язувальні матеріали – 291,7 тис.грн;</w:t>
      </w:r>
    </w:p>
    <w:p w14:paraId="186B7F53" w14:textId="77777777" w:rsidR="008A22EE" w:rsidRPr="007620A2" w:rsidRDefault="008A22EE" w:rsidP="004A2AA3">
      <w:pPr>
        <w:pStyle w:val="a4"/>
        <w:numPr>
          <w:ilvl w:val="0"/>
          <w:numId w:val="13"/>
        </w:numPr>
        <w:tabs>
          <w:tab w:val="num" w:pos="0"/>
          <w:tab w:val="left" w:pos="709"/>
          <w:tab w:val="left" w:pos="851"/>
          <w:tab w:val="num" w:pos="1287"/>
          <w:tab w:val="num" w:pos="1579"/>
        </w:tabs>
        <w:spacing w:after="0" w:line="240" w:lineRule="auto"/>
        <w:ind w:right="-5" w:firstLine="567"/>
        <w:jc w:val="both"/>
        <w:rPr>
          <w:rFonts w:ascii="Times New Roman" w:hAnsi="Times New Roman" w:cs="Times New Roman"/>
          <w:noProof/>
          <w:sz w:val="24"/>
          <w:szCs w:val="24"/>
          <w:lang w:val="uk-UA" w:eastAsia="uk-UA"/>
        </w:rPr>
      </w:pPr>
      <w:r w:rsidRPr="007620A2">
        <w:rPr>
          <w:rFonts w:ascii="Times New Roman" w:hAnsi="Times New Roman" w:cs="Times New Roman"/>
          <w:noProof/>
          <w:sz w:val="24"/>
          <w:szCs w:val="24"/>
          <w:lang w:val="uk-UA" w:eastAsia="uk-UA"/>
        </w:rPr>
        <w:t xml:space="preserve">поточні трансферти населенню – </w:t>
      </w:r>
      <w:r w:rsidR="00932865" w:rsidRPr="007620A2">
        <w:rPr>
          <w:rFonts w:ascii="Times New Roman" w:hAnsi="Times New Roman" w:cs="Times New Roman"/>
          <w:noProof/>
          <w:sz w:val="24"/>
          <w:szCs w:val="24"/>
          <w:lang w:val="uk-UA" w:eastAsia="uk-UA"/>
        </w:rPr>
        <w:t>37 858,6</w:t>
      </w:r>
      <w:r w:rsidRPr="007620A2">
        <w:rPr>
          <w:rFonts w:ascii="Times New Roman" w:hAnsi="Times New Roman" w:cs="Times New Roman"/>
          <w:noProof/>
          <w:sz w:val="24"/>
          <w:szCs w:val="24"/>
          <w:lang w:val="uk-UA" w:eastAsia="uk-UA"/>
        </w:rPr>
        <w:t xml:space="preserve"> тис. грн.</w:t>
      </w:r>
    </w:p>
    <w:p w14:paraId="79744DB8" w14:textId="77777777" w:rsidR="008A22EE" w:rsidRPr="007620A2" w:rsidRDefault="008A22EE" w:rsidP="004A2AA3">
      <w:pPr>
        <w:tabs>
          <w:tab w:val="num" w:pos="0"/>
          <w:tab w:val="left" w:pos="709"/>
          <w:tab w:val="left" w:pos="851"/>
          <w:tab w:val="num" w:pos="1287"/>
          <w:tab w:val="num" w:pos="1579"/>
        </w:tabs>
        <w:spacing w:after="0" w:line="240" w:lineRule="auto"/>
        <w:ind w:right="-5" w:firstLine="567"/>
        <w:contextualSpacing/>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При розрахунку фонду оплати праці враховано:</w:t>
      </w:r>
    </w:p>
    <w:p w14:paraId="7DD688BF" w14:textId="77777777" w:rsidR="008A22EE" w:rsidRPr="007620A2" w:rsidRDefault="008A22EE" w:rsidP="004A2AA3">
      <w:pPr>
        <w:tabs>
          <w:tab w:val="left" w:pos="709"/>
          <w:tab w:val="left" w:pos="851"/>
        </w:tabs>
        <w:spacing w:after="0" w:line="240" w:lineRule="auto"/>
        <w:ind w:right="-5"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розмір  мінімальної заробітної плати:</w:t>
      </w:r>
    </w:p>
    <w:p w14:paraId="2A48FFCC" w14:textId="77777777" w:rsidR="001F5524" w:rsidRPr="007620A2" w:rsidRDefault="001F5524" w:rsidP="004A2AA3">
      <w:pPr>
        <w:pStyle w:val="a4"/>
        <w:numPr>
          <w:ilvl w:val="0"/>
          <w:numId w:val="21"/>
        </w:numPr>
        <w:tabs>
          <w:tab w:val="left" w:pos="709"/>
          <w:tab w:val="left" w:pos="851"/>
        </w:tabs>
        <w:spacing w:after="0" w:line="240" w:lineRule="auto"/>
        <w:ind w:left="0" w:right="-5"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з 1 січня 2025 року – 8 000 гривень.</w:t>
      </w:r>
    </w:p>
    <w:p w14:paraId="43D6D8AD" w14:textId="0C2DA151" w:rsidR="008A22EE" w:rsidRPr="007620A2" w:rsidRDefault="008A22EE" w:rsidP="004A2AA3">
      <w:pPr>
        <w:tabs>
          <w:tab w:val="left" w:pos="709"/>
          <w:tab w:val="left" w:pos="851"/>
        </w:tabs>
        <w:spacing w:after="0" w:line="240" w:lineRule="auto"/>
        <w:ind w:right="-5" w:firstLine="567"/>
        <w:jc w:val="both"/>
        <w:rPr>
          <w:rFonts w:ascii="Times New Roman" w:hAnsi="Times New Roman" w:cs="Times New Roman"/>
          <w:sz w:val="24"/>
          <w:szCs w:val="24"/>
          <w:lang w:val="uk-UA"/>
        </w:rPr>
      </w:pPr>
      <w:r w:rsidRPr="004C5481">
        <w:rPr>
          <w:rFonts w:ascii="Times New Roman" w:hAnsi="Times New Roman" w:cs="Times New Roman"/>
          <w:sz w:val="24"/>
          <w:szCs w:val="24"/>
          <w:lang w:val="uk-UA"/>
        </w:rPr>
        <w:t>- посадового окладу працівника 1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w:t>
      </w:r>
      <w:r w:rsidR="000B04B1" w:rsidRPr="004C5481">
        <w:rPr>
          <w:rFonts w:ascii="Times New Roman" w:hAnsi="Times New Roman" w:cs="Times New Roman"/>
          <w:sz w:val="24"/>
          <w:szCs w:val="24"/>
          <w:lang w:val="uk-UA"/>
        </w:rPr>
        <w:t>рів України  від 30 серпня 2002 </w:t>
      </w:r>
      <w:r w:rsidRPr="004C5481">
        <w:rPr>
          <w:rFonts w:ascii="Times New Roman" w:hAnsi="Times New Roman" w:cs="Times New Roman"/>
          <w:sz w:val="24"/>
          <w:szCs w:val="24"/>
          <w:lang w:val="uk-UA"/>
        </w:rPr>
        <w:t xml:space="preserve">року </w:t>
      </w:r>
      <w:r w:rsidR="004A2AA3">
        <w:rPr>
          <w:rFonts w:ascii="Times New Roman" w:hAnsi="Times New Roman" w:cs="Times New Roman"/>
          <w:sz w:val="24"/>
          <w:szCs w:val="24"/>
          <w:lang w:val="uk-UA"/>
        </w:rPr>
        <w:t xml:space="preserve">             N 1298 (</w:t>
      </w:r>
      <w:r w:rsidR="00EA06D4">
        <w:rPr>
          <w:rFonts w:ascii="Times New Roman" w:hAnsi="Times New Roman" w:cs="Times New Roman"/>
          <w:sz w:val="24"/>
          <w:szCs w:val="24"/>
          <w:lang w:val="uk-UA"/>
        </w:rPr>
        <w:t>зі</w:t>
      </w:r>
      <w:r w:rsidR="004A2AA3">
        <w:rPr>
          <w:rFonts w:ascii="Times New Roman" w:hAnsi="Times New Roman" w:cs="Times New Roman"/>
          <w:sz w:val="24"/>
          <w:szCs w:val="24"/>
          <w:lang w:val="uk-UA"/>
        </w:rPr>
        <w:t xml:space="preserve"> змінами), </w:t>
      </w:r>
      <w:r w:rsidRPr="007620A2">
        <w:rPr>
          <w:rFonts w:ascii="Times New Roman" w:hAnsi="Times New Roman" w:cs="Times New Roman"/>
          <w:sz w:val="24"/>
          <w:szCs w:val="24"/>
          <w:lang w:val="uk-UA"/>
        </w:rPr>
        <w:t>з 1 січня 202</w:t>
      </w:r>
      <w:r w:rsidR="004C5481">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року – 3 195 грив</w:t>
      </w:r>
      <w:r w:rsidR="00D3695F" w:rsidRPr="007620A2">
        <w:rPr>
          <w:rFonts w:ascii="Times New Roman" w:hAnsi="Times New Roman" w:cs="Times New Roman"/>
          <w:sz w:val="24"/>
          <w:szCs w:val="24"/>
          <w:lang w:val="uk-UA"/>
        </w:rPr>
        <w:t>ень</w:t>
      </w:r>
      <w:r w:rsidR="001F5524" w:rsidRPr="007620A2">
        <w:rPr>
          <w:rFonts w:ascii="Times New Roman" w:hAnsi="Times New Roman" w:cs="Times New Roman"/>
          <w:sz w:val="24"/>
          <w:szCs w:val="24"/>
          <w:lang w:val="uk-UA"/>
        </w:rPr>
        <w:t>.</w:t>
      </w:r>
    </w:p>
    <w:p w14:paraId="405613CD" w14:textId="0F64A66A" w:rsidR="008A22EE" w:rsidRPr="007620A2" w:rsidRDefault="008A22EE" w:rsidP="008A22EE">
      <w:pPr>
        <w:tabs>
          <w:tab w:val="num" w:pos="0"/>
          <w:tab w:val="num" w:pos="1287"/>
          <w:tab w:val="num" w:pos="1579"/>
        </w:tabs>
        <w:spacing w:after="0" w:line="240" w:lineRule="auto"/>
        <w:ind w:right="-5"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Резервний  фонд</w:t>
      </w:r>
      <w:r w:rsidRPr="007620A2">
        <w:rPr>
          <w:rFonts w:ascii="Times New Roman" w:hAnsi="Times New Roman" w:cs="Times New Roman"/>
          <w:sz w:val="24"/>
          <w:szCs w:val="24"/>
          <w:lang w:val="uk-UA"/>
        </w:rPr>
        <w:t xml:space="preserve"> пропо</w:t>
      </w:r>
      <w:r w:rsidR="001F5524" w:rsidRPr="007620A2">
        <w:rPr>
          <w:rFonts w:ascii="Times New Roman" w:hAnsi="Times New Roman" w:cs="Times New Roman"/>
          <w:sz w:val="24"/>
          <w:szCs w:val="24"/>
          <w:lang w:val="uk-UA"/>
        </w:rPr>
        <w:t>нується до затвердження у сумі 10</w:t>
      </w:r>
      <w:r w:rsidRPr="007620A2">
        <w:rPr>
          <w:rFonts w:ascii="Times New Roman" w:hAnsi="Times New Roman" w:cs="Times New Roman"/>
          <w:sz w:val="24"/>
          <w:szCs w:val="24"/>
          <w:lang w:val="uk-UA"/>
        </w:rPr>
        <w:t> 000</w:t>
      </w:r>
      <w:r w:rsidR="00D3695F" w:rsidRPr="007620A2">
        <w:rPr>
          <w:rFonts w:ascii="Times New Roman" w:hAnsi="Times New Roman" w:cs="Times New Roman"/>
          <w:sz w:val="24"/>
          <w:szCs w:val="24"/>
          <w:lang w:val="uk-UA"/>
        </w:rPr>
        <w:t>,</w:t>
      </w:r>
      <w:r w:rsidR="004C5481">
        <w:rPr>
          <w:rFonts w:ascii="Times New Roman" w:hAnsi="Times New Roman" w:cs="Times New Roman"/>
          <w:sz w:val="24"/>
          <w:szCs w:val="24"/>
          <w:lang w:val="uk-UA"/>
        </w:rPr>
        <w:t>0</w:t>
      </w:r>
      <w:r w:rsidR="00D3695F" w:rsidRPr="007620A2">
        <w:rPr>
          <w:rFonts w:ascii="Times New Roman" w:hAnsi="Times New Roman" w:cs="Times New Roman"/>
          <w:sz w:val="24"/>
          <w:szCs w:val="24"/>
          <w:lang w:val="uk-UA"/>
        </w:rPr>
        <w:t xml:space="preserve"> тис.</w:t>
      </w:r>
      <w:r w:rsidR="001F5524" w:rsidRPr="007620A2">
        <w:rPr>
          <w:rFonts w:ascii="Times New Roman" w:hAnsi="Times New Roman" w:cs="Times New Roman"/>
          <w:sz w:val="24"/>
          <w:szCs w:val="24"/>
          <w:lang w:val="uk-UA"/>
        </w:rPr>
        <w:t xml:space="preserve"> гривень, або 0,88</w:t>
      </w:r>
      <w:r w:rsidRPr="007620A2">
        <w:rPr>
          <w:rFonts w:ascii="Times New Roman" w:hAnsi="Times New Roman" w:cs="Times New Roman"/>
          <w:sz w:val="24"/>
          <w:szCs w:val="24"/>
          <w:lang w:val="uk-UA"/>
        </w:rPr>
        <w:t>% видатків загального фонду бюджету громади.</w:t>
      </w:r>
    </w:p>
    <w:p w14:paraId="308AA8D6" w14:textId="77777777" w:rsidR="008A22EE" w:rsidRPr="007620A2" w:rsidRDefault="008A22EE" w:rsidP="008A22EE">
      <w:pPr>
        <w:tabs>
          <w:tab w:val="num" w:pos="0"/>
          <w:tab w:val="num" w:pos="1287"/>
          <w:tab w:val="num" w:pos="1579"/>
        </w:tabs>
        <w:spacing w:after="0" w:line="240" w:lineRule="auto"/>
        <w:ind w:right="-5" w:firstLine="567"/>
        <w:jc w:val="both"/>
        <w:rPr>
          <w:rFonts w:ascii="Times New Roman" w:hAnsi="Times New Roman" w:cs="Times New Roman"/>
          <w:sz w:val="24"/>
          <w:szCs w:val="24"/>
          <w:shd w:val="clear" w:color="auto" w:fill="FFFFFF"/>
          <w:lang w:val="uk-UA"/>
        </w:rPr>
      </w:pPr>
      <w:r w:rsidRPr="007620A2">
        <w:rPr>
          <w:rFonts w:ascii="Times New Roman" w:hAnsi="Times New Roman" w:cs="Times New Roman"/>
          <w:sz w:val="24"/>
          <w:szCs w:val="24"/>
          <w:lang w:val="uk-UA"/>
        </w:rPr>
        <w:t>Відповідно до пункту 3 частини другої статті 22 Бюджетного кодексу України, г</w:t>
      </w:r>
      <w:r w:rsidRPr="007620A2">
        <w:rPr>
          <w:rFonts w:ascii="Times New Roman" w:hAnsi="Times New Roman" w:cs="Times New Roman"/>
          <w:sz w:val="24"/>
          <w:szCs w:val="24"/>
          <w:shd w:val="clear" w:color="auto" w:fill="FFFFFF"/>
          <w:lang w:val="uk-UA"/>
        </w:rPr>
        <w:t>оловними розпорядниками бюджетних коштів можуть бути виключно за бюджетними призначеннями, визначеними іншими рішеннями про місцеві бюджети, - місцеві державні адміністрації, виконавчі органи та апарати місцевих рад (секретаріат Київської міської ради), структурні підрозділи місцевих державних адміністрацій, виконавчих органів місцевих рад в особі їх керівників. </w:t>
      </w:r>
    </w:p>
    <w:p w14:paraId="527BE5F2" w14:textId="77777777" w:rsidR="008A22EE" w:rsidRPr="007620A2" w:rsidRDefault="008A22EE" w:rsidP="008A22EE">
      <w:pPr>
        <w:tabs>
          <w:tab w:val="num" w:pos="0"/>
          <w:tab w:val="num" w:pos="1287"/>
          <w:tab w:val="num" w:pos="1579"/>
        </w:tabs>
        <w:spacing w:after="0" w:line="240" w:lineRule="auto"/>
        <w:ind w:right="-5"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Так, з урахуванням норми Бюджетного кодексу України, на 202</w:t>
      </w:r>
      <w:r w:rsidR="008718E0" w:rsidRPr="007620A2">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бюджетні призначення затверджені </w:t>
      </w:r>
      <w:r w:rsidRPr="004C5481">
        <w:rPr>
          <w:rFonts w:ascii="Times New Roman" w:hAnsi="Times New Roman" w:cs="Times New Roman"/>
          <w:b/>
          <w:bCs/>
          <w:sz w:val="24"/>
          <w:szCs w:val="24"/>
          <w:lang w:val="uk-UA"/>
        </w:rPr>
        <w:t>10 головним розпорядникам бюджетних коштів</w:t>
      </w:r>
      <w:r w:rsidRPr="007620A2">
        <w:rPr>
          <w:rFonts w:ascii="Times New Roman" w:hAnsi="Times New Roman" w:cs="Times New Roman"/>
          <w:sz w:val="24"/>
          <w:szCs w:val="24"/>
          <w:lang w:val="uk-UA"/>
        </w:rPr>
        <w:t>, які є виконавчими органами Чорноморської міської ради Одеського району Одеської області, а саме:</w:t>
      </w:r>
    </w:p>
    <w:p w14:paraId="76314456" w14:textId="77777777" w:rsidR="008A22EE" w:rsidRPr="007620A2" w:rsidRDefault="008A22EE" w:rsidP="008A22EE">
      <w:pPr>
        <w:tabs>
          <w:tab w:val="left" w:pos="709"/>
          <w:tab w:val="left" w:pos="851"/>
        </w:tabs>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1.</w:t>
      </w:r>
      <w:r w:rsidRPr="007620A2">
        <w:rPr>
          <w:rFonts w:ascii="Times New Roman" w:hAnsi="Times New Roman" w:cs="Times New Roman"/>
          <w:sz w:val="24"/>
          <w:szCs w:val="24"/>
          <w:lang w:val="uk-UA"/>
        </w:rPr>
        <w:t xml:space="preserve"> </w:t>
      </w:r>
      <w:r w:rsidRPr="004C5481">
        <w:rPr>
          <w:rFonts w:ascii="Times New Roman" w:hAnsi="Times New Roman" w:cs="Times New Roman"/>
          <w:b/>
          <w:bCs/>
          <w:sz w:val="24"/>
          <w:szCs w:val="24"/>
          <w:lang w:val="uk-UA"/>
        </w:rPr>
        <w:t>Виконавчому комітету</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в мережі якого є:</w:t>
      </w:r>
    </w:p>
    <w:p w14:paraId="5B1785C3"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1) розпорядники нижчого рівня:</w:t>
      </w:r>
    </w:p>
    <w:p w14:paraId="307360AF"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Олександрівська селищна адміністрація Чорноморської міської ради Одеського району Одеської області;</w:t>
      </w:r>
    </w:p>
    <w:p w14:paraId="5550E10E"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Малодолинська сільська адміністрація Чорноморської міської ради Одеського району Одеської області;</w:t>
      </w:r>
    </w:p>
    <w:p w14:paraId="1AD6BADE"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Бурлачобалківська сільська адміністрація Чорноморської міської ради Одеського району Одеської області;</w:t>
      </w:r>
    </w:p>
    <w:p w14:paraId="3ACB95E3" w14:textId="5926B17C"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комунальна установа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Муніципальна варта</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2F420AFE"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2) одержувачі бюджетних коштів:</w:t>
      </w:r>
    </w:p>
    <w:p w14:paraId="13AC90D6" w14:textId="6B385FF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комуна</w:t>
      </w:r>
      <w:r w:rsidR="009A4B5A">
        <w:rPr>
          <w:rFonts w:ascii="Times New Roman" w:hAnsi="Times New Roman" w:cs="Times New Roman"/>
          <w:sz w:val="24"/>
          <w:szCs w:val="24"/>
          <w:lang w:val="uk-UA"/>
        </w:rPr>
        <w:t>льне некомерційне підприємство «</w:t>
      </w:r>
      <w:r w:rsidRPr="007620A2">
        <w:rPr>
          <w:rFonts w:ascii="Times New Roman" w:hAnsi="Times New Roman" w:cs="Times New Roman"/>
          <w:sz w:val="24"/>
          <w:szCs w:val="24"/>
          <w:lang w:val="uk-UA"/>
        </w:rPr>
        <w:t>Чорноморська лікарня</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5E3D1E0F" w14:textId="107528DB" w:rsidR="008A22EE" w:rsidRPr="007620A2" w:rsidRDefault="008A22EE" w:rsidP="008A22EE">
      <w:pPr>
        <w:tabs>
          <w:tab w:val="left" w:pos="709"/>
          <w:tab w:val="left" w:pos="851"/>
          <w:tab w:val="left" w:pos="993"/>
        </w:tabs>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комуна</w:t>
      </w:r>
      <w:r w:rsidR="009A4B5A">
        <w:rPr>
          <w:rFonts w:ascii="Times New Roman" w:hAnsi="Times New Roman" w:cs="Times New Roman"/>
          <w:sz w:val="24"/>
          <w:szCs w:val="24"/>
          <w:lang w:val="uk-UA"/>
        </w:rPr>
        <w:t>льне некомерційне підприємство «</w:t>
      </w:r>
      <w:r w:rsidRPr="007620A2">
        <w:rPr>
          <w:rFonts w:ascii="Times New Roman" w:hAnsi="Times New Roman" w:cs="Times New Roman"/>
          <w:sz w:val="24"/>
          <w:szCs w:val="24"/>
          <w:lang w:val="uk-UA"/>
        </w:rPr>
        <w:t>Стоматологічна</w:t>
      </w:r>
      <w:r w:rsidR="009A4B5A">
        <w:rPr>
          <w:rFonts w:ascii="Times New Roman" w:hAnsi="Times New Roman" w:cs="Times New Roman"/>
          <w:sz w:val="24"/>
          <w:szCs w:val="24"/>
          <w:lang w:val="uk-UA"/>
        </w:rPr>
        <w:t xml:space="preserve"> поліклініка міста Чорноморська»</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69B707C1" w14:textId="44A9D4FD"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комуна</w:t>
      </w:r>
      <w:r w:rsidR="009A4B5A">
        <w:rPr>
          <w:rFonts w:ascii="Times New Roman" w:hAnsi="Times New Roman" w:cs="Times New Roman"/>
          <w:sz w:val="24"/>
          <w:szCs w:val="24"/>
          <w:lang w:val="uk-UA"/>
        </w:rPr>
        <w:t>льне некомерційне підприємство «</w:t>
      </w:r>
      <w:r w:rsidRPr="007620A2">
        <w:rPr>
          <w:rFonts w:ascii="Times New Roman" w:hAnsi="Times New Roman" w:cs="Times New Roman"/>
          <w:sz w:val="24"/>
          <w:szCs w:val="24"/>
          <w:lang w:val="uk-UA"/>
        </w:rPr>
        <w:t>Чорноморський міський центр первинної медико-санітарної допомоги</w:t>
      </w:r>
      <w:r w:rsidR="009A4B5A">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Чорноморської міської ради  Одеського району Одеської області.</w:t>
      </w:r>
    </w:p>
    <w:p w14:paraId="2DB15CF1"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2.</w:t>
      </w:r>
      <w:r w:rsidRPr="007620A2">
        <w:rPr>
          <w:rFonts w:ascii="Times New Roman" w:hAnsi="Times New Roman" w:cs="Times New Roman"/>
          <w:sz w:val="24"/>
          <w:szCs w:val="24"/>
          <w:lang w:val="uk-UA"/>
        </w:rPr>
        <w:t xml:space="preserve"> </w:t>
      </w:r>
      <w:r w:rsidRPr="004C5481">
        <w:rPr>
          <w:rFonts w:ascii="Times New Roman" w:hAnsi="Times New Roman" w:cs="Times New Roman"/>
          <w:b/>
          <w:bCs/>
          <w:sz w:val="24"/>
          <w:szCs w:val="24"/>
          <w:lang w:val="uk-UA"/>
        </w:rPr>
        <w:t>Управлінню освіти</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08475DA0"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3.</w:t>
      </w:r>
      <w:r w:rsidRPr="007620A2">
        <w:rPr>
          <w:rFonts w:ascii="Times New Roman" w:hAnsi="Times New Roman" w:cs="Times New Roman"/>
          <w:sz w:val="24"/>
          <w:szCs w:val="24"/>
          <w:lang w:val="uk-UA"/>
        </w:rPr>
        <w:t xml:space="preserve"> </w:t>
      </w:r>
      <w:r w:rsidRPr="004C5481">
        <w:rPr>
          <w:rFonts w:ascii="Times New Roman" w:hAnsi="Times New Roman" w:cs="Times New Roman"/>
          <w:b/>
          <w:bCs/>
          <w:sz w:val="24"/>
          <w:szCs w:val="24"/>
          <w:lang w:val="uk-UA"/>
        </w:rPr>
        <w:t>Управлінню соціальної політики</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в мережі якого є:</w:t>
      </w:r>
    </w:p>
    <w:p w14:paraId="34DF6EF6"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1) розпорядники нижчого рівня:</w:t>
      </w:r>
    </w:p>
    <w:p w14:paraId="7AB090CE" w14:textId="72C17C70"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комунальна установа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Територіальний центр соціального обслуговування (надання соціальних послуг) Чорноморської міської ради Одеського району Одеської області</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w:t>
      </w:r>
    </w:p>
    <w:p w14:paraId="62B02CF0"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w:t>
      </w:r>
      <w:r w:rsidR="00CC1DF8" w:rsidRPr="007620A2">
        <w:rPr>
          <w:rFonts w:ascii="Times New Roman" w:hAnsi="Times New Roman" w:cs="Times New Roman"/>
          <w:sz w:val="24"/>
          <w:szCs w:val="24"/>
          <w:lang w:val="uk-UA"/>
        </w:rPr>
        <w:t>комунальна установа «Ц</w:t>
      </w:r>
      <w:r w:rsidRPr="007620A2">
        <w:rPr>
          <w:rFonts w:ascii="Times New Roman" w:hAnsi="Times New Roman" w:cs="Times New Roman"/>
          <w:sz w:val="24"/>
          <w:szCs w:val="24"/>
          <w:lang w:val="uk-UA"/>
        </w:rPr>
        <w:t xml:space="preserve">ентр соціальних служб </w:t>
      </w:r>
      <w:r w:rsidR="00CC1DF8" w:rsidRPr="007620A2">
        <w:rPr>
          <w:rFonts w:ascii="Times New Roman" w:hAnsi="Times New Roman" w:cs="Times New Roman"/>
          <w:sz w:val="24"/>
          <w:szCs w:val="24"/>
          <w:lang w:val="uk-UA"/>
        </w:rPr>
        <w:t xml:space="preserve">Чорноморської міської ради </w:t>
      </w:r>
      <w:r w:rsidRPr="007620A2">
        <w:rPr>
          <w:rFonts w:ascii="Times New Roman" w:hAnsi="Times New Roman" w:cs="Times New Roman"/>
          <w:sz w:val="24"/>
          <w:szCs w:val="24"/>
          <w:lang w:val="uk-UA"/>
        </w:rPr>
        <w:t>Одеського району Одеської області</w:t>
      </w:r>
      <w:r w:rsidR="00CC1DF8" w:rsidRPr="007620A2">
        <w:rPr>
          <w:rFonts w:ascii="Times New Roman" w:hAnsi="Times New Roman" w:cs="Times New Roman"/>
          <w:sz w:val="24"/>
          <w:szCs w:val="24"/>
          <w:lang w:val="uk-UA"/>
        </w:rPr>
        <w:t>»</w:t>
      </w:r>
      <w:r w:rsidRPr="007620A2">
        <w:rPr>
          <w:rFonts w:ascii="Times New Roman" w:hAnsi="Times New Roman" w:cs="Times New Roman"/>
          <w:sz w:val="24"/>
          <w:szCs w:val="24"/>
          <w:lang w:val="uk-UA"/>
        </w:rPr>
        <w:t>;</w:t>
      </w:r>
    </w:p>
    <w:p w14:paraId="1BB8E801"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2) одержувач бюджетних коштів:</w:t>
      </w:r>
    </w:p>
    <w:p w14:paraId="1FA928A9" w14:textId="6DC8D37E"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Громадська організація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Сліпих Світло</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w:t>
      </w:r>
    </w:p>
    <w:p w14:paraId="37899B02"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4.</w:t>
      </w:r>
      <w:r w:rsidRPr="007620A2">
        <w:rPr>
          <w:rFonts w:ascii="Times New Roman" w:hAnsi="Times New Roman" w:cs="Times New Roman"/>
          <w:sz w:val="24"/>
          <w:szCs w:val="24"/>
          <w:lang w:val="uk-UA"/>
        </w:rPr>
        <w:t xml:space="preserve"> </w:t>
      </w:r>
      <w:r w:rsidRPr="004C5481">
        <w:rPr>
          <w:rFonts w:ascii="Times New Roman" w:hAnsi="Times New Roman" w:cs="Times New Roman"/>
          <w:b/>
          <w:bCs/>
          <w:sz w:val="24"/>
          <w:szCs w:val="24"/>
          <w:lang w:val="uk-UA"/>
        </w:rPr>
        <w:t>Службі у справах дітей</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350C7DBC"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5.</w:t>
      </w:r>
      <w:r w:rsidRPr="007620A2">
        <w:rPr>
          <w:rFonts w:ascii="Times New Roman" w:hAnsi="Times New Roman" w:cs="Times New Roman"/>
          <w:sz w:val="24"/>
          <w:szCs w:val="24"/>
          <w:lang w:val="uk-UA"/>
        </w:rPr>
        <w:t xml:space="preserve"> </w:t>
      </w:r>
      <w:r w:rsidRPr="004C5481">
        <w:rPr>
          <w:rFonts w:ascii="Times New Roman" w:hAnsi="Times New Roman" w:cs="Times New Roman"/>
          <w:b/>
          <w:bCs/>
          <w:sz w:val="24"/>
          <w:szCs w:val="24"/>
          <w:lang w:val="uk-UA"/>
        </w:rPr>
        <w:t>Відділу культури</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3B405F40"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6.</w:t>
      </w:r>
      <w:r w:rsidRPr="007620A2">
        <w:rPr>
          <w:rFonts w:ascii="Times New Roman" w:hAnsi="Times New Roman" w:cs="Times New Roman"/>
          <w:sz w:val="24"/>
          <w:szCs w:val="24"/>
          <w:lang w:val="uk-UA"/>
        </w:rPr>
        <w:t xml:space="preserve"> </w:t>
      </w:r>
      <w:r w:rsidRPr="004C5481">
        <w:rPr>
          <w:rFonts w:ascii="Times New Roman" w:hAnsi="Times New Roman" w:cs="Times New Roman"/>
          <w:b/>
          <w:bCs/>
          <w:sz w:val="24"/>
          <w:szCs w:val="24"/>
          <w:lang w:val="uk-UA"/>
        </w:rPr>
        <w:t>Відділу молоді та спорту</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в мережі якого є:</w:t>
      </w:r>
    </w:p>
    <w:p w14:paraId="2F92FECE"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1) розпорядник нижчого рівня:</w:t>
      </w:r>
    </w:p>
    <w:p w14:paraId="3545F589" w14:textId="79E75A84" w:rsidR="008A22EE" w:rsidRPr="007620A2" w:rsidRDefault="009A4B5A" w:rsidP="008A22EE">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комунальна установа «</w:t>
      </w:r>
      <w:r w:rsidR="008A22EE" w:rsidRPr="007620A2">
        <w:rPr>
          <w:rFonts w:ascii="Times New Roman" w:hAnsi="Times New Roman" w:cs="Times New Roman"/>
          <w:sz w:val="24"/>
          <w:szCs w:val="24"/>
          <w:lang w:val="uk-UA"/>
        </w:rPr>
        <w:t>Молодіжний центр міста Чорноморська</w:t>
      </w:r>
      <w:r>
        <w:rPr>
          <w:rFonts w:ascii="Times New Roman" w:hAnsi="Times New Roman" w:cs="Times New Roman"/>
          <w:sz w:val="24"/>
          <w:szCs w:val="24"/>
          <w:lang w:val="uk-UA"/>
        </w:rPr>
        <w:t>»</w:t>
      </w:r>
      <w:r w:rsidR="008A22EE"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57E9544C"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7.</w:t>
      </w:r>
      <w:r w:rsidRPr="007620A2">
        <w:rPr>
          <w:rFonts w:ascii="Times New Roman" w:hAnsi="Times New Roman" w:cs="Times New Roman"/>
          <w:sz w:val="24"/>
          <w:szCs w:val="24"/>
          <w:lang w:val="uk-UA"/>
        </w:rPr>
        <w:t xml:space="preserve"> </w:t>
      </w:r>
      <w:r w:rsidRPr="004C5481">
        <w:rPr>
          <w:rFonts w:ascii="Times New Roman" w:hAnsi="Times New Roman" w:cs="Times New Roman"/>
          <w:b/>
          <w:bCs/>
          <w:sz w:val="24"/>
          <w:szCs w:val="24"/>
          <w:lang w:val="uk-UA"/>
        </w:rPr>
        <w:t>Відділу комунального господарства та благоустрою</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в мережі якого є:</w:t>
      </w:r>
    </w:p>
    <w:p w14:paraId="2D53C50C"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1) одержувачі бюджетних коштів:</w:t>
      </w:r>
    </w:p>
    <w:p w14:paraId="01BB243F" w14:textId="114A67E5"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комунальне підприємство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Чорноморськводоканал</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036A31EC" w14:textId="24BB4EF5"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комунальне підприємство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Міське управління житлово-комунального господарства</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1C09E495" w14:textId="3C89712C"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комунальне підприємство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Зеленгосп</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4292FB4A" w14:textId="03FA7CC9"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комунальне підприємство </w:t>
      </w:r>
      <w:r w:rsidR="009A4B5A">
        <w:rPr>
          <w:rFonts w:ascii="Times New Roman" w:hAnsi="Times New Roman" w:cs="Times New Roman"/>
          <w:sz w:val="24"/>
          <w:szCs w:val="24"/>
          <w:lang w:val="uk-UA"/>
        </w:rPr>
        <w:t>«Чорноморськтеплоенерго»</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1BBF284E"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8.</w:t>
      </w:r>
      <w:r w:rsidRPr="007620A2">
        <w:rPr>
          <w:rFonts w:ascii="Times New Roman" w:hAnsi="Times New Roman" w:cs="Times New Roman"/>
          <w:sz w:val="24"/>
          <w:szCs w:val="24"/>
          <w:lang w:val="uk-UA"/>
        </w:rPr>
        <w:t xml:space="preserve"> </w:t>
      </w:r>
      <w:r w:rsidRPr="004C5481">
        <w:rPr>
          <w:rFonts w:ascii="Times New Roman" w:hAnsi="Times New Roman" w:cs="Times New Roman"/>
          <w:b/>
          <w:bCs/>
          <w:sz w:val="24"/>
          <w:szCs w:val="24"/>
          <w:lang w:val="uk-UA"/>
        </w:rPr>
        <w:t>Управлінню капітального будівництва</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w:t>
      </w:r>
    </w:p>
    <w:p w14:paraId="0F79EF09"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9.</w:t>
      </w:r>
      <w:r w:rsidRPr="007620A2">
        <w:rPr>
          <w:rFonts w:ascii="Times New Roman" w:hAnsi="Times New Roman" w:cs="Times New Roman"/>
          <w:sz w:val="24"/>
          <w:szCs w:val="24"/>
          <w:lang w:val="uk-UA"/>
        </w:rPr>
        <w:t xml:space="preserve"> </w:t>
      </w:r>
      <w:r w:rsidRPr="004C5481">
        <w:rPr>
          <w:rFonts w:ascii="Times New Roman" w:hAnsi="Times New Roman" w:cs="Times New Roman"/>
          <w:b/>
          <w:bCs/>
          <w:sz w:val="24"/>
          <w:szCs w:val="24"/>
          <w:lang w:val="uk-UA"/>
        </w:rPr>
        <w:t>Управлінню комунальної власності та земельних відносин</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в мережі якого є:</w:t>
      </w:r>
    </w:p>
    <w:p w14:paraId="53D3F6AC"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1) одержувачі бюджетних коштів:</w:t>
      </w:r>
    </w:p>
    <w:p w14:paraId="05AB0C7D" w14:textId="06026FA1"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комунальне підприємство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Палац спорту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Юність</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0E0ACF63" w14:textId="560225CB"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комунальне підприємство-фірма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Райдуга</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4FC2B060" w14:textId="689D2A12"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комунальне підприємство </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Бюро технічної інвентаризації</w:t>
      </w:r>
      <w:r w:rsidR="009A4B5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7AF5418A"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4C5481">
        <w:rPr>
          <w:rFonts w:ascii="Times New Roman" w:hAnsi="Times New Roman" w:cs="Times New Roman"/>
          <w:b/>
          <w:bCs/>
          <w:sz w:val="24"/>
          <w:szCs w:val="24"/>
          <w:lang w:val="uk-UA"/>
        </w:rPr>
        <w:t>10. Фінансовому управлінню</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p>
    <w:p w14:paraId="1257C12A" w14:textId="77777777" w:rsidR="008A22EE" w:rsidRPr="007620A2" w:rsidRDefault="008A22EE" w:rsidP="008A22EE">
      <w:pPr>
        <w:tabs>
          <w:tab w:val="num" w:pos="0"/>
          <w:tab w:val="num" w:pos="1287"/>
          <w:tab w:val="num" w:pos="1579"/>
        </w:tabs>
        <w:spacing w:after="0" w:line="240" w:lineRule="auto"/>
        <w:ind w:right="-5" w:firstLine="567"/>
        <w:jc w:val="both"/>
        <w:rPr>
          <w:rFonts w:ascii="Times New Roman" w:hAnsi="Times New Roman" w:cs="Times New Roman"/>
          <w:sz w:val="12"/>
          <w:szCs w:val="12"/>
          <w:lang w:val="uk-UA"/>
        </w:rPr>
      </w:pPr>
    </w:p>
    <w:p w14:paraId="4B9A2B8B" w14:textId="77777777" w:rsidR="008A22EE" w:rsidRPr="007620A2" w:rsidRDefault="008A22EE" w:rsidP="008A22EE">
      <w:pPr>
        <w:spacing w:after="0" w:line="240" w:lineRule="auto"/>
        <w:jc w:val="center"/>
        <w:rPr>
          <w:rFonts w:ascii="Times New Roman" w:hAnsi="Times New Roman" w:cs="Times New Roman"/>
          <w:b/>
          <w:sz w:val="24"/>
          <w:szCs w:val="24"/>
          <w:lang w:val="uk-UA"/>
        </w:rPr>
      </w:pPr>
      <w:r w:rsidRPr="007620A2">
        <w:rPr>
          <w:rFonts w:ascii="Times New Roman" w:hAnsi="Times New Roman" w:cs="Times New Roman"/>
          <w:b/>
          <w:sz w:val="24"/>
          <w:szCs w:val="24"/>
          <w:lang w:val="uk-UA"/>
        </w:rPr>
        <w:t xml:space="preserve">ВИКОНАВЧИЙ КОМІТЕТ ЧОРНОМОРСЬКОЇ МІСЬКОЇ РАДИ </w:t>
      </w:r>
    </w:p>
    <w:p w14:paraId="748551AE" w14:textId="77777777" w:rsidR="008A22EE" w:rsidRPr="007620A2" w:rsidRDefault="008A22EE" w:rsidP="008A22EE">
      <w:pPr>
        <w:spacing w:after="0" w:line="240" w:lineRule="auto"/>
        <w:jc w:val="center"/>
        <w:rPr>
          <w:rFonts w:ascii="Times New Roman" w:hAnsi="Times New Roman" w:cs="Times New Roman"/>
          <w:b/>
          <w:sz w:val="24"/>
          <w:szCs w:val="24"/>
          <w:lang w:val="uk-UA"/>
        </w:rPr>
      </w:pPr>
      <w:r w:rsidRPr="007620A2">
        <w:rPr>
          <w:rFonts w:ascii="Times New Roman" w:hAnsi="Times New Roman" w:cs="Times New Roman"/>
          <w:b/>
          <w:sz w:val="24"/>
          <w:szCs w:val="24"/>
          <w:lang w:val="uk-UA"/>
        </w:rPr>
        <w:t>ОДЕСЬКОГО РАЙОНУ ОДЕСЬКОЇ ОБЛАСТІ</w:t>
      </w:r>
    </w:p>
    <w:p w14:paraId="399B666A" w14:textId="77777777" w:rsidR="008A22EE" w:rsidRPr="007620A2" w:rsidRDefault="008A22EE" w:rsidP="008A22EE">
      <w:pPr>
        <w:spacing w:after="0" w:line="240" w:lineRule="auto"/>
        <w:ind w:firstLine="567"/>
        <w:jc w:val="both"/>
        <w:rPr>
          <w:rFonts w:ascii="Times New Roman" w:hAnsi="Times New Roman" w:cs="Times New Roman"/>
          <w:sz w:val="12"/>
          <w:szCs w:val="12"/>
          <w:lang w:val="uk-UA"/>
        </w:rPr>
      </w:pPr>
    </w:p>
    <w:p w14:paraId="19B4C10F" w14:textId="1AAFAB6B" w:rsidR="008A22EE" w:rsidRPr="007620A2" w:rsidRDefault="008A22EE" w:rsidP="005C1884">
      <w:pPr>
        <w:spacing w:after="0" w:line="240" w:lineRule="auto"/>
        <w:ind w:firstLine="567"/>
        <w:jc w:val="both"/>
        <w:rPr>
          <w:rFonts w:ascii="Times New Roman" w:hAnsi="Times New Roman" w:cs="Times New Roman"/>
          <w:b/>
          <w:sz w:val="24"/>
          <w:szCs w:val="24"/>
          <w:lang w:val="uk-UA"/>
        </w:rPr>
      </w:pPr>
      <w:r w:rsidRPr="007620A2">
        <w:rPr>
          <w:rFonts w:ascii="Times New Roman" w:hAnsi="Times New Roman" w:cs="Times New Roman"/>
          <w:sz w:val="24"/>
          <w:szCs w:val="24"/>
          <w:lang w:val="uk-UA"/>
        </w:rPr>
        <w:t xml:space="preserve">В  проєкті  бюджету Чорноморської </w:t>
      </w:r>
      <w:r w:rsidR="00197F91">
        <w:rPr>
          <w:rFonts w:ascii="Times New Roman" w:hAnsi="Times New Roman" w:cs="Times New Roman"/>
          <w:sz w:val="24"/>
          <w:szCs w:val="24"/>
          <w:lang w:val="uk-UA"/>
        </w:rPr>
        <w:t xml:space="preserve">МТГ </w:t>
      </w:r>
      <w:r w:rsidRPr="007620A2">
        <w:rPr>
          <w:rFonts w:ascii="Times New Roman" w:hAnsi="Times New Roman" w:cs="Times New Roman"/>
          <w:sz w:val="24"/>
          <w:szCs w:val="24"/>
          <w:lang w:val="uk-UA"/>
        </w:rPr>
        <w:t xml:space="preserve"> на 202</w:t>
      </w:r>
      <w:r w:rsidR="004E351A" w:rsidRPr="007620A2">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виконавчому комітету Чорноморської міської ради Одеського району Одеської області визначені бюджетні призначення  у сумі </w:t>
      </w:r>
      <w:r w:rsidR="00197F91">
        <w:rPr>
          <w:rFonts w:ascii="Times New Roman" w:hAnsi="Times New Roman" w:cs="Times New Roman"/>
          <w:sz w:val="24"/>
          <w:szCs w:val="24"/>
          <w:lang w:val="uk-UA"/>
        </w:rPr>
        <w:t xml:space="preserve">                  </w:t>
      </w:r>
      <w:r w:rsidR="00C33904" w:rsidRPr="007620A2">
        <w:rPr>
          <w:rFonts w:ascii="Times New Roman" w:hAnsi="Times New Roman" w:cs="Times New Roman"/>
          <w:b/>
          <w:sz w:val="24"/>
          <w:szCs w:val="24"/>
          <w:lang w:val="uk-UA"/>
        </w:rPr>
        <w:t>301 884,0</w:t>
      </w:r>
      <w:r w:rsidRPr="007620A2">
        <w:rPr>
          <w:rFonts w:ascii="Times New Roman" w:hAnsi="Times New Roman" w:cs="Times New Roman"/>
          <w:b/>
          <w:sz w:val="24"/>
          <w:szCs w:val="24"/>
          <w:lang w:val="uk-UA"/>
        </w:rPr>
        <w:t xml:space="preserve"> тис. грн</w:t>
      </w:r>
      <w:r w:rsidRPr="007620A2">
        <w:rPr>
          <w:rFonts w:ascii="Times New Roman" w:hAnsi="Times New Roman" w:cs="Times New Roman"/>
          <w:sz w:val="24"/>
          <w:szCs w:val="24"/>
          <w:lang w:val="uk-UA"/>
        </w:rPr>
        <w:t xml:space="preserve">, із яких за загальним фондом – </w:t>
      </w:r>
      <w:r w:rsidR="00197F91">
        <w:rPr>
          <w:rFonts w:ascii="Times New Roman" w:hAnsi="Times New Roman" w:cs="Times New Roman"/>
          <w:sz w:val="24"/>
          <w:szCs w:val="24"/>
          <w:lang w:val="uk-UA"/>
        </w:rPr>
        <w:t>292</w:t>
      </w:r>
      <w:r w:rsidR="00C33904" w:rsidRPr="007620A2">
        <w:rPr>
          <w:rFonts w:ascii="Times New Roman" w:hAnsi="Times New Roman" w:cs="Times New Roman"/>
          <w:sz w:val="24"/>
          <w:szCs w:val="24"/>
          <w:lang w:val="uk-UA"/>
        </w:rPr>
        <w:t> 696,4</w:t>
      </w:r>
      <w:r w:rsidRPr="007620A2">
        <w:rPr>
          <w:rFonts w:ascii="Times New Roman" w:hAnsi="Times New Roman" w:cs="Times New Roman"/>
          <w:sz w:val="24"/>
          <w:szCs w:val="24"/>
          <w:lang w:val="uk-UA"/>
        </w:rPr>
        <w:t xml:space="preserve"> тис. грн  та спеціальним фондом – </w:t>
      </w:r>
      <w:r w:rsidR="00197F91">
        <w:rPr>
          <w:rFonts w:ascii="Times New Roman" w:hAnsi="Times New Roman" w:cs="Times New Roman"/>
          <w:sz w:val="24"/>
          <w:szCs w:val="24"/>
          <w:lang w:val="uk-UA"/>
        </w:rPr>
        <w:t>9</w:t>
      </w:r>
      <w:r w:rsidR="00C33904" w:rsidRPr="007620A2">
        <w:rPr>
          <w:rFonts w:ascii="Times New Roman" w:hAnsi="Times New Roman" w:cs="Times New Roman"/>
          <w:sz w:val="24"/>
          <w:szCs w:val="24"/>
          <w:lang w:val="uk-UA"/>
        </w:rPr>
        <w:t> 187,6</w:t>
      </w:r>
      <w:r w:rsidRPr="007620A2">
        <w:rPr>
          <w:rFonts w:ascii="Times New Roman" w:hAnsi="Times New Roman" w:cs="Times New Roman"/>
          <w:sz w:val="24"/>
          <w:szCs w:val="24"/>
          <w:lang w:val="uk-UA"/>
        </w:rPr>
        <w:t xml:space="preserve"> тис. гривень.</w:t>
      </w:r>
    </w:p>
    <w:p w14:paraId="465F1A0A" w14:textId="77777777" w:rsidR="008A22EE" w:rsidRPr="007620A2" w:rsidRDefault="008A22EE" w:rsidP="008A22EE">
      <w:pPr>
        <w:spacing w:after="0" w:line="240" w:lineRule="auto"/>
        <w:ind w:firstLine="567"/>
        <w:jc w:val="both"/>
        <w:rPr>
          <w:rFonts w:ascii="Times New Roman" w:hAnsi="Times New Roman" w:cs="Times New Roman"/>
          <w:sz w:val="12"/>
          <w:szCs w:val="12"/>
          <w:lang w:val="uk-UA"/>
        </w:rPr>
      </w:pPr>
    </w:p>
    <w:p w14:paraId="4976D74F"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На забезпечення функціонування виконавчого комітету Чорноморської міської ради Одеського району Одеської області передбачено – </w:t>
      </w:r>
      <w:r w:rsidR="00DB443C" w:rsidRPr="007620A2">
        <w:rPr>
          <w:rFonts w:ascii="Times New Roman" w:hAnsi="Times New Roman" w:cs="Times New Roman"/>
          <w:sz w:val="24"/>
          <w:szCs w:val="24"/>
          <w:lang w:val="uk-UA"/>
        </w:rPr>
        <w:t>112 879,0</w:t>
      </w:r>
      <w:r w:rsidRPr="007620A2">
        <w:rPr>
          <w:rFonts w:ascii="Times New Roman" w:hAnsi="Times New Roman" w:cs="Times New Roman"/>
          <w:sz w:val="24"/>
          <w:szCs w:val="24"/>
          <w:lang w:val="uk-UA"/>
        </w:rPr>
        <w:t xml:space="preserve"> грн, із яких обсяг захищених видатків становить </w:t>
      </w:r>
      <w:r w:rsidR="00F91C41" w:rsidRPr="007620A2">
        <w:rPr>
          <w:rFonts w:ascii="Times New Roman" w:hAnsi="Times New Roman" w:cs="Times New Roman"/>
          <w:sz w:val="24"/>
          <w:szCs w:val="24"/>
          <w:lang w:val="uk-UA"/>
        </w:rPr>
        <w:t>94 944,7</w:t>
      </w:r>
      <w:r w:rsidRPr="007620A2">
        <w:rPr>
          <w:rFonts w:ascii="Times New Roman" w:hAnsi="Times New Roman" w:cs="Times New Roman"/>
          <w:sz w:val="24"/>
          <w:szCs w:val="24"/>
          <w:lang w:val="uk-UA"/>
        </w:rPr>
        <w:t xml:space="preserve"> тис. грн.</w:t>
      </w:r>
    </w:p>
    <w:p w14:paraId="6F2EDE31"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На фінансування Міських програм та заходів, виконавцями яких є управління, відділи, служби та сектори виконавчого комітету Чорноморської міської ради Одеського району Одеської області затверджені бюджетні призначення, зокрема:</w:t>
      </w:r>
    </w:p>
    <w:p w14:paraId="740EFE9A" w14:textId="604FEEFA" w:rsidR="008A22EE" w:rsidRPr="007620A2" w:rsidRDefault="008A22EE" w:rsidP="008A22EE">
      <w:pPr>
        <w:spacing w:after="0" w:line="240" w:lineRule="auto"/>
        <w:ind w:firstLine="567"/>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 xml:space="preserve">- </w:t>
      </w:r>
      <w:r w:rsidR="00304F67" w:rsidRPr="007620A2">
        <w:rPr>
          <w:rFonts w:ascii="Times New Roman" w:hAnsi="Times New Roman" w:cs="Times New Roman"/>
          <w:i/>
          <w:sz w:val="24"/>
          <w:szCs w:val="24"/>
          <w:lang w:val="uk-UA"/>
        </w:rPr>
        <w:t>5</w:t>
      </w:r>
      <w:r w:rsidRPr="007620A2">
        <w:rPr>
          <w:rFonts w:ascii="Times New Roman" w:hAnsi="Times New Roman" w:cs="Times New Roman"/>
          <w:i/>
          <w:sz w:val="24"/>
          <w:szCs w:val="24"/>
          <w:lang w:val="uk-UA"/>
        </w:rPr>
        <w:t> 000,0 тис. грн  на виплату матеріальної допомоги громадянам Чорноморської міської територіальної громади, які опинились в складних життєвих обставинах</w:t>
      </w:r>
      <w:r w:rsidR="00197F91">
        <w:rPr>
          <w:rFonts w:ascii="Times New Roman" w:hAnsi="Times New Roman" w:cs="Times New Roman"/>
          <w:i/>
          <w:sz w:val="24"/>
          <w:szCs w:val="24"/>
          <w:lang w:val="uk-UA"/>
        </w:rPr>
        <w:t xml:space="preserve"> за їх заявами</w:t>
      </w:r>
      <w:r w:rsidRPr="007620A2">
        <w:rPr>
          <w:rFonts w:ascii="Times New Roman" w:hAnsi="Times New Roman" w:cs="Times New Roman"/>
          <w:i/>
          <w:sz w:val="24"/>
          <w:szCs w:val="24"/>
          <w:lang w:val="uk-UA"/>
        </w:rPr>
        <w:t>;</w:t>
      </w:r>
    </w:p>
    <w:p w14:paraId="0115E7BC" w14:textId="77777777" w:rsidR="008A22EE" w:rsidRPr="007620A2" w:rsidRDefault="00304F67" w:rsidP="008A22EE">
      <w:pPr>
        <w:spacing w:after="0" w:line="240" w:lineRule="auto"/>
        <w:ind w:firstLine="567"/>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- 9</w:t>
      </w:r>
      <w:r w:rsidR="008A22EE" w:rsidRPr="007620A2">
        <w:rPr>
          <w:rFonts w:ascii="Times New Roman" w:hAnsi="Times New Roman" w:cs="Times New Roman"/>
          <w:i/>
          <w:sz w:val="24"/>
          <w:szCs w:val="24"/>
          <w:lang w:val="uk-UA"/>
        </w:rPr>
        <w:t>00,0 тис. грн на  природоохоронні заходи за рахунок фонду охорони навколишнього природного середовища;</w:t>
      </w:r>
    </w:p>
    <w:p w14:paraId="4067C514" w14:textId="77777777" w:rsidR="008A22EE" w:rsidRPr="007620A2" w:rsidRDefault="008A22EE" w:rsidP="008A22EE">
      <w:pPr>
        <w:spacing w:after="0" w:line="240" w:lineRule="auto"/>
        <w:ind w:firstLine="567"/>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 xml:space="preserve">- </w:t>
      </w:r>
      <w:r w:rsidR="00304F67" w:rsidRPr="007620A2">
        <w:rPr>
          <w:rFonts w:ascii="Times New Roman" w:hAnsi="Times New Roman" w:cs="Times New Roman"/>
          <w:i/>
          <w:sz w:val="24"/>
          <w:szCs w:val="24"/>
          <w:lang w:val="uk-UA"/>
        </w:rPr>
        <w:t>2 270,0</w:t>
      </w:r>
      <w:r w:rsidRPr="007620A2">
        <w:rPr>
          <w:rFonts w:ascii="Times New Roman" w:hAnsi="Times New Roman" w:cs="Times New Roman"/>
          <w:i/>
          <w:sz w:val="24"/>
          <w:szCs w:val="24"/>
          <w:lang w:val="uk-UA"/>
        </w:rPr>
        <w:t xml:space="preserve"> тис. грн на обслуговування інтегрованої системи відеоспостереження та відеоаналітики міста Чорноморська;</w:t>
      </w:r>
    </w:p>
    <w:p w14:paraId="6800696E" w14:textId="77777777" w:rsidR="008A22EE" w:rsidRPr="007620A2" w:rsidRDefault="008A22EE" w:rsidP="008A22EE">
      <w:pPr>
        <w:spacing w:after="0" w:line="240" w:lineRule="auto"/>
        <w:ind w:firstLine="567"/>
        <w:jc w:val="both"/>
        <w:rPr>
          <w:rFonts w:ascii="Times New Roman" w:hAnsi="Times New Roman" w:cs="Times New Roman"/>
          <w:b/>
          <w:i/>
          <w:sz w:val="24"/>
          <w:szCs w:val="24"/>
          <w:lang w:val="uk-UA"/>
        </w:rPr>
      </w:pPr>
      <w:r w:rsidRPr="007620A2">
        <w:rPr>
          <w:rFonts w:ascii="Times New Roman" w:hAnsi="Times New Roman" w:cs="Times New Roman"/>
          <w:i/>
          <w:sz w:val="24"/>
          <w:szCs w:val="24"/>
          <w:lang w:val="uk-UA"/>
        </w:rPr>
        <w:t xml:space="preserve">- </w:t>
      </w:r>
      <w:r w:rsidR="00304F67" w:rsidRPr="007620A2">
        <w:rPr>
          <w:rFonts w:ascii="Times New Roman" w:hAnsi="Times New Roman" w:cs="Times New Roman"/>
          <w:i/>
          <w:sz w:val="24"/>
          <w:szCs w:val="24"/>
          <w:lang w:val="uk-UA"/>
        </w:rPr>
        <w:t>2 083,4</w:t>
      </w:r>
      <w:r w:rsidRPr="007620A2">
        <w:rPr>
          <w:rFonts w:ascii="Times New Roman" w:hAnsi="Times New Roman" w:cs="Times New Roman"/>
          <w:i/>
          <w:sz w:val="24"/>
          <w:szCs w:val="24"/>
          <w:lang w:val="uk-UA"/>
        </w:rPr>
        <w:t xml:space="preserve"> тис. грн на заходи та роботи з мобілізаційної підготовки місцевого значення. </w:t>
      </w:r>
    </w:p>
    <w:p w14:paraId="72D98C1B" w14:textId="77777777" w:rsidR="008A22EE" w:rsidRPr="007620A2" w:rsidRDefault="008A22EE" w:rsidP="008A22EE">
      <w:pPr>
        <w:spacing w:after="0" w:line="240" w:lineRule="auto"/>
        <w:ind w:firstLine="567"/>
        <w:jc w:val="both"/>
        <w:rPr>
          <w:rFonts w:ascii="Times New Roman" w:hAnsi="Times New Roman" w:cs="Times New Roman"/>
          <w:sz w:val="12"/>
          <w:szCs w:val="12"/>
          <w:lang w:val="uk-UA"/>
        </w:rPr>
      </w:pPr>
    </w:p>
    <w:p w14:paraId="1EE0DE46" w14:textId="57D7B0FD"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197F91">
        <w:rPr>
          <w:rFonts w:ascii="Times New Roman" w:hAnsi="Times New Roman" w:cs="Times New Roman"/>
          <w:sz w:val="24"/>
          <w:szCs w:val="24"/>
          <w:lang w:val="uk-UA"/>
        </w:rPr>
        <w:t xml:space="preserve">Виконавчому комітету враховано нерозподілені видатки у сумі </w:t>
      </w:r>
      <w:r w:rsidR="004E351A" w:rsidRPr="00197F91">
        <w:rPr>
          <w:rFonts w:ascii="Times New Roman" w:hAnsi="Times New Roman" w:cs="Times New Roman"/>
          <w:sz w:val="24"/>
          <w:szCs w:val="24"/>
          <w:lang w:val="uk-UA"/>
        </w:rPr>
        <w:t>8</w:t>
      </w:r>
      <w:r w:rsidR="00197F91" w:rsidRPr="00197F91">
        <w:rPr>
          <w:rFonts w:ascii="Times New Roman" w:hAnsi="Times New Roman" w:cs="Times New Roman"/>
          <w:sz w:val="24"/>
          <w:szCs w:val="24"/>
          <w:lang w:val="uk-UA"/>
        </w:rPr>
        <w:t>4</w:t>
      </w:r>
      <w:r w:rsidR="004E351A" w:rsidRPr="00197F91">
        <w:rPr>
          <w:rFonts w:ascii="Times New Roman" w:hAnsi="Times New Roman" w:cs="Times New Roman"/>
          <w:sz w:val="24"/>
          <w:szCs w:val="24"/>
          <w:lang w:val="uk-UA"/>
        </w:rPr>
        <w:t> 280,8</w:t>
      </w:r>
      <w:r w:rsidRPr="00197F91">
        <w:rPr>
          <w:rFonts w:ascii="Times New Roman" w:hAnsi="Times New Roman" w:cs="Times New Roman"/>
          <w:sz w:val="24"/>
          <w:szCs w:val="24"/>
          <w:lang w:val="uk-UA"/>
        </w:rPr>
        <w:t xml:space="preserve"> тис. грн, в т.ч. за загальним фондом – </w:t>
      </w:r>
      <w:r w:rsidR="004E351A" w:rsidRPr="00197F91">
        <w:rPr>
          <w:rFonts w:ascii="Times New Roman" w:hAnsi="Times New Roman" w:cs="Times New Roman"/>
          <w:sz w:val="24"/>
          <w:szCs w:val="24"/>
          <w:lang w:val="uk-UA"/>
        </w:rPr>
        <w:t>8</w:t>
      </w:r>
      <w:r w:rsidR="00197F91" w:rsidRPr="00197F91">
        <w:rPr>
          <w:rFonts w:ascii="Times New Roman" w:hAnsi="Times New Roman" w:cs="Times New Roman"/>
          <w:sz w:val="24"/>
          <w:szCs w:val="24"/>
          <w:lang w:val="uk-UA"/>
        </w:rPr>
        <w:t>4</w:t>
      </w:r>
      <w:r w:rsidR="004E351A" w:rsidRPr="00197F91">
        <w:rPr>
          <w:rFonts w:ascii="Times New Roman" w:hAnsi="Times New Roman" w:cs="Times New Roman"/>
          <w:sz w:val="24"/>
          <w:szCs w:val="24"/>
          <w:lang w:val="uk-UA"/>
        </w:rPr>
        <w:t> 110,8</w:t>
      </w:r>
      <w:r w:rsidRPr="00197F91">
        <w:rPr>
          <w:rFonts w:ascii="Times New Roman" w:hAnsi="Times New Roman" w:cs="Times New Roman"/>
          <w:sz w:val="24"/>
          <w:szCs w:val="24"/>
          <w:lang w:val="uk-UA"/>
        </w:rPr>
        <w:t xml:space="preserve"> тис. грн та спеціальним фондом – </w:t>
      </w:r>
      <w:r w:rsidR="004E351A" w:rsidRPr="00197F91">
        <w:rPr>
          <w:rFonts w:ascii="Times New Roman" w:hAnsi="Times New Roman" w:cs="Times New Roman"/>
          <w:sz w:val="24"/>
          <w:szCs w:val="24"/>
          <w:lang w:val="uk-UA"/>
        </w:rPr>
        <w:t>170,0</w:t>
      </w:r>
      <w:r w:rsidRPr="00197F91">
        <w:rPr>
          <w:rFonts w:ascii="Times New Roman" w:hAnsi="Times New Roman" w:cs="Times New Roman"/>
          <w:sz w:val="24"/>
          <w:szCs w:val="24"/>
          <w:lang w:val="uk-UA"/>
        </w:rPr>
        <w:t xml:space="preserve"> тис. грн, які будуть враховані до розподілу при уточнен</w:t>
      </w:r>
      <w:r w:rsidR="00EA06D4">
        <w:rPr>
          <w:rFonts w:ascii="Times New Roman" w:hAnsi="Times New Roman" w:cs="Times New Roman"/>
          <w:sz w:val="24"/>
          <w:szCs w:val="24"/>
          <w:lang w:val="uk-UA"/>
        </w:rPr>
        <w:t>н</w:t>
      </w:r>
      <w:r w:rsidRPr="00197F91">
        <w:rPr>
          <w:rFonts w:ascii="Times New Roman" w:hAnsi="Times New Roman" w:cs="Times New Roman"/>
          <w:sz w:val="24"/>
          <w:szCs w:val="24"/>
          <w:lang w:val="uk-UA"/>
        </w:rPr>
        <w:t>і бюджету міської громади на 202</w:t>
      </w:r>
      <w:r w:rsidR="004E351A" w:rsidRPr="00197F91">
        <w:rPr>
          <w:rFonts w:ascii="Times New Roman" w:hAnsi="Times New Roman" w:cs="Times New Roman"/>
          <w:sz w:val="24"/>
          <w:szCs w:val="24"/>
          <w:lang w:val="uk-UA"/>
        </w:rPr>
        <w:t>5</w:t>
      </w:r>
      <w:r w:rsidRPr="00197F91">
        <w:rPr>
          <w:rFonts w:ascii="Times New Roman" w:hAnsi="Times New Roman" w:cs="Times New Roman"/>
          <w:sz w:val="24"/>
          <w:szCs w:val="24"/>
          <w:lang w:val="uk-UA"/>
        </w:rPr>
        <w:t xml:space="preserve"> рік.</w:t>
      </w:r>
      <w:r w:rsidRPr="007620A2">
        <w:rPr>
          <w:rFonts w:ascii="Times New Roman" w:hAnsi="Times New Roman" w:cs="Times New Roman"/>
          <w:sz w:val="24"/>
          <w:szCs w:val="24"/>
          <w:lang w:val="uk-UA"/>
        </w:rPr>
        <w:t xml:space="preserve"> </w:t>
      </w:r>
    </w:p>
    <w:p w14:paraId="4657D3D6" w14:textId="77777777" w:rsidR="004876EA" w:rsidRDefault="004876EA" w:rsidP="008A22EE">
      <w:pPr>
        <w:spacing w:after="0" w:line="240" w:lineRule="auto"/>
        <w:ind w:firstLine="567"/>
        <w:jc w:val="both"/>
        <w:rPr>
          <w:rFonts w:ascii="Times New Roman" w:hAnsi="Times New Roman" w:cs="Times New Roman"/>
          <w:sz w:val="24"/>
          <w:szCs w:val="24"/>
          <w:lang w:val="uk-UA"/>
        </w:rPr>
      </w:pPr>
    </w:p>
    <w:p w14:paraId="49330850" w14:textId="44D39879" w:rsidR="008A22EE" w:rsidRPr="007620A2" w:rsidRDefault="008A22EE" w:rsidP="008A22EE">
      <w:pPr>
        <w:spacing w:after="0" w:line="240" w:lineRule="auto"/>
        <w:ind w:firstLine="567"/>
        <w:jc w:val="both"/>
        <w:rPr>
          <w:rFonts w:ascii="Times New Roman" w:hAnsi="Times New Roman" w:cs="Times New Roman"/>
          <w:i/>
          <w:sz w:val="24"/>
          <w:szCs w:val="24"/>
          <w:lang w:val="uk-UA"/>
        </w:rPr>
      </w:pPr>
      <w:r w:rsidRPr="007620A2">
        <w:rPr>
          <w:rFonts w:ascii="Times New Roman" w:hAnsi="Times New Roman" w:cs="Times New Roman"/>
          <w:sz w:val="24"/>
          <w:szCs w:val="24"/>
          <w:lang w:val="uk-UA"/>
        </w:rPr>
        <w:t xml:space="preserve">В загальному обсязі бюджетних призначень видатки на утримання </w:t>
      </w:r>
      <w:r w:rsidRPr="00272D89">
        <w:rPr>
          <w:rFonts w:ascii="Times New Roman" w:hAnsi="Times New Roman" w:cs="Times New Roman"/>
          <w:b/>
          <w:bCs/>
          <w:sz w:val="24"/>
          <w:szCs w:val="24"/>
          <w:lang w:val="uk-UA"/>
        </w:rPr>
        <w:t>Олександрівської селищної адміністрації</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w:t>
      </w:r>
      <w:r w:rsidRPr="00272D89">
        <w:rPr>
          <w:rFonts w:ascii="Times New Roman" w:hAnsi="Times New Roman" w:cs="Times New Roman"/>
          <w:b/>
          <w:bCs/>
          <w:sz w:val="24"/>
          <w:szCs w:val="24"/>
          <w:lang w:val="uk-UA"/>
        </w:rPr>
        <w:t>Малодолинської сільської адміністрації</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w:t>
      </w:r>
      <w:r w:rsidRPr="00272D89">
        <w:rPr>
          <w:rFonts w:ascii="Times New Roman" w:hAnsi="Times New Roman" w:cs="Times New Roman"/>
          <w:b/>
          <w:bCs/>
          <w:sz w:val="24"/>
          <w:szCs w:val="24"/>
          <w:lang w:val="uk-UA"/>
        </w:rPr>
        <w:t>Бурлачобалківської  сільської адміністрації</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визначені в загальному обсязі </w:t>
      </w:r>
      <w:r w:rsidR="004E351A" w:rsidRPr="007620A2">
        <w:rPr>
          <w:rFonts w:ascii="Times New Roman" w:hAnsi="Times New Roman" w:cs="Times New Roman"/>
          <w:sz w:val="24"/>
          <w:szCs w:val="24"/>
          <w:lang w:val="uk-UA"/>
        </w:rPr>
        <w:t>18 514,3</w:t>
      </w:r>
      <w:r w:rsidRPr="007620A2">
        <w:rPr>
          <w:rFonts w:ascii="Times New Roman" w:hAnsi="Times New Roman" w:cs="Times New Roman"/>
          <w:sz w:val="24"/>
          <w:szCs w:val="24"/>
          <w:lang w:val="uk-UA"/>
        </w:rPr>
        <w:t xml:space="preserve"> тис. грн</w:t>
      </w:r>
      <w:r w:rsidRPr="007620A2">
        <w:rPr>
          <w:rFonts w:ascii="Times New Roman" w:hAnsi="Times New Roman" w:cs="Times New Roman"/>
          <w:i/>
          <w:sz w:val="24"/>
          <w:szCs w:val="24"/>
          <w:lang w:val="uk-UA"/>
        </w:rPr>
        <w:t xml:space="preserve">, в тому числі на утримання адміністрацій – </w:t>
      </w:r>
      <w:r w:rsidR="004E351A" w:rsidRPr="007620A2">
        <w:rPr>
          <w:rFonts w:ascii="Times New Roman" w:hAnsi="Times New Roman" w:cs="Times New Roman"/>
          <w:i/>
          <w:sz w:val="24"/>
          <w:szCs w:val="24"/>
          <w:lang w:val="uk-UA"/>
        </w:rPr>
        <w:t>10 372,8</w:t>
      </w:r>
      <w:r w:rsidRPr="007620A2">
        <w:rPr>
          <w:rFonts w:ascii="Times New Roman" w:hAnsi="Times New Roman" w:cs="Times New Roman"/>
          <w:i/>
          <w:sz w:val="24"/>
          <w:szCs w:val="24"/>
          <w:lang w:val="uk-UA"/>
        </w:rPr>
        <w:t xml:space="preserve"> тис. грн, видатки на </w:t>
      </w:r>
      <w:r w:rsidR="00272D89">
        <w:rPr>
          <w:rFonts w:ascii="Times New Roman" w:hAnsi="Times New Roman" w:cs="Times New Roman"/>
          <w:i/>
          <w:sz w:val="24"/>
          <w:szCs w:val="24"/>
          <w:lang w:val="uk-UA"/>
        </w:rPr>
        <w:t xml:space="preserve">благоустрій </w:t>
      </w:r>
      <w:r w:rsidRPr="007620A2">
        <w:rPr>
          <w:rFonts w:ascii="Times New Roman" w:hAnsi="Times New Roman" w:cs="Times New Roman"/>
          <w:i/>
          <w:sz w:val="24"/>
          <w:szCs w:val="24"/>
          <w:lang w:val="uk-UA"/>
        </w:rPr>
        <w:t>територій селищної та сільських адміністраці</w:t>
      </w:r>
      <w:r w:rsidR="00EA06D4">
        <w:rPr>
          <w:rFonts w:ascii="Times New Roman" w:hAnsi="Times New Roman" w:cs="Times New Roman"/>
          <w:i/>
          <w:sz w:val="24"/>
          <w:szCs w:val="24"/>
          <w:lang w:val="uk-UA"/>
        </w:rPr>
        <w:t>й</w:t>
      </w:r>
      <w:r w:rsidRPr="007620A2">
        <w:rPr>
          <w:rFonts w:ascii="Times New Roman" w:hAnsi="Times New Roman" w:cs="Times New Roman"/>
          <w:i/>
          <w:sz w:val="24"/>
          <w:szCs w:val="24"/>
          <w:lang w:val="uk-UA"/>
        </w:rPr>
        <w:t xml:space="preserve">  – </w:t>
      </w:r>
      <w:r w:rsidR="004E351A" w:rsidRPr="007620A2">
        <w:rPr>
          <w:rFonts w:ascii="Times New Roman" w:hAnsi="Times New Roman" w:cs="Times New Roman"/>
          <w:i/>
          <w:sz w:val="24"/>
          <w:szCs w:val="24"/>
          <w:lang w:val="uk-UA"/>
        </w:rPr>
        <w:t>8 141,5</w:t>
      </w:r>
      <w:r w:rsidRPr="007620A2">
        <w:rPr>
          <w:rFonts w:ascii="Times New Roman" w:hAnsi="Times New Roman" w:cs="Times New Roman"/>
          <w:i/>
          <w:sz w:val="24"/>
          <w:szCs w:val="24"/>
          <w:lang w:val="uk-UA"/>
        </w:rPr>
        <w:t xml:space="preserve"> тис. грн.</w:t>
      </w:r>
    </w:p>
    <w:p w14:paraId="45D2CB31"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p>
    <w:p w14:paraId="42C9E061" w14:textId="06146015"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На утримання </w:t>
      </w:r>
      <w:r w:rsidRPr="00272D89">
        <w:rPr>
          <w:rFonts w:ascii="Times New Roman" w:hAnsi="Times New Roman" w:cs="Times New Roman"/>
          <w:b/>
          <w:bCs/>
          <w:sz w:val="24"/>
          <w:szCs w:val="24"/>
          <w:lang w:val="uk-UA"/>
        </w:rPr>
        <w:t xml:space="preserve">комунальної установи </w:t>
      </w:r>
      <w:r w:rsidR="00EF703A">
        <w:rPr>
          <w:rFonts w:ascii="Times New Roman" w:hAnsi="Times New Roman" w:cs="Times New Roman"/>
          <w:b/>
          <w:bCs/>
          <w:sz w:val="24"/>
          <w:szCs w:val="24"/>
          <w:lang w:val="uk-UA"/>
        </w:rPr>
        <w:t>«Муніципальна варта»</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 враховано  </w:t>
      </w:r>
      <w:r w:rsidR="004E351A" w:rsidRPr="007620A2">
        <w:rPr>
          <w:rFonts w:ascii="Times New Roman" w:hAnsi="Times New Roman" w:cs="Times New Roman"/>
          <w:sz w:val="24"/>
          <w:szCs w:val="24"/>
          <w:lang w:val="uk-UA"/>
        </w:rPr>
        <w:t>26 978,5</w:t>
      </w:r>
      <w:r w:rsidRPr="007620A2">
        <w:rPr>
          <w:rFonts w:ascii="Times New Roman" w:hAnsi="Times New Roman" w:cs="Times New Roman"/>
          <w:sz w:val="24"/>
          <w:szCs w:val="24"/>
          <w:lang w:val="uk-UA"/>
        </w:rPr>
        <w:t xml:space="preserve"> тис. грн.  </w:t>
      </w:r>
    </w:p>
    <w:p w14:paraId="55B1D150" w14:textId="77777777" w:rsidR="008A22EE" w:rsidRPr="007620A2" w:rsidRDefault="008A22EE" w:rsidP="008A22EE">
      <w:pPr>
        <w:spacing w:after="0" w:line="240" w:lineRule="auto"/>
        <w:ind w:firstLine="567"/>
        <w:jc w:val="both"/>
        <w:rPr>
          <w:rFonts w:ascii="Times New Roman" w:hAnsi="Times New Roman" w:cs="Times New Roman"/>
          <w:sz w:val="24"/>
          <w:szCs w:val="24"/>
          <w:lang w:val="uk-UA"/>
        </w:rPr>
      </w:pPr>
    </w:p>
    <w:p w14:paraId="21B7CF5E" w14:textId="7A746986" w:rsidR="008A22EE" w:rsidRPr="007620A2" w:rsidRDefault="008A22EE" w:rsidP="008A22EE">
      <w:pPr>
        <w:spacing w:after="0" w:line="240" w:lineRule="auto"/>
        <w:ind w:firstLine="567"/>
        <w:jc w:val="both"/>
        <w:rPr>
          <w:rFonts w:ascii="Times New Roman" w:hAnsi="Times New Roman" w:cs="Times New Roman"/>
          <w:color w:val="000000" w:themeColor="text1"/>
          <w:sz w:val="24"/>
          <w:szCs w:val="24"/>
          <w:lang w:val="uk-UA"/>
        </w:rPr>
      </w:pPr>
      <w:r w:rsidRPr="00CE1C9D">
        <w:rPr>
          <w:rFonts w:ascii="Times New Roman" w:hAnsi="Times New Roman" w:cs="Times New Roman"/>
          <w:b/>
          <w:bCs/>
          <w:color w:val="000000" w:themeColor="text1"/>
          <w:sz w:val="24"/>
          <w:szCs w:val="24"/>
          <w:shd w:val="clear" w:color="auto" w:fill="FFFFFF"/>
          <w:lang w:val="uk-UA"/>
        </w:rPr>
        <w:t xml:space="preserve">На галузь </w:t>
      </w:r>
      <w:r w:rsidR="00EF703A">
        <w:rPr>
          <w:rFonts w:ascii="Times New Roman" w:hAnsi="Times New Roman" w:cs="Times New Roman"/>
          <w:b/>
          <w:bCs/>
          <w:color w:val="000000" w:themeColor="text1"/>
          <w:sz w:val="24"/>
          <w:szCs w:val="24"/>
          <w:shd w:val="clear" w:color="auto" w:fill="FFFFFF"/>
          <w:lang w:val="uk-UA"/>
        </w:rPr>
        <w:t>«Охорона здоров'я»</w:t>
      </w:r>
      <w:r w:rsidRPr="007620A2">
        <w:rPr>
          <w:rFonts w:ascii="Times New Roman" w:hAnsi="Times New Roman" w:cs="Times New Roman"/>
          <w:color w:val="000000" w:themeColor="text1"/>
          <w:sz w:val="24"/>
          <w:szCs w:val="24"/>
          <w:shd w:val="clear" w:color="auto" w:fill="FFFFFF"/>
          <w:lang w:val="uk-UA"/>
        </w:rPr>
        <w:t xml:space="preserve"> в проєкті бюджету  враховано </w:t>
      </w:r>
      <w:r w:rsidR="004E351A" w:rsidRPr="007620A2">
        <w:rPr>
          <w:rFonts w:ascii="Times New Roman" w:hAnsi="Times New Roman" w:cs="Times New Roman"/>
          <w:color w:val="000000" w:themeColor="text1"/>
          <w:sz w:val="24"/>
          <w:szCs w:val="24"/>
          <w:shd w:val="clear" w:color="auto" w:fill="FFFFFF"/>
          <w:lang w:val="uk-UA"/>
        </w:rPr>
        <w:t>58</w:t>
      </w:r>
      <w:r w:rsidR="00197F91">
        <w:rPr>
          <w:rFonts w:ascii="Times New Roman" w:hAnsi="Times New Roman" w:cs="Times New Roman"/>
          <w:color w:val="000000" w:themeColor="text1"/>
          <w:sz w:val="24"/>
          <w:szCs w:val="24"/>
          <w:shd w:val="clear" w:color="auto" w:fill="FFFFFF"/>
          <w:lang w:val="uk-UA"/>
        </w:rPr>
        <w:t> 086,0</w:t>
      </w:r>
      <w:r w:rsidR="00F000EC">
        <w:rPr>
          <w:rFonts w:ascii="Times New Roman" w:hAnsi="Times New Roman" w:cs="Times New Roman"/>
          <w:color w:val="000000" w:themeColor="text1"/>
          <w:sz w:val="24"/>
          <w:szCs w:val="24"/>
          <w:shd w:val="clear" w:color="auto" w:fill="FFFFFF"/>
          <w:lang w:val="uk-UA"/>
        </w:rPr>
        <w:t xml:space="preserve"> тис. грн, в тому числі 2 581,5 тис.</w:t>
      </w:r>
      <w:r w:rsidR="00197F91">
        <w:rPr>
          <w:rFonts w:ascii="Times New Roman" w:hAnsi="Times New Roman" w:cs="Times New Roman"/>
          <w:color w:val="000000" w:themeColor="text1"/>
          <w:sz w:val="24"/>
          <w:szCs w:val="24"/>
          <w:shd w:val="clear" w:color="auto" w:fill="FFFFFF"/>
          <w:lang w:val="uk-UA"/>
        </w:rPr>
        <w:t xml:space="preserve"> </w:t>
      </w:r>
      <w:r w:rsidR="00F000EC">
        <w:rPr>
          <w:rFonts w:ascii="Times New Roman" w:hAnsi="Times New Roman" w:cs="Times New Roman"/>
          <w:color w:val="000000" w:themeColor="text1"/>
          <w:sz w:val="24"/>
          <w:szCs w:val="24"/>
          <w:shd w:val="clear" w:color="auto" w:fill="FFFFFF"/>
          <w:lang w:val="uk-UA"/>
        </w:rPr>
        <w:t>грн за рахунок субвенці</w:t>
      </w:r>
      <w:r w:rsidR="00720D7E">
        <w:rPr>
          <w:rFonts w:ascii="Times New Roman" w:hAnsi="Times New Roman" w:cs="Times New Roman"/>
          <w:color w:val="000000" w:themeColor="text1"/>
          <w:sz w:val="24"/>
          <w:szCs w:val="24"/>
          <w:shd w:val="clear" w:color="auto" w:fill="FFFFFF"/>
          <w:lang w:val="uk-UA"/>
        </w:rPr>
        <w:t>й</w:t>
      </w:r>
      <w:r w:rsidR="00F000EC">
        <w:rPr>
          <w:rFonts w:ascii="Times New Roman" w:hAnsi="Times New Roman" w:cs="Times New Roman"/>
          <w:color w:val="000000" w:themeColor="text1"/>
          <w:sz w:val="24"/>
          <w:szCs w:val="24"/>
          <w:shd w:val="clear" w:color="auto" w:fill="FFFFFF"/>
          <w:lang w:val="uk-UA"/>
        </w:rPr>
        <w:t xml:space="preserve"> </w:t>
      </w:r>
      <w:r w:rsidR="00F000EC" w:rsidRPr="00F000EC">
        <w:rPr>
          <w:rFonts w:ascii="Times New Roman" w:hAnsi="Times New Roman" w:cs="Times New Roman"/>
          <w:color w:val="000000" w:themeColor="text1"/>
          <w:sz w:val="24"/>
          <w:szCs w:val="24"/>
          <w:shd w:val="clear" w:color="auto" w:fill="FFFFFF"/>
          <w:lang w:val="uk-UA"/>
        </w:rPr>
        <w:t>з бюджет</w:t>
      </w:r>
      <w:r w:rsidR="00F000EC">
        <w:rPr>
          <w:rFonts w:ascii="Times New Roman" w:hAnsi="Times New Roman" w:cs="Times New Roman"/>
          <w:color w:val="000000" w:themeColor="text1"/>
          <w:sz w:val="24"/>
          <w:szCs w:val="24"/>
          <w:shd w:val="clear" w:color="auto" w:fill="FFFFFF"/>
          <w:lang w:val="uk-UA"/>
        </w:rPr>
        <w:t>ів</w:t>
      </w:r>
      <w:r w:rsidR="00F000EC" w:rsidRPr="00F000EC">
        <w:rPr>
          <w:rFonts w:ascii="Times New Roman" w:hAnsi="Times New Roman" w:cs="Times New Roman"/>
          <w:color w:val="000000" w:themeColor="text1"/>
          <w:sz w:val="24"/>
          <w:szCs w:val="24"/>
          <w:shd w:val="clear" w:color="auto" w:fill="FFFFFF"/>
          <w:lang w:val="uk-UA"/>
        </w:rPr>
        <w:t xml:space="preserve">  Дальницької сільської </w:t>
      </w:r>
      <w:r w:rsidR="00720D7E">
        <w:rPr>
          <w:rFonts w:ascii="Times New Roman" w:hAnsi="Times New Roman" w:cs="Times New Roman"/>
          <w:color w:val="000000" w:themeColor="text1"/>
          <w:sz w:val="24"/>
          <w:szCs w:val="24"/>
          <w:shd w:val="clear" w:color="auto" w:fill="FFFFFF"/>
          <w:lang w:val="uk-UA"/>
        </w:rPr>
        <w:t>територіальної громади</w:t>
      </w:r>
      <w:r w:rsidR="00F000EC" w:rsidRPr="00F000EC">
        <w:rPr>
          <w:rFonts w:ascii="Times New Roman" w:hAnsi="Times New Roman" w:cs="Times New Roman"/>
          <w:color w:val="000000" w:themeColor="text1"/>
          <w:sz w:val="24"/>
          <w:szCs w:val="24"/>
          <w:shd w:val="clear" w:color="auto" w:fill="FFFFFF"/>
          <w:lang w:val="uk-UA"/>
        </w:rPr>
        <w:t xml:space="preserve"> </w:t>
      </w:r>
      <w:r w:rsidR="00F000EC">
        <w:rPr>
          <w:rFonts w:ascii="Times New Roman" w:hAnsi="Times New Roman" w:cs="Times New Roman"/>
          <w:color w:val="000000" w:themeColor="text1"/>
          <w:sz w:val="24"/>
          <w:szCs w:val="24"/>
          <w:shd w:val="clear" w:color="auto" w:fill="FFFFFF"/>
          <w:lang w:val="uk-UA"/>
        </w:rPr>
        <w:t xml:space="preserve">Великодолинської селищної </w:t>
      </w:r>
      <w:r w:rsidR="00720D7E">
        <w:rPr>
          <w:rFonts w:ascii="Times New Roman" w:hAnsi="Times New Roman" w:cs="Times New Roman"/>
          <w:color w:val="000000" w:themeColor="text1"/>
          <w:sz w:val="24"/>
          <w:szCs w:val="24"/>
          <w:shd w:val="clear" w:color="auto" w:fill="FFFFFF"/>
          <w:lang w:val="uk-UA"/>
        </w:rPr>
        <w:t>територіальної громади д</w:t>
      </w:r>
      <w:r w:rsidR="00F000EC" w:rsidRPr="00F000EC">
        <w:rPr>
          <w:rFonts w:ascii="Times New Roman" w:hAnsi="Times New Roman" w:cs="Times New Roman"/>
          <w:color w:val="000000" w:themeColor="text1"/>
          <w:sz w:val="24"/>
          <w:szCs w:val="24"/>
          <w:shd w:val="clear" w:color="auto" w:fill="FFFFFF"/>
          <w:lang w:val="uk-UA"/>
        </w:rPr>
        <w:t xml:space="preserve">ля надання фінансової підтримки комунальному некомерційному підприємству «Чорноморська лікарня» Чорноморської міської ради Одеського району Одеської області на оплату частини комунальних послуг та енергоносіїв для надання підприємством вторинної (спеціалізованої) медичної допомоги населенню </w:t>
      </w:r>
      <w:r w:rsidR="00F000EC">
        <w:rPr>
          <w:rFonts w:ascii="Times New Roman" w:hAnsi="Times New Roman" w:cs="Times New Roman"/>
          <w:color w:val="000000" w:themeColor="text1"/>
          <w:sz w:val="24"/>
          <w:szCs w:val="24"/>
          <w:shd w:val="clear" w:color="auto" w:fill="FFFFFF"/>
          <w:lang w:val="uk-UA"/>
        </w:rPr>
        <w:t>вищезазначених  громад в рамках співпраці між громадами.</w:t>
      </w:r>
    </w:p>
    <w:p w14:paraId="239B12CE" w14:textId="42018645"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Рішенням Чорноморської міської ради Одеського району Одеської області</w:t>
      </w:r>
      <w:r w:rsidR="00EF703A">
        <w:rPr>
          <w:rFonts w:ascii="Times New Roman" w:hAnsi="Times New Roman" w:cs="Times New Roman"/>
          <w:sz w:val="24"/>
          <w:szCs w:val="24"/>
          <w:lang w:val="uk-UA"/>
        </w:rPr>
        <w:t xml:space="preserve"> від 24.12.2020 року № 17-VIII «</w:t>
      </w:r>
      <w:r w:rsidRPr="007620A2">
        <w:rPr>
          <w:rFonts w:ascii="Times New Roman" w:hAnsi="Times New Roman" w:cs="Times New Roman"/>
          <w:sz w:val="24"/>
          <w:szCs w:val="24"/>
          <w:lang w:val="uk-UA"/>
        </w:rPr>
        <w:t>Про Міську програму "Здоров’я населення Чорноморської міської територіальної громади на 2021 - 2025 роки"</w:t>
      </w:r>
      <w:r w:rsidR="00EF703A">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(зі змінами та доповненнями)</w:t>
      </w:r>
      <w:r w:rsidR="006A1D3D">
        <w:rPr>
          <w:rFonts w:ascii="Times New Roman" w:hAnsi="Times New Roman" w:cs="Times New Roman"/>
          <w:sz w:val="24"/>
          <w:szCs w:val="24"/>
          <w:lang w:val="uk-UA"/>
        </w:rPr>
        <w:t xml:space="preserve"> (далі – Програма)</w:t>
      </w:r>
      <w:r w:rsidRPr="007620A2">
        <w:rPr>
          <w:rFonts w:ascii="Times New Roman" w:hAnsi="Times New Roman" w:cs="Times New Roman"/>
          <w:sz w:val="24"/>
          <w:szCs w:val="24"/>
          <w:lang w:val="uk-UA"/>
        </w:rPr>
        <w:t xml:space="preserve"> затверджені заходи,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на фінансування яких передбачено</w:t>
      </w:r>
      <w:r w:rsidR="00345A0F">
        <w:rPr>
          <w:rFonts w:ascii="Times New Roman" w:hAnsi="Times New Roman" w:cs="Times New Roman"/>
          <w:sz w:val="24"/>
          <w:szCs w:val="24"/>
          <w:lang w:val="uk-UA"/>
        </w:rPr>
        <w:t xml:space="preserve"> відповідальним виконавцям</w:t>
      </w:r>
      <w:r w:rsidRPr="007620A2">
        <w:rPr>
          <w:rFonts w:ascii="Times New Roman" w:hAnsi="Times New Roman" w:cs="Times New Roman"/>
          <w:sz w:val="24"/>
          <w:szCs w:val="24"/>
          <w:lang w:val="uk-UA"/>
        </w:rPr>
        <w:t>:</w:t>
      </w:r>
    </w:p>
    <w:p w14:paraId="0F2D3185" w14:textId="541E611D" w:rsidR="008A22EE" w:rsidRDefault="008A22EE" w:rsidP="008A22EE">
      <w:pPr>
        <w:tabs>
          <w:tab w:val="left" w:pos="709"/>
          <w:tab w:val="left" w:pos="851"/>
        </w:tabs>
        <w:spacing w:after="0" w:line="240" w:lineRule="auto"/>
        <w:ind w:firstLine="567"/>
        <w:jc w:val="both"/>
        <w:rPr>
          <w:rFonts w:ascii="Times New Roman" w:hAnsi="Times New Roman" w:cs="Times New Roman"/>
          <w:color w:val="000000" w:themeColor="text1"/>
          <w:sz w:val="24"/>
          <w:szCs w:val="24"/>
          <w:lang w:val="uk-UA"/>
        </w:rPr>
      </w:pPr>
      <w:r w:rsidRPr="007620A2">
        <w:rPr>
          <w:rFonts w:ascii="Times New Roman" w:hAnsi="Times New Roman" w:cs="Times New Roman"/>
          <w:color w:val="000000" w:themeColor="text1"/>
          <w:sz w:val="24"/>
          <w:szCs w:val="24"/>
          <w:lang w:val="uk-UA"/>
        </w:rPr>
        <w:t>1.</w:t>
      </w:r>
      <w:r w:rsidRPr="007620A2">
        <w:rPr>
          <w:rFonts w:ascii="Times New Roman" w:hAnsi="Times New Roman" w:cs="Times New Roman"/>
          <w:color w:val="000000" w:themeColor="text1"/>
          <w:sz w:val="24"/>
          <w:szCs w:val="24"/>
          <w:lang w:val="uk-UA"/>
        </w:rPr>
        <w:tab/>
      </w:r>
      <w:r w:rsidR="00345A0F" w:rsidRPr="00720D7E">
        <w:rPr>
          <w:rFonts w:ascii="Times New Roman" w:hAnsi="Times New Roman" w:cs="Times New Roman"/>
          <w:b/>
          <w:color w:val="000000" w:themeColor="text1"/>
          <w:sz w:val="24"/>
          <w:szCs w:val="24"/>
          <w:lang w:val="uk-UA"/>
        </w:rPr>
        <w:t>К</w:t>
      </w:r>
      <w:r w:rsidR="009A4B5A" w:rsidRPr="00720D7E">
        <w:rPr>
          <w:rFonts w:ascii="Times New Roman" w:hAnsi="Times New Roman" w:cs="Times New Roman"/>
          <w:b/>
          <w:color w:val="000000" w:themeColor="text1"/>
          <w:sz w:val="24"/>
          <w:szCs w:val="24"/>
          <w:lang w:val="uk-UA"/>
        </w:rPr>
        <w:t>омунальн</w:t>
      </w:r>
      <w:r w:rsidR="00D00BC0">
        <w:rPr>
          <w:rFonts w:ascii="Times New Roman" w:hAnsi="Times New Roman" w:cs="Times New Roman"/>
          <w:b/>
          <w:color w:val="000000" w:themeColor="text1"/>
          <w:sz w:val="24"/>
          <w:szCs w:val="24"/>
          <w:lang w:val="uk-UA"/>
        </w:rPr>
        <w:t>ому</w:t>
      </w:r>
      <w:r w:rsidR="009A4B5A" w:rsidRPr="00720D7E">
        <w:rPr>
          <w:rFonts w:ascii="Times New Roman" w:hAnsi="Times New Roman" w:cs="Times New Roman"/>
          <w:b/>
          <w:color w:val="000000" w:themeColor="text1"/>
          <w:sz w:val="24"/>
          <w:szCs w:val="24"/>
          <w:lang w:val="uk-UA"/>
        </w:rPr>
        <w:t xml:space="preserve"> некомерційн</w:t>
      </w:r>
      <w:r w:rsidR="00D00BC0">
        <w:rPr>
          <w:rFonts w:ascii="Times New Roman" w:hAnsi="Times New Roman" w:cs="Times New Roman"/>
          <w:b/>
          <w:color w:val="000000" w:themeColor="text1"/>
          <w:sz w:val="24"/>
          <w:szCs w:val="24"/>
          <w:lang w:val="uk-UA"/>
        </w:rPr>
        <w:t>ому підприємству</w:t>
      </w:r>
      <w:r w:rsidR="00EF703A" w:rsidRPr="00720D7E">
        <w:rPr>
          <w:rFonts w:ascii="Times New Roman" w:hAnsi="Times New Roman" w:cs="Times New Roman"/>
          <w:b/>
          <w:color w:val="000000" w:themeColor="text1"/>
          <w:sz w:val="24"/>
          <w:szCs w:val="24"/>
          <w:lang w:val="uk-UA"/>
        </w:rPr>
        <w:t xml:space="preserve"> «Чорноморська лікарня»</w:t>
      </w:r>
      <w:r w:rsidR="009A4B5A" w:rsidRPr="007620A2">
        <w:rPr>
          <w:rFonts w:ascii="Times New Roman" w:hAnsi="Times New Roman" w:cs="Times New Roman"/>
          <w:color w:val="000000" w:themeColor="text1"/>
          <w:sz w:val="24"/>
          <w:szCs w:val="24"/>
          <w:lang w:val="uk-UA"/>
        </w:rPr>
        <w:t xml:space="preserve"> Чорноморської міської ради Одеського району Одеської області</w:t>
      </w:r>
      <w:r w:rsidR="00345A0F">
        <w:rPr>
          <w:rFonts w:ascii="Times New Roman" w:hAnsi="Times New Roman" w:cs="Times New Roman"/>
          <w:color w:val="000000" w:themeColor="text1"/>
          <w:sz w:val="24"/>
          <w:szCs w:val="24"/>
          <w:lang w:val="uk-UA"/>
        </w:rPr>
        <w:t xml:space="preserve"> - </w:t>
      </w:r>
      <w:r w:rsidR="004E351A" w:rsidRPr="007620A2">
        <w:rPr>
          <w:rFonts w:ascii="Times New Roman" w:hAnsi="Times New Roman" w:cs="Times New Roman"/>
          <w:color w:val="000000" w:themeColor="text1"/>
          <w:sz w:val="24"/>
          <w:szCs w:val="24"/>
          <w:lang w:val="uk-UA"/>
        </w:rPr>
        <w:t>34 </w:t>
      </w:r>
      <w:r w:rsidR="00D00BC0">
        <w:rPr>
          <w:rFonts w:ascii="Times New Roman" w:hAnsi="Times New Roman" w:cs="Times New Roman"/>
          <w:color w:val="000000" w:themeColor="text1"/>
          <w:sz w:val="24"/>
          <w:szCs w:val="24"/>
          <w:lang w:val="uk-UA"/>
        </w:rPr>
        <w:t>2</w:t>
      </w:r>
      <w:r w:rsidR="004E351A" w:rsidRPr="007620A2">
        <w:rPr>
          <w:rFonts w:ascii="Times New Roman" w:hAnsi="Times New Roman" w:cs="Times New Roman"/>
          <w:color w:val="000000" w:themeColor="text1"/>
          <w:sz w:val="24"/>
          <w:szCs w:val="24"/>
          <w:lang w:val="uk-UA"/>
        </w:rPr>
        <w:t>21,2</w:t>
      </w:r>
      <w:r w:rsidR="00720D7E">
        <w:rPr>
          <w:rFonts w:ascii="Times New Roman" w:hAnsi="Times New Roman" w:cs="Times New Roman"/>
          <w:color w:val="000000" w:themeColor="text1"/>
          <w:sz w:val="24"/>
          <w:szCs w:val="24"/>
          <w:lang w:val="uk-UA"/>
        </w:rPr>
        <w:t xml:space="preserve"> тис. грн.</w:t>
      </w:r>
    </w:p>
    <w:p w14:paraId="1E41A9D6" w14:textId="1CE28AAE" w:rsidR="00720D7E"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2. </w:t>
      </w:r>
      <w:r w:rsidR="00345A0F" w:rsidRPr="00720D7E">
        <w:rPr>
          <w:rFonts w:ascii="Times New Roman" w:hAnsi="Times New Roman" w:cs="Times New Roman"/>
          <w:b/>
          <w:sz w:val="24"/>
          <w:szCs w:val="24"/>
          <w:lang w:val="uk-UA"/>
        </w:rPr>
        <w:t>К</w:t>
      </w:r>
      <w:r w:rsidR="008F4DD7">
        <w:rPr>
          <w:rFonts w:ascii="Times New Roman" w:hAnsi="Times New Roman" w:cs="Times New Roman"/>
          <w:b/>
          <w:color w:val="000000" w:themeColor="text1"/>
          <w:sz w:val="24"/>
          <w:szCs w:val="24"/>
          <w:lang w:val="uk-UA"/>
        </w:rPr>
        <w:t>омунальному</w:t>
      </w:r>
      <w:r w:rsidR="00EF703A" w:rsidRPr="00720D7E">
        <w:rPr>
          <w:rFonts w:ascii="Times New Roman" w:hAnsi="Times New Roman" w:cs="Times New Roman"/>
          <w:b/>
          <w:color w:val="000000" w:themeColor="text1"/>
          <w:sz w:val="24"/>
          <w:szCs w:val="24"/>
          <w:lang w:val="uk-UA"/>
        </w:rPr>
        <w:t xml:space="preserve">  некомерційн</w:t>
      </w:r>
      <w:r w:rsidR="008F4DD7">
        <w:rPr>
          <w:rFonts w:ascii="Times New Roman" w:hAnsi="Times New Roman" w:cs="Times New Roman"/>
          <w:b/>
          <w:color w:val="000000" w:themeColor="text1"/>
          <w:sz w:val="24"/>
          <w:szCs w:val="24"/>
          <w:lang w:val="uk-UA"/>
        </w:rPr>
        <w:t>ому підприємству</w:t>
      </w:r>
      <w:r w:rsidR="00EF703A" w:rsidRPr="00720D7E">
        <w:rPr>
          <w:rFonts w:ascii="Times New Roman" w:hAnsi="Times New Roman" w:cs="Times New Roman"/>
          <w:b/>
          <w:color w:val="000000" w:themeColor="text1"/>
          <w:sz w:val="24"/>
          <w:szCs w:val="24"/>
          <w:lang w:val="uk-UA"/>
        </w:rPr>
        <w:t xml:space="preserve"> «</w:t>
      </w:r>
      <w:r w:rsidRPr="00720D7E">
        <w:rPr>
          <w:rFonts w:ascii="Times New Roman" w:hAnsi="Times New Roman" w:cs="Times New Roman"/>
          <w:b/>
          <w:sz w:val="24"/>
          <w:szCs w:val="24"/>
          <w:lang w:val="uk-UA"/>
        </w:rPr>
        <w:t>Стоматологічна поліклініка міста Чорноморська</w:t>
      </w:r>
      <w:r w:rsidR="00EF703A" w:rsidRPr="00720D7E">
        <w:rPr>
          <w:rFonts w:ascii="Times New Roman" w:hAnsi="Times New Roman" w:cs="Times New Roman"/>
          <w:b/>
          <w:sz w:val="24"/>
          <w:szCs w:val="24"/>
          <w:lang w:val="uk-UA"/>
        </w:rPr>
        <w:t>»</w:t>
      </w:r>
      <w:r w:rsidRPr="007620A2">
        <w:rPr>
          <w:rFonts w:ascii="Times New Roman" w:hAnsi="Times New Roman" w:cs="Times New Roman"/>
          <w:sz w:val="24"/>
          <w:szCs w:val="24"/>
          <w:lang w:val="uk-UA"/>
        </w:rPr>
        <w:t xml:space="preserve"> Чорноморської міської ради Одеського району Одеської області</w:t>
      </w:r>
      <w:r w:rsidR="00345A0F">
        <w:rPr>
          <w:rFonts w:ascii="Times New Roman" w:hAnsi="Times New Roman" w:cs="Times New Roman"/>
          <w:sz w:val="24"/>
          <w:szCs w:val="24"/>
          <w:lang w:val="uk-UA"/>
        </w:rPr>
        <w:t xml:space="preserve"> - </w:t>
      </w:r>
      <w:r w:rsidR="004E351A" w:rsidRPr="005142F5">
        <w:rPr>
          <w:rFonts w:ascii="Times New Roman" w:hAnsi="Times New Roman" w:cs="Times New Roman"/>
          <w:sz w:val="24"/>
          <w:szCs w:val="24"/>
          <w:lang w:val="uk-UA"/>
        </w:rPr>
        <w:t>9 962,4</w:t>
      </w:r>
      <w:r w:rsidR="00720D7E">
        <w:rPr>
          <w:rFonts w:ascii="Times New Roman" w:hAnsi="Times New Roman" w:cs="Times New Roman"/>
          <w:sz w:val="24"/>
          <w:szCs w:val="24"/>
          <w:lang w:val="uk-UA"/>
        </w:rPr>
        <w:t xml:space="preserve"> тис. грн, зокрема на б</w:t>
      </w:r>
      <w:r w:rsidR="00720D7E" w:rsidRPr="00720D7E">
        <w:rPr>
          <w:rFonts w:ascii="Times New Roman" w:hAnsi="Times New Roman" w:cs="Times New Roman"/>
          <w:sz w:val="24"/>
          <w:szCs w:val="24"/>
          <w:lang w:val="uk-UA"/>
        </w:rPr>
        <w:t>езоплатне та пільгове зубопротезування окремих пільгових категорій громадян Чорноморської міської територіальної громади (учасників бойових дій та членів їх сімей, членів сімей загиблих, учасників війни, осіб з інвалідністю внаслідок війни, осіб з інвалідністю, дітей з інвалідністю, осіб з інвалідністю з дитинства, почесних донорів України, ветеранів праці, осіб, які постраждали внаслідок Чорнобильської катастрофи та віднесені до 1 та 2 категорій, дітей з багатодітних сімей, пенсіонерів, внутрішньо переміщених осіб, які мають вище наведений статус)</w:t>
      </w:r>
      <w:r w:rsidR="00720D7E">
        <w:rPr>
          <w:rFonts w:ascii="Times New Roman" w:hAnsi="Times New Roman" w:cs="Times New Roman"/>
          <w:sz w:val="24"/>
          <w:szCs w:val="24"/>
          <w:lang w:val="uk-UA"/>
        </w:rPr>
        <w:t xml:space="preserve"> передбачено 1 2</w:t>
      </w:r>
      <w:r w:rsidR="00735248">
        <w:rPr>
          <w:rFonts w:ascii="Times New Roman" w:hAnsi="Times New Roman" w:cs="Times New Roman"/>
          <w:sz w:val="24"/>
          <w:szCs w:val="24"/>
          <w:lang w:val="uk-UA"/>
        </w:rPr>
        <w:t>60,6</w:t>
      </w:r>
      <w:r w:rsidR="00720D7E">
        <w:rPr>
          <w:rFonts w:ascii="Times New Roman" w:hAnsi="Times New Roman" w:cs="Times New Roman"/>
          <w:sz w:val="24"/>
          <w:szCs w:val="24"/>
          <w:lang w:val="uk-UA"/>
        </w:rPr>
        <w:t> тис.</w:t>
      </w:r>
      <w:r w:rsidR="004955AE">
        <w:rPr>
          <w:rFonts w:ascii="Times New Roman" w:hAnsi="Times New Roman" w:cs="Times New Roman"/>
          <w:sz w:val="24"/>
          <w:szCs w:val="24"/>
          <w:lang w:val="uk-UA"/>
        </w:rPr>
        <w:t xml:space="preserve"> </w:t>
      </w:r>
      <w:r w:rsidR="00720D7E">
        <w:rPr>
          <w:rFonts w:ascii="Times New Roman" w:hAnsi="Times New Roman" w:cs="Times New Roman"/>
          <w:sz w:val="24"/>
          <w:szCs w:val="24"/>
          <w:lang w:val="uk-UA"/>
        </w:rPr>
        <w:t>грн.</w:t>
      </w:r>
    </w:p>
    <w:p w14:paraId="422416E0" w14:textId="34127291" w:rsidR="00720D7E" w:rsidRPr="00D00BC0" w:rsidRDefault="008A22EE" w:rsidP="00720D7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3. </w:t>
      </w:r>
      <w:r w:rsidR="00345A0F" w:rsidRPr="00720D7E">
        <w:rPr>
          <w:rFonts w:ascii="Times New Roman" w:hAnsi="Times New Roman" w:cs="Times New Roman"/>
          <w:b/>
          <w:sz w:val="24"/>
          <w:szCs w:val="24"/>
          <w:lang w:val="uk-UA"/>
        </w:rPr>
        <w:t>К</w:t>
      </w:r>
      <w:r w:rsidR="00EF703A" w:rsidRPr="00720D7E">
        <w:rPr>
          <w:rFonts w:ascii="Times New Roman" w:hAnsi="Times New Roman" w:cs="Times New Roman"/>
          <w:b/>
          <w:color w:val="000000" w:themeColor="text1"/>
          <w:sz w:val="24"/>
          <w:szCs w:val="24"/>
          <w:lang w:val="uk-UA"/>
        </w:rPr>
        <w:t>омунальн</w:t>
      </w:r>
      <w:r w:rsidR="008F4DD7">
        <w:rPr>
          <w:rFonts w:ascii="Times New Roman" w:hAnsi="Times New Roman" w:cs="Times New Roman"/>
          <w:b/>
          <w:color w:val="000000" w:themeColor="text1"/>
          <w:sz w:val="24"/>
          <w:szCs w:val="24"/>
          <w:lang w:val="uk-UA"/>
        </w:rPr>
        <w:t>ому</w:t>
      </w:r>
      <w:r w:rsidR="00EF703A" w:rsidRPr="00720D7E">
        <w:rPr>
          <w:rFonts w:ascii="Times New Roman" w:hAnsi="Times New Roman" w:cs="Times New Roman"/>
          <w:b/>
          <w:color w:val="000000" w:themeColor="text1"/>
          <w:sz w:val="24"/>
          <w:szCs w:val="24"/>
          <w:lang w:val="uk-UA"/>
        </w:rPr>
        <w:t xml:space="preserve">  некомерційн</w:t>
      </w:r>
      <w:r w:rsidR="008F4DD7">
        <w:rPr>
          <w:rFonts w:ascii="Times New Roman" w:hAnsi="Times New Roman" w:cs="Times New Roman"/>
          <w:b/>
          <w:color w:val="000000" w:themeColor="text1"/>
          <w:sz w:val="24"/>
          <w:szCs w:val="24"/>
          <w:lang w:val="uk-UA"/>
        </w:rPr>
        <w:t>ому</w:t>
      </w:r>
      <w:r w:rsidR="00EF703A" w:rsidRPr="00720D7E">
        <w:rPr>
          <w:rFonts w:ascii="Times New Roman" w:hAnsi="Times New Roman" w:cs="Times New Roman"/>
          <w:b/>
          <w:color w:val="000000" w:themeColor="text1"/>
          <w:sz w:val="24"/>
          <w:szCs w:val="24"/>
          <w:lang w:val="uk-UA"/>
        </w:rPr>
        <w:t xml:space="preserve"> підприємств</w:t>
      </w:r>
      <w:r w:rsidR="008F4DD7">
        <w:rPr>
          <w:rFonts w:ascii="Times New Roman" w:hAnsi="Times New Roman" w:cs="Times New Roman"/>
          <w:b/>
          <w:color w:val="000000" w:themeColor="text1"/>
          <w:sz w:val="24"/>
          <w:szCs w:val="24"/>
          <w:lang w:val="uk-UA"/>
        </w:rPr>
        <w:t>у</w:t>
      </w:r>
      <w:r w:rsidR="00EF703A" w:rsidRPr="00720D7E">
        <w:rPr>
          <w:rFonts w:ascii="Times New Roman" w:hAnsi="Times New Roman" w:cs="Times New Roman"/>
          <w:b/>
          <w:color w:val="000000" w:themeColor="text1"/>
          <w:sz w:val="24"/>
          <w:szCs w:val="24"/>
          <w:lang w:val="uk-UA"/>
        </w:rPr>
        <w:t xml:space="preserve"> «</w:t>
      </w:r>
      <w:r w:rsidR="00EF703A" w:rsidRPr="00720D7E">
        <w:rPr>
          <w:rFonts w:ascii="Times New Roman" w:hAnsi="Times New Roman" w:cs="Times New Roman"/>
          <w:b/>
          <w:sz w:val="24"/>
          <w:szCs w:val="24"/>
          <w:lang w:val="uk-UA"/>
        </w:rPr>
        <w:t>Чорноморський міський центр первинної медико-санітарної допомоги</w:t>
      </w:r>
      <w:r w:rsidR="00EF703A" w:rsidRPr="00720D7E">
        <w:rPr>
          <w:rFonts w:ascii="Times New Roman" w:hAnsi="Times New Roman" w:cs="Times New Roman"/>
          <w:b/>
          <w:color w:val="000000" w:themeColor="text1"/>
          <w:sz w:val="24"/>
          <w:szCs w:val="24"/>
          <w:lang w:val="uk-UA"/>
        </w:rPr>
        <w:t>»</w:t>
      </w:r>
      <w:r w:rsidR="00EF703A" w:rsidRPr="007620A2">
        <w:rPr>
          <w:rFonts w:ascii="Times New Roman" w:hAnsi="Times New Roman" w:cs="Times New Roman"/>
          <w:color w:val="000000" w:themeColor="text1"/>
          <w:sz w:val="24"/>
          <w:szCs w:val="24"/>
          <w:lang w:val="uk-UA"/>
        </w:rPr>
        <w:t xml:space="preserve"> Чорноморської міської ради Одеського району Одеської області</w:t>
      </w:r>
      <w:r w:rsidR="00345A0F">
        <w:rPr>
          <w:rFonts w:ascii="Times New Roman" w:hAnsi="Times New Roman" w:cs="Times New Roman"/>
          <w:color w:val="000000" w:themeColor="text1"/>
          <w:sz w:val="24"/>
          <w:szCs w:val="24"/>
          <w:lang w:val="uk-UA"/>
        </w:rPr>
        <w:t xml:space="preserve"> </w:t>
      </w:r>
      <w:r w:rsidR="00720D7E">
        <w:rPr>
          <w:rFonts w:ascii="Times New Roman" w:hAnsi="Times New Roman" w:cs="Times New Roman"/>
          <w:color w:val="000000" w:themeColor="text1"/>
          <w:sz w:val="24"/>
          <w:szCs w:val="24"/>
          <w:lang w:val="uk-UA"/>
        </w:rPr>
        <w:t>13</w:t>
      </w:r>
      <w:r w:rsidR="00EF703A">
        <w:rPr>
          <w:rFonts w:ascii="Times New Roman" w:hAnsi="Times New Roman" w:cs="Times New Roman"/>
          <w:color w:val="000000" w:themeColor="text1"/>
          <w:sz w:val="24"/>
          <w:szCs w:val="24"/>
          <w:lang w:val="uk-UA"/>
        </w:rPr>
        <w:t> 402,</w:t>
      </w:r>
      <w:r w:rsidR="008F4DD7">
        <w:rPr>
          <w:rFonts w:ascii="Times New Roman" w:hAnsi="Times New Roman" w:cs="Times New Roman"/>
          <w:color w:val="000000" w:themeColor="text1"/>
          <w:sz w:val="24"/>
          <w:szCs w:val="24"/>
          <w:lang w:val="uk-UA"/>
        </w:rPr>
        <w:t>4</w:t>
      </w:r>
      <w:r w:rsidR="004D2204">
        <w:rPr>
          <w:rFonts w:ascii="Times New Roman" w:hAnsi="Times New Roman" w:cs="Times New Roman"/>
          <w:color w:val="000000" w:themeColor="text1"/>
          <w:sz w:val="24"/>
          <w:szCs w:val="24"/>
          <w:lang w:val="uk-UA"/>
        </w:rPr>
        <w:t xml:space="preserve"> </w:t>
      </w:r>
      <w:r w:rsidRPr="007620A2">
        <w:rPr>
          <w:rFonts w:ascii="Times New Roman" w:hAnsi="Times New Roman" w:cs="Times New Roman"/>
          <w:sz w:val="24"/>
          <w:szCs w:val="24"/>
          <w:lang w:val="uk-UA"/>
        </w:rPr>
        <w:t>тис. грн</w:t>
      </w:r>
      <w:r w:rsidR="00720D7E">
        <w:rPr>
          <w:rFonts w:ascii="Times New Roman" w:hAnsi="Times New Roman" w:cs="Times New Roman"/>
          <w:sz w:val="24"/>
          <w:szCs w:val="24"/>
          <w:lang w:val="uk-UA"/>
        </w:rPr>
        <w:t>, зокрема на з</w:t>
      </w:r>
      <w:r w:rsidR="00720D7E" w:rsidRPr="00720D7E">
        <w:rPr>
          <w:rFonts w:ascii="Times New Roman" w:hAnsi="Times New Roman" w:cs="Times New Roman"/>
          <w:sz w:val="24"/>
          <w:szCs w:val="24"/>
          <w:lang w:val="uk-UA"/>
        </w:rPr>
        <w:t>абезпечення відшкодування фактичних витрат на виплату безоплатного і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забезпечення осіб з інвалідністю, дітей з інвалідністю, інших окремих категорій населення медичними виробами та іншими засобами</w:t>
      </w:r>
      <w:r w:rsidR="00720D7E">
        <w:rPr>
          <w:rFonts w:ascii="Times New Roman" w:hAnsi="Times New Roman" w:cs="Times New Roman"/>
          <w:sz w:val="24"/>
          <w:szCs w:val="24"/>
          <w:lang w:val="uk-UA"/>
        </w:rPr>
        <w:t xml:space="preserve"> КНП </w:t>
      </w:r>
      <w:r w:rsidR="008F4DD7">
        <w:rPr>
          <w:rFonts w:ascii="Times New Roman" w:hAnsi="Times New Roman" w:cs="Times New Roman"/>
          <w:sz w:val="24"/>
          <w:szCs w:val="24"/>
          <w:lang w:val="uk-UA"/>
        </w:rPr>
        <w:t>«</w:t>
      </w:r>
      <w:r w:rsidR="00720D7E">
        <w:rPr>
          <w:rFonts w:ascii="Times New Roman" w:hAnsi="Times New Roman" w:cs="Times New Roman"/>
          <w:sz w:val="24"/>
          <w:szCs w:val="24"/>
          <w:lang w:val="uk-UA"/>
        </w:rPr>
        <w:t xml:space="preserve">Чорноморський </w:t>
      </w:r>
      <w:r w:rsidR="00720D7E" w:rsidRPr="007620A2">
        <w:rPr>
          <w:rFonts w:ascii="Times New Roman" w:hAnsi="Times New Roman" w:cs="Times New Roman"/>
          <w:sz w:val="24"/>
          <w:szCs w:val="24"/>
          <w:lang w:val="uk-UA"/>
        </w:rPr>
        <w:t>міський центр первинної медико-санітарної допомоги</w:t>
      </w:r>
      <w:r w:rsidR="008F4DD7">
        <w:rPr>
          <w:rFonts w:ascii="Times New Roman" w:hAnsi="Times New Roman" w:cs="Times New Roman"/>
          <w:sz w:val="24"/>
          <w:szCs w:val="24"/>
          <w:lang w:val="uk-UA"/>
        </w:rPr>
        <w:t>»</w:t>
      </w:r>
      <w:r w:rsidR="00720D7E">
        <w:rPr>
          <w:rFonts w:ascii="Times New Roman" w:hAnsi="Times New Roman" w:cs="Times New Roman"/>
          <w:sz w:val="24"/>
          <w:szCs w:val="24"/>
          <w:lang w:val="uk-UA"/>
        </w:rPr>
        <w:t xml:space="preserve"> передбачено 8 </w:t>
      </w:r>
      <w:r w:rsidR="00735248">
        <w:rPr>
          <w:rFonts w:ascii="Times New Roman" w:hAnsi="Times New Roman" w:cs="Times New Roman"/>
          <w:sz w:val="24"/>
          <w:szCs w:val="24"/>
          <w:lang w:val="uk-UA"/>
        </w:rPr>
        <w:t xml:space="preserve">857,0 </w:t>
      </w:r>
      <w:r w:rsidR="00720D7E" w:rsidRPr="00D00BC0">
        <w:rPr>
          <w:rFonts w:ascii="Times New Roman" w:hAnsi="Times New Roman" w:cs="Times New Roman"/>
          <w:sz w:val="24"/>
          <w:szCs w:val="24"/>
          <w:lang w:val="uk-UA"/>
        </w:rPr>
        <w:t>тис.</w:t>
      </w:r>
      <w:r w:rsidR="008F4DD7">
        <w:rPr>
          <w:rFonts w:ascii="Times New Roman" w:hAnsi="Times New Roman" w:cs="Times New Roman"/>
          <w:sz w:val="24"/>
          <w:szCs w:val="24"/>
          <w:lang w:val="uk-UA"/>
        </w:rPr>
        <w:t xml:space="preserve"> </w:t>
      </w:r>
      <w:r w:rsidR="00720D7E" w:rsidRPr="00D00BC0">
        <w:rPr>
          <w:rFonts w:ascii="Times New Roman" w:hAnsi="Times New Roman" w:cs="Times New Roman"/>
          <w:sz w:val="24"/>
          <w:szCs w:val="24"/>
          <w:lang w:val="uk-UA"/>
        </w:rPr>
        <w:t>грн.</w:t>
      </w:r>
    </w:p>
    <w:p w14:paraId="25851AD9" w14:textId="77777777" w:rsidR="00D00BC0" w:rsidRPr="007620A2" w:rsidRDefault="00D00BC0" w:rsidP="00D00BC0">
      <w:pPr>
        <w:tabs>
          <w:tab w:val="left" w:pos="709"/>
          <w:tab w:val="left" w:pos="851"/>
        </w:tabs>
        <w:spacing w:after="0" w:line="240" w:lineRule="auto"/>
        <w:ind w:firstLine="567"/>
        <w:jc w:val="both"/>
        <w:rPr>
          <w:rFonts w:ascii="Times New Roman" w:hAnsi="Times New Roman" w:cs="Times New Roman"/>
          <w:sz w:val="12"/>
          <w:szCs w:val="12"/>
          <w:lang w:val="uk-UA"/>
        </w:rPr>
      </w:pPr>
      <w:r>
        <w:rPr>
          <w:rFonts w:ascii="Times New Roman" w:hAnsi="Times New Roman" w:cs="Times New Roman"/>
          <w:sz w:val="24"/>
          <w:szCs w:val="24"/>
          <w:lang w:val="uk-UA"/>
        </w:rPr>
        <w:t xml:space="preserve">Вперше в бюджеті Чорноморської МТГ на 2025 рік по галузі </w:t>
      </w:r>
      <w:r>
        <w:rPr>
          <w:rFonts w:ascii="Times New Roman" w:hAnsi="Times New Roman" w:cs="Times New Roman"/>
          <w:color w:val="000000" w:themeColor="text1"/>
          <w:sz w:val="24"/>
          <w:szCs w:val="24"/>
          <w:lang w:val="uk-UA"/>
        </w:rPr>
        <w:t xml:space="preserve">«Охорона здоров’я» </w:t>
      </w:r>
      <w:r>
        <w:rPr>
          <w:rFonts w:ascii="Times New Roman" w:hAnsi="Times New Roman" w:cs="Times New Roman"/>
          <w:sz w:val="24"/>
          <w:szCs w:val="24"/>
          <w:lang w:val="uk-UA"/>
        </w:rPr>
        <w:t xml:space="preserve">враховані кошти у сумі 500,0 тис. грн на </w:t>
      </w:r>
      <w:r w:rsidRPr="00694B32">
        <w:rPr>
          <w:rFonts w:ascii="Times New Roman" w:hAnsi="Times New Roman" w:cs="Times New Roman"/>
          <w:sz w:val="24"/>
          <w:szCs w:val="24"/>
          <w:lang w:val="uk-UA"/>
        </w:rPr>
        <w:t xml:space="preserve">забезпечення жителів Чорноморської МТГ із захворюваннями опорно-рухового апарату засобами для ендопротезування суглобів в умовах стаціонарного лікування КНП </w:t>
      </w:r>
      <w:r>
        <w:rPr>
          <w:rFonts w:ascii="Times New Roman" w:hAnsi="Times New Roman" w:cs="Times New Roman"/>
          <w:sz w:val="24"/>
          <w:szCs w:val="24"/>
          <w:lang w:val="uk-UA"/>
        </w:rPr>
        <w:t>«</w:t>
      </w:r>
      <w:r w:rsidRPr="00694B32">
        <w:rPr>
          <w:rFonts w:ascii="Times New Roman" w:hAnsi="Times New Roman" w:cs="Times New Roman"/>
          <w:sz w:val="24"/>
          <w:szCs w:val="24"/>
          <w:lang w:val="uk-UA"/>
        </w:rPr>
        <w:t>Ч</w:t>
      </w:r>
      <w:r>
        <w:rPr>
          <w:rFonts w:ascii="Times New Roman" w:hAnsi="Times New Roman" w:cs="Times New Roman"/>
          <w:sz w:val="24"/>
          <w:szCs w:val="24"/>
          <w:lang w:val="uk-UA"/>
        </w:rPr>
        <w:t xml:space="preserve">орноморська лікарня» Чорноморської міської ради Одеського району Одеської області відповідно до </w:t>
      </w:r>
      <w:r w:rsidRPr="00694B32">
        <w:rPr>
          <w:rFonts w:ascii="Times New Roman" w:hAnsi="Times New Roman" w:cs="Times New Roman"/>
          <w:sz w:val="24"/>
          <w:szCs w:val="24"/>
          <w:lang w:val="uk-UA"/>
        </w:rPr>
        <w:t>Міської цільової програми забезпечення жителів Чорноморської міської територіальної громади засобами для ендопротезування суглобів на 2025 рік.</w:t>
      </w:r>
    </w:p>
    <w:p w14:paraId="335AA423" w14:textId="6C99C153" w:rsidR="0036726D" w:rsidRDefault="008F4DD7" w:rsidP="008F4DD7">
      <w:pPr>
        <w:tabs>
          <w:tab w:val="num" w:pos="0"/>
          <w:tab w:val="num" w:pos="1287"/>
          <w:tab w:val="num" w:pos="1579"/>
        </w:tabs>
        <w:spacing w:after="0" w:line="240" w:lineRule="auto"/>
        <w:ind w:right="-6" w:firstLine="567"/>
        <w:mirrorIndent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виконання заходів </w:t>
      </w:r>
      <w:r w:rsidRPr="0036726D">
        <w:rPr>
          <w:rFonts w:ascii="Times New Roman" w:hAnsi="Times New Roman" w:cs="Times New Roman"/>
          <w:b/>
          <w:sz w:val="24"/>
          <w:szCs w:val="24"/>
          <w:lang w:val="uk-UA"/>
        </w:rPr>
        <w:t>Міської цільової програми інформатизації Чорноморської міської територіальної громади на 2024 – 2026 роки</w:t>
      </w:r>
      <w:r>
        <w:rPr>
          <w:rFonts w:ascii="Times New Roman" w:hAnsi="Times New Roman" w:cs="Times New Roman"/>
          <w:sz w:val="24"/>
          <w:szCs w:val="24"/>
          <w:lang w:val="uk-UA"/>
        </w:rPr>
        <w:t>, затвердженої рішенням Чорноморської міської ради Одеського району Одеської області від 30.10.2024р. № 689-</w:t>
      </w:r>
      <w:r>
        <w:rPr>
          <w:rFonts w:ascii="Times New Roman" w:hAnsi="Times New Roman" w:cs="Times New Roman"/>
          <w:sz w:val="24"/>
          <w:szCs w:val="24"/>
          <w:lang w:val="en-US"/>
        </w:rPr>
        <w:t>VIII</w:t>
      </w:r>
      <w:r>
        <w:rPr>
          <w:rFonts w:ascii="Times New Roman" w:hAnsi="Times New Roman" w:cs="Times New Roman"/>
          <w:sz w:val="24"/>
          <w:szCs w:val="24"/>
          <w:lang w:val="uk-UA"/>
        </w:rPr>
        <w:t xml:space="preserve"> (зі змінами) передбачені кошти у сумі 145,2 тис. грн за КТПКВК МБ </w:t>
      </w:r>
      <w:r w:rsidR="0036726D">
        <w:rPr>
          <w:rFonts w:ascii="Times New Roman" w:hAnsi="Times New Roman" w:cs="Times New Roman"/>
          <w:sz w:val="24"/>
          <w:szCs w:val="24"/>
          <w:lang w:val="uk-UA"/>
        </w:rPr>
        <w:t xml:space="preserve">7520 «Реалізація Національної програми інформатизації» враховані кошти в загальній сумі 1 529,3 тис. гривень. </w:t>
      </w:r>
    </w:p>
    <w:p w14:paraId="60CE54FF" w14:textId="4B6749A3" w:rsidR="008F4DD7" w:rsidRDefault="008F4DD7" w:rsidP="008F4DD7">
      <w:pPr>
        <w:tabs>
          <w:tab w:val="num" w:pos="0"/>
          <w:tab w:val="num" w:pos="1287"/>
          <w:tab w:val="num" w:pos="1579"/>
        </w:tabs>
        <w:spacing w:after="0" w:line="240" w:lineRule="auto"/>
        <w:ind w:right="-6" w:firstLine="567"/>
        <w:mirrorIndents/>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rPr>
        <w:t xml:space="preserve">для </w:t>
      </w:r>
      <w:r w:rsidRPr="007620A2">
        <w:rPr>
          <w:rFonts w:ascii="Times New Roman" w:hAnsi="Times New Roman" w:cs="Times New Roman"/>
          <w:color w:val="000000" w:themeColor="text1"/>
          <w:sz w:val="24"/>
          <w:szCs w:val="24"/>
          <w:lang w:val="uk-UA"/>
        </w:rPr>
        <w:t>комунальн</w:t>
      </w:r>
      <w:r>
        <w:rPr>
          <w:rFonts w:ascii="Times New Roman" w:hAnsi="Times New Roman" w:cs="Times New Roman"/>
          <w:color w:val="000000" w:themeColor="text1"/>
          <w:sz w:val="24"/>
          <w:szCs w:val="24"/>
          <w:lang w:val="uk-UA"/>
        </w:rPr>
        <w:t xml:space="preserve">ого некомерційного </w:t>
      </w:r>
      <w:r w:rsidRPr="007620A2">
        <w:rPr>
          <w:rFonts w:ascii="Times New Roman" w:hAnsi="Times New Roman" w:cs="Times New Roman"/>
          <w:color w:val="000000" w:themeColor="text1"/>
          <w:sz w:val="24"/>
          <w:szCs w:val="24"/>
          <w:lang w:val="uk-UA"/>
        </w:rPr>
        <w:t>підприємств</w:t>
      </w:r>
      <w:r>
        <w:rPr>
          <w:rFonts w:ascii="Times New Roman" w:hAnsi="Times New Roman" w:cs="Times New Roman"/>
          <w:color w:val="000000" w:themeColor="text1"/>
          <w:sz w:val="24"/>
          <w:szCs w:val="24"/>
          <w:lang w:val="uk-UA"/>
        </w:rPr>
        <w:t>а «</w:t>
      </w:r>
      <w:r w:rsidRPr="007620A2">
        <w:rPr>
          <w:rFonts w:ascii="Times New Roman" w:hAnsi="Times New Roman" w:cs="Times New Roman"/>
          <w:sz w:val="24"/>
          <w:szCs w:val="24"/>
          <w:lang w:val="uk-UA"/>
        </w:rPr>
        <w:t>Чорноморський міський центр первинної медико-санітарної допомоги</w:t>
      </w:r>
      <w:r>
        <w:rPr>
          <w:rFonts w:ascii="Times New Roman" w:hAnsi="Times New Roman" w:cs="Times New Roman"/>
          <w:color w:val="000000" w:themeColor="text1"/>
          <w:sz w:val="24"/>
          <w:szCs w:val="24"/>
          <w:lang w:val="uk-UA"/>
        </w:rPr>
        <w:t>»</w:t>
      </w:r>
      <w:r w:rsidRPr="007620A2">
        <w:rPr>
          <w:rFonts w:ascii="Times New Roman" w:hAnsi="Times New Roman" w:cs="Times New Roman"/>
          <w:color w:val="000000" w:themeColor="text1"/>
          <w:sz w:val="24"/>
          <w:szCs w:val="24"/>
          <w:lang w:val="uk-UA"/>
        </w:rPr>
        <w:t xml:space="preserve"> Чорноморської міської ради Одеського району Одеської області</w:t>
      </w:r>
      <w:r>
        <w:rPr>
          <w:rFonts w:ascii="Times New Roman" w:hAnsi="Times New Roman" w:cs="Times New Roman"/>
          <w:color w:val="000000" w:themeColor="text1"/>
          <w:sz w:val="24"/>
          <w:szCs w:val="24"/>
          <w:lang w:val="uk-UA"/>
        </w:rPr>
        <w:t>.</w:t>
      </w:r>
    </w:p>
    <w:p w14:paraId="4A59D817" w14:textId="77777777" w:rsidR="00694B32" w:rsidRPr="00694B32" w:rsidRDefault="00694B32" w:rsidP="00694B32">
      <w:pPr>
        <w:tabs>
          <w:tab w:val="num" w:pos="0"/>
          <w:tab w:val="num" w:pos="1287"/>
          <w:tab w:val="num" w:pos="1579"/>
        </w:tabs>
        <w:spacing w:after="0" w:line="240" w:lineRule="auto"/>
        <w:ind w:right="-6" w:firstLine="567"/>
        <w:mirrorIndents/>
        <w:jc w:val="both"/>
        <w:rPr>
          <w:rFonts w:ascii="Times New Roman" w:hAnsi="Times New Roman" w:cs="Times New Roman"/>
          <w:sz w:val="24"/>
          <w:szCs w:val="24"/>
          <w:lang w:val="uk-UA"/>
        </w:rPr>
      </w:pPr>
    </w:p>
    <w:p w14:paraId="305AB170" w14:textId="77777777" w:rsidR="008A22EE" w:rsidRPr="007620A2" w:rsidRDefault="008A22EE" w:rsidP="008A22EE">
      <w:pPr>
        <w:spacing w:after="0" w:line="240" w:lineRule="auto"/>
        <w:jc w:val="center"/>
        <w:rPr>
          <w:rFonts w:ascii="Times New Roman" w:hAnsi="Times New Roman" w:cs="Times New Roman"/>
          <w:b/>
          <w:sz w:val="24"/>
          <w:szCs w:val="24"/>
          <w:lang w:val="uk-UA"/>
        </w:rPr>
      </w:pPr>
      <w:r w:rsidRPr="007620A2">
        <w:rPr>
          <w:rFonts w:ascii="Times New Roman" w:hAnsi="Times New Roman" w:cs="Times New Roman"/>
          <w:b/>
          <w:sz w:val="24"/>
          <w:szCs w:val="24"/>
          <w:lang w:val="uk-UA"/>
        </w:rPr>
        <w:t xml:space="preserve">УПРАВЛІННЯ ОСВІТИ ЧОРНОМОРСЬКОЇ МІСЬКОЇ РАДИ </w:t>
      </w:r>
    </w:p>
    <w:p w14:paraId="2255E198" w14:textId="77777777" w:rsidR="008A22EE" w:rsidRPr="007620A2" w:rsidRDefault="008A22EE" w:rsidP="008A22EE">
      <w:pPr>
        <w:spacing w:after="0" w:line="240" w:lineRule="auto"/>
        <w:jc w:val="center"/>
        <w:rPr>
          <w:rFonts w:ascii="Times New Roman" w:hAnsi="Times New Roman" w:cs="Times New Roman"/>
          <w:b/>
          <w:sz w:val="24"/>
          <w:szCs w:val="24"/>
          <w:lang w:val="uk-UA"/>
        </w:rPr>
      </w:pPr>
      <w:r w:rsidRPr="007620A2">
        <w:rPr>
          <w:rFonts w:ascii="Times New Roman" w:hAnsi="Times New Roman" w:cs="Times New Roman"/>
          <w:b/>
          <w:sz w:val="24"/>
          <w:szCs w:val="24"/>
          <w:lang w:val="uk-UA"/>
        </w:rPr>
        <w:t>ОДЕСЬКОГО РАЙОНУ ОДЕСЬКОЇ ОБЛАСТІ</w:t>
      </w:r>
    </w:p>
    <w:p w14:paraId="53BC37C5" w14:textId="77777777" w:rsidR="008A22EE" w:rsidRPr="007620A2" w:rsidRDefault="008A22EE" w:rsidP="008A22EE">
      <w:pPr>
        <w:tabs>
          <w:tab w:val="num" w:pos="0"/>
          <w:tab w:val="num" w:pos="1287"/>
          <w:tab w:val="num" w:pos="1579"/>
        </w:tabs>
        <w:spacing w:after="0" w:line="240" w:lineRule="auto"/>
        <w:ind w:right="-5" w:firstLine="567"/>
        <w:jc w:val="both"/>
        <w:rPr>
          <w:rFonts w:ascii="Times New Roman" w:hAnsi="Times New Roman" w:cs="Times New Roman"/>
          <w:sz w:val="24"/>
          <w:szCs w:val="24"/>
          <w:lang w:val="uk-UA"/>
        </w:rPr>
      </w:pPr>
    </w:p>
    <w:p w14:paraId="76B45934" w14:textId="099408BA" w:rsidR="008A22EE" w:rsidRPr="007620A2" w:rsidRDefault="008A22EE" w:rsidP="008A22EE">
      <w:pPr>
        <w:spacing w:after="0" w:line="240" w:lineRule="auto"/>
        <w:ind w:right="-5" w:firstLine="567"/>
        <w:jc w:val="both"/>
        <w:rPr>
          <w:rFonts w:ascii="Times New Roman" w:hAnsi="Times New Roman" w:cs="Times New Roman"/>
          <w:i/>
          <w:sz w:val="24"/>
          <w:szCs w:val="24"/>
          <w:lang w:val="uk-UA"/>
        </w:rPr>
      </w:pPr>
      <w:r w:rsidRPr="007620A2">
        <w:rPr>
          <w:rFonts w:ascii="Times New Roman" w:hAnsi="Times New Roman" w:cs="Times New Roman"/>
          <w:sz w:val="24"/>
          <w:szCs w:val="24"/>
          <w:lang w:val="uk-UA"/>
        </w:rPr>
        <w:t>Управлінню освіти Чорноморської міської ради Одеського району Одеської області в проєкті бюджету Чорноморської міської територіальної громади на 202</w:t>
      </w:r>
      <w:r w:rsidR="00CF236C" w:rsidRPr="007620A2">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визначені бюджетні призначення </w:t>
      </w:r>
      <w:r w:rsidRPr="007620A2">
        <w:rPr>
          <w:rFonts w:ascii="Times New Roman" w:hAnsi="Times New Roman" w:cs="Times New Roman"/>
          <w:b/>
          <w:sz w:val="24"/>
          <w:szCs w:val="24"/>
          <w:lang w:val="uk-UA"/>
        </w:rPr>
        <w:t xml:space="preserve">у сумі </w:t>
      </w:r>
      <w:r w:rsidR="00CF236C" w:rsidRPr="007620A2">
        <w:rPr>
          <w:rFonts w:ascii="Times New Roman" w:hAnsi="Times New Roman" w:cs="Times New Roman"/>
          <w:b/>
          <w:sz w:val="24"/>
          <w:szCs w:val="24"/>
          <w:lang w:val="uk-UA"/>
        </w:rPr>
        <w:t>410 213,2</w:t>
      </w:r>
      <w:r w:rsidRPr="007620A2">
        <w:rPr>
          <w:rFonts w:ascii="Times New Roman" w:hAnsi="Times New Roman" w:cs="Times New Roman"/>
          <w:b/>
          <w:sz w:val="24"/>
          <w:szCs w:val="24"/>
          <w:lang w:val="uk-UA"/>
        </w:rPr>
        <w:t xml:space="preserve"> тис. грн</w:t>
      </w:r>
      <w:r w:rsidRPr="007620A2">
        <w:rPr>
          <w:rFonts w:ascii="Times New Roman" w:hAnsi="Times New Roman" w:cs="Times New Roman"/>
          <w:sz w:val="24"/>
          <w:szCs w:val="24"/>
          <w:lang w:val="uk-UA"/>
        </w:rPr>
        <w:t xml:space="preserve">, в тому числі за загальним фондом – </w:t>
      </w:r>
      <w:r w:rsidR="00CF236C" w:rsidRPr="007620A2">
        <w:rPr>
          <w:rFonts w:ascii="Times New Roman" w:hAnsi="Times New Roman" w:cs="Times New Roman"/>
          <w:b/>
          <w:sz w:val="24"/>
          <w:szCs w:val="24"/>
          <w:lang w:val="uk-UA"/>
        </w:rPr>
        <w:t>398 428,5</w:t>
      </w:r>
      <w:r w:rsidRPr="007620A2">
        <w:rPr>
          <w:rFonts w:ascii="Times New Roman" w:hAnsi="Times New Roman" w:cs="Times New Roman"/>
          <w:b/>
          <w:sz w:val="24"/>
          <w:szCs w:val="24"/>
          <w:lang w:val="uk-UA"/>
        </w:rPr>
        <w:t xml:space="preserve"> тис. грн</w:t>
      </w:r>
      <w:r w:rsidRPr="007620A2">
        <w:rPr>
          <w:rFonts w:ascii="Times New Roman" w:hAnsi="Times New Roman" w:cs="Times New Roman"/>
          <w:sz w:val="24"/>
          <w:szCs w:val="24"/>
          <w:lang w:val="uk-UA"/>
        </w:rPr>
        <w:t xml:space="preserve"> та спеціальним фондом – </w:t>
      </w:r>
      <w:r w:rsidR="00CF236C" w:rsidRPr="007620A2">
        <w:rPr>
          <w:rFonts w:ascii="Times New Roman" w:hAnsi="Times New Roman" w:cs="Times New Roman"/>
          <w:b/>
          <w:sz w:val="24"/>
          <w:szCs w:val="24"/>
          <w:lang w:val="uk-UA"/>
        </w:rPr>
        <w:t>11 784,7</w:t>
      </w:r>
      <w:r w:rsidRPr="007620A2">
        <w:rPr>
          <w:rFonts w:ascii="Times New Roman" w:hAnsi="Times New Roman" w:cs="Times New Roman"/>
          <w:b/>
          <w:sz w:val="24"/>
          <w:szCs w:val="24"/>
          <w:lang w:val="uk-UA"/>
        </w:rPr>
        <w:t xml:space="preserve"> тис. грн</w:t>
      </w:r>
      <w:r w:rsidR="00CF236C" w:rsidRPr="007620A2">
        <w:rPr>
          <w:rFonts w:ascii="Times New Roman" w:hAnsi="Times New Roman" w:cs="Times New Roman"/>
          <w:b/>
          <w:sz w:val="24"/>
          <w:szCs w:val="24"/>
          <w:lang w:val="uk-UA"/>
        </w:rPr>
        <w:t xml:space="preserve"> (</w:t>
      </w:r>
      <w:r w:rsidR="00CE1C9D">
        <w:rPr>
          <w:rFonts w:ascii="Times New Roman" w:hAnsi="Times New Roman" w:cs="Times New Roman"/>
          <w:b/>
          <w:sz w:val="24"/>
          <w:szCs w:val="24"/>
          <w:lang w:val="uk-UA"/>
        </w:rPr>
        <w:t>із них</w:t>
      </w:r>
      <w:r w:rsidRPr="007620A2">
        <w:rPr>
          <w:rFonts w:ascii="Times New Roman" w:hAnsi="Times New Roman" w:cs="Times New Roman"/>
          <w:i/>
          <w:sz w:val="24"/>
          <w:szCs w:val="24"/>
          <w:lang w:val="uk-UA"/>
        </w:rPr>
        <w:t xml:space="preserve"> за рахунок власних надходжень бюджетних установ</w:t>
      </w:r>
      <w:r w:rsidR="00CF236C" w:rsidRPr="007620A2">
        <w:rPr>
          <w:rFonts w:ascii="Times New Roman" w:hAnsi="Times New Roman" w:cs="Times New Roman"/>
          <w:i/>
          <w:sz w:val="24"/>
          <w:szCs w:val="24"/>
          <w:lang w:val="uk-UA"/>
        </w:rPr>
        <w:t xml:space="preserve"> – 9 784,7 тис.</w:t>
      </w:r>
      <w:r w:rsidR="00B400FE">
        <w:rPr>
          <w:rFonts w:ascii="Times New Roman" w:hAnsi="Times New Roman" w:cs="Times New Roman"/>
          <w:i/>
          <w:sz w:val="24"/>
          <w:szCs w:val="24"/>
          <w:lang w:val="uk-UA"/>
        </w:rPr>
        <w:t xml:space="preserve"> </w:t>
      </w:r>
      <w:r w:rsidR="00CF236C" w:rsidRPr="007620A2">
        <w:rPr>
          <w:rFonts w:ascii="Times New Roman" w:hAnsi="Times New Roman" w:cs="Times New Roman"/>
          <w:i/>
          <w:sz w:val="24"/>
          <w:szCs w:val="24"/>
          <w:lang w:val="uk-UA"/>
        </w:rPr>
        <w:t>грн, бюджету розвитку – 2 000,0 тис.</w:t>
      </w:r>
      <w:r w:rsidR="00B400FE">
        <w:rPr>
          <w:rFonts w:ascii="Times New Roman" w:hAnsi="Times New Roman" w:cs="Times New Roman"/>
          <w:i/>
          <w:sz w:val="24"/>
          <w:szCs w:val="24"/>
          <w:lang w:val="uk-UA"/>
        </w:rPr>
        <w:t xml:space="preserve"> </w:t>
      </w:r>
      <w:r w:rsidR="00CF236C" w:rsidRPr="007620A2">
        <w:rPr>
          <w:rFonts w:ascii="Times New Roman" w:hAnsi="Times New Roman" w:cs="Times New Roman"/>
          <w:i/>
          <w:sz w:val="24"/>
          <w:szCs w:val="24"/>
          <w:lang w:val="uk-UA"/>
        </w:rPr>
        <w:t>грн).</w:t>
      </w:r>
    </w:p>
    <w:p w14:paraId="475FB26E" w14:textId="0F1F73A2" w:rsidR="008A22EE" w:rsidRPr="007620A2" w:rsidRDefault="008A22EE" w:rsidP="008A22EE">
      <w:pPr>
        <w:pStyle w:val="aa"/>
        <w:ind w:right="28" w:firstLine="567"/>
        <w:jc w:val="both"/>
        <w:rPr>
          <w:lang w:val="uk-UA"/>
        </w:rPr>
      </w:pPr>
      <w:r w:rsidRPr="007620A2">
        <w:rPr>
          <w:lang w:val="uk-UA"/>
        </w:rPr>
        <w:t>На території Чорноморської міської територіальної громади функціонує мережа закладів</w:t>
      </w:r>
      <w:r w:rsidR="00B400FE">
        <w:rPr>
          <w:lang w:val="uk-UA"/>
        </w:rPr>
        <w:t xml:space="preserve">, установ </w:t>
      </w:r>
      <w:r w:rsidRPr="007620A2">
        <w:rPr>
          <w:lang w:val="uk-UA"/>
        </w:rPr>
        <w:t xml:space="preserve"> та підрозділів, підпорядкованих управлінню освіти Чорноморської міської ради Одеського району Одеської області, яка  затверджена рішенням виконавчого комітету Чорноморської міської ради Одеського району Одеської області від </w:t>
      </w:r>
      <w:r w:rsidR="00E62631" w:rsidRPr="007620A2">
        <w:rPr>
          <w:lang w:val="uk-UA"/>
        </w:rPr>
        <w:t>30.10.2024 р. № 400</w:t>
      </w:r>
      <w:r w:rsidRPr="007620A2">
        <w:rPr>
          <w:lang w:val="uk-UA"/>
        </w:rPr>
        <w:t>, до якої входять:</w:t>
      </w:r>
    </w:p>
    <w:p w14:paraId="4D74335A" w14:textId="0107ADED" w:rsidR="008A22EE" w:rsidRPr="007620A2" w:rsidRDefault="00E62631"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 xml:space="preserve">сім ліцеїв у складі 257 </w:t>
      </w:r>
      <w:r w:rsidR="008A22EE" w:rsidRPr="007620A2">
        <w:rPr>
          <w:rFonts w:ascii="Times New Roman" w:eastAsia="Times New Roman" w:hAnsi="Times New Roman" w:cs="Times New Roman"/>
          <w:sz w:val="24"/>
          <w:szCs w:val="24"/>
          <w:lang w:val="uk-UA" w:eastAsia="ru-RU"/>
        </w:rPr>
        <w:t>клас</w:t>
      </w:r>
      <w:r w:rsidRPr="007620A2">
        <w:rPr>
          <w:rFonts w:ascii="Times New Roman" w:eastAsia="Times New Roman" w:hAnsi="Times New Roman" w:cs="Times New Roman"/>
          <w:sz w:val="24"/>
          <w:szCs w:val="24"/>
          <w:lang w:val="uk-UA" w:eastAsia="ru-RU"/>
        </w:rPr>
        <w:t>ів</w:t>
      </w:r>
      <w:r w:rsidR="008A22EE" w:rsidRPr="007620A2">
        <w:rPr>
          <w:rFonts w:ascii="Times New Roman" w:eastAsia="Times New Roman" w:hAnsi="Times New Roman" w:cs="Times New Roman"/>
          <w:sz w:val="24"/>
          <w:szCs w:val="24"/>
          <w:lang w:val="uk-UA" w:eastAsia="ru-RU"/>
        </w:rPr>
        <w:t xml:space="preserve">, в яких навчаються </w:t>
      </w:r>
      <w:r w:rsidRPr="007620A2">
        <w:rPr>
          <w:rFonts w:ascii="Times New Roman" w:eastAsia="Times New Roman" w:hAnsi="Times New Roman" w:cs="Times New Roman"/>
          <w:sz w:val="24"/>
          <w:szCs w:val="24"/>
          <w:lang w:val="uk-UA" w:eastAsia="ru-RU"/>
        </w:rPr>
        <w:t>6 564 учн</w:t>
      </w:r>
      <w:r w:rsidR="004D2204">
        <w:rPr>
          <w:rFonts w:ascii="Times New Roman" w:eastAsia="Times New Roman" w:hAnsi="Times New Roman" w:cs="Times New Roman"/>
          <w:sz w:val="24"/>
          <w:szCs w:val="24"/>
          <w:lang w:val="uk-UA" w:eastAsia="ru-RU"/>
        </w:rPr>
        <w:t>ів</w:t>
      </w:r>
      <w:r w:rsidR="008A22EE" w:rsidRPr="007620A2">
        <w:rPr>
          <w:rFonts w:ascii="Times New Roman" w:eastAsia="Times New Roman" w:hAnsi="Times New Roman" w:cs="Times New Roman"/>
          <w:sz w:val="24"/>
          <w:szCs w:val="24"/>
          <w:lang w:val="uk-UA" w:eastAsia="ru-RU"/>
        </w:rPr>
        <w:t>;</w:t>
      </w:r>
    </w:p>
    <w:p w14:paraId="7DE2E313" w14:textId="2A79CF61" w:rsidR="008A22EE" w:rsidRPr="007620A2" w:rsidRDefault="008A22EE"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Бурлачобалківська гімназія, в складі 9 класів, в яких навчають</w:t>
      </w:r>
      <w:r w:rsidR="00E62631" w:rsidRPr="007620A2">
        <w:rPr>
          <w:rFonts w:ascii="Times New Roman" w:eastAsia="Times New Roman" w:hAnsi="Times New Roman" w:cs="Times New Roman"/>
          <w:sz w:val="24"/>
          <w:szCs w:val="24"/>
          <w:lang w:val="uk-UA" w:eastAsia="ru-RU"/>
        </w:rPr>
        <w:t>ся 82</w:t>
      </w:r>
      <w:r w:rsidRPr="007620A2">
        <w:rPr>
          <w:rFonts w:ascii="Times New Roman" w:eastAsia="Times New Roman" w:hAnsi="Times New Roman" w:cs="Times New Roman"/>
          <w:sz w:val="24"/>
          <w:szCs w:val="24"/>
          <w:lang w:val="uk-UA" w:eastAsia="ru-RU"/>
        </w:rPr>
        <w:t xml:space="preserve"> учн</w:t>
      </w:r>
      <w:r w:rsidR="00B400FE">
        <w:rPr>
          <w:rFonts w:ascii="Times New Roman" w:eastAsia="Times New Roman" w:hAnsi="Times New Roman" w:cs="Times New Roman"/>
          <w:sz w:val="24"/>
          <w:szCs w:val="24"/>
          <w:lang w:val="uk-UA" w:eastAsia="ru-RU"/>
        </w:rPr>
        <w:t>я;</w:t>
      </w:r>
    </w:p>
    <w:p w14:paraId="042E58E0" w14:textId="4FE868FC" w:rsidR="008A22EE" w:rsidRPr="007620A2" w:rsidRDefault="008A22EE"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Олександрівський та Малодолинський заклади загаль</w:t>
      </w:r>
      <w:r w:rsidR="00E62631" w:rsidRPr="007620A2">
        <w:rPr>
          <w:rFonts w:ascii="Times New Roman" w:eastAsia="Times New Roman" w:hAnsi="Times New Roman" w:cs="Times New Roman"/>
          <w:sz w:val="24"/>
          <w:szCs w:val="24"/>
          <w:lang w:val="uk-UA" w:eastAsia="ru-RU"/>
        </w:rPr>
        <w:t>ної середньої освіти у складі 44 класів, в яких навчаються 983</w:t>
      </w:r>
      <w:r w:rsidRPr="007620A2">
        <w:rPr>
          <w:rFonts w:ascii="Times New Roman" w:eastAsia="Times New Roman" w:hAnsi="Times New Roman" w:cs="Times New Roman"/>
          <w:sz w:val="24"/>
          <w:szCs w:val="24"/>
          <w:lang w:val="uk-UA" w:eastAsia="ru-RU"/>
        </w:rPr>
        <w:t xml:space="preserve"> учн</w:t>
      </w:r>
      <w:r w:rsidR="00B400FE">
        <w:rPr>
          <w:rFonts w:ascii="Times New Roman" w:eastAsia="Times New Roman" w:hAnsi="Times New Roman" w:cs="Times New Roman"/>
          <w:sz w:val="24"/>
          <w:szCs w:val="24"/>
          <w:lang w:val="uk-UA" w:eastAsia="ru-RU"/>
        </w:rPr>
        <w:t>я</w:t>
      </w:r>
      <w:r w:rsidRPr="007620A2">
        <w:rPr>
          <w:rFonts w:ascii="Times New Roman" w:eastAsia="Times New Roman" w:hAnsi="Times New Roman" w:cs="Times New Roman"/>
          <w:sz w:val="24"/>
          <w:szCs w:val="24"/>
          <w:lang w:val="uk-UA" w:eastAsia="ru-RU"/>
        </w:rPr>
        <w:t>;</w:t>
      </w:r>
    </w:p>
    <w:p w14:paraId="66A56629" w14:textId="77777777" w:rsidR="00B400FE" w:rsidRDefault="008A22EE"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Чорноморська спеціальна школа Чорноморської міської ради Одеського району Одеської області у складі</w:t>
      </w:r>
      <w:r w:rsidR="00B400FE">
        <w:rPr>
          <w:rFonts w:ascii="Times New Roman" w:eastAsia="Times New Roman" w:hAnsi="Times New Roman" w:cs="Times New Roman"/>
          <w:sz w:val="24"/>
          <w:szCs w:val="24"/>
          <w:lang w:val="uk-UA" w:eastAsia="ru-RU"/>
        </w:rPr>
        <w:t>:</w:t>
      </w:r>
    </w:p>
    <w:p w14:paraId="333F5E23" w14:textId="77777777" w:rsidR="00B400FE" w:rsidRDefault="00B400FE" w:rsidP="00B400FE">
      <w:pPr>
        <w:tabs>
          <w:tab w:val="left" w:pos="709"/>
          <w:tab w:val="left" w:pos="851"/>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A22EE" w:rsidRPr="007620A2">
        <w:rPr>
          <w:rFonts w:ascii="Times New Roman" w:eastAsia="Times New Roman" w:hAnsi="Times New Roman" w:cs="Times New Roman"/>
          <w:sz w:val="24"/>
          <w:szCs w:val="24"/>
          <w:lang w:val="uk-UA" w:eastAsia="ru-RU"/>
        </w:rPr>
        <w:t xml:space="preserve"> 16 класів спеціальної за</w:t>
      </w:r>
      <w:r w:rsidR="00E62631" w:rsidRPr="007620A2">
        <w:rPr>
          <w:rFonts w:ascii="Times New Roman" w:eastAsia="Times New Roman" w:hAnsi="Times New Roman" w:cs="Times New Roman"/>
          <w:sz w:val="24"/>
          <w:szCs w:val="24"/>
          <w:lang w:val="uk-UA" w:eastAsia="ru-RU"/>
        </w:rPr>
        <w:t>гальноосвітньої школи і 183</w:t>
      </w:r>
      <w:r w:rsidR="008A22EE" w:rsidRPr="007620A2">
        <w:rPr>
          <w:rFonts w:ascii="Times New Roman" w:eastAsia="Times New Roman" w:hAnsi="Times New Roman" w:cs="Times New Roman"/>
          <w:sz w:val="24"/>
          <w:szCs w:val="24"/>
          <w:lang w:val="uk-UA" w:eastAsia="ru-RU"/>
        </w:rPr>
        <w:t xml:space="preserve"> учн</w:t>
      </w:r>
      <w:r>
        <w:rPr>
          <w:rFonts w:ascii="Times New Roman" w:eastAsia="Times New Roman" w:hAnsi="Times New Roman" w:cs="Times New Roman"/>
          <w:sz w:val="24"/>
          <w:szCs w:val="24"/>
          <w:lang w:val="uk-UA" w:eastAsia="ru-RU"/>
        </w:rPr>
        <w:t>я в них;</w:t>
      </w:r>
    </w:p>
    <w:p w14:paraId="01143E5A" w14:textId="488DF232" w:rsidR="008A22EE" w:rsidRPr="007620A2" w:rsidRDefault="00B400FE" w:rsidP="00B400FE">
      <w:pPr>
        <w:tabs>
          <w:tab w:val="left" w:pos="709"/>
          <w:tab w:val="left" w:pos="851"/>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8A22EE" w:rsidRPr="007620A2">
        <w:rPr>
          <w:rFonts w:ascii="Times New Roman" w:eastAsia="Times New Roman" w:hAnsi="Times New Roman" w:cs="Times New Roman"/>
          <w:sz w:val="24"/>
          <w:szCs w:val="24"/>
          <w:lang w:val="uk-UA" w:eastAsia="ru-RU"/>
        </w:rPr>
        <w:t xml:space="preserve"> 4</w:t>
      </w:r>
      <w:r w:rsidR="000B04B1" w:rsidRPr="007620A2">
        <w:rPr>
          <w:rFonts w:ascii="Times New Roman" w:eastAsia="Times New Roman" w:hAnsi="Times New Roman" w:cs="Times New Roman"/>
          <w:sz w:val="24"/>
          <w:szCs w:val="24"/>
          <w:lang w:val="uk-UA" w:eastAsia="ru-RU"/>
        </w:rPr>
        <w:t> </w:t>
      </w:r>
      <w:r w:rsidR="008A22EE" w:rsidRPr="007620A2">
        <w:rPr>
          <w:rFonts w:ascii="Times New Roman" w:eastAsia="Times New Roman" w:hAnsi="Times New Roman" w:cs="Times New Roman"/>
          <w:sz w:val="24"/>
          <w:szCs w:val="24"/>
          <w:lang w:val="uk-UA" w:eastAsia="ru-RU"/>
        </w:rPr>
        <w:t>спеціальних логопедичних груп дошкільного підрозділу і 60 дітей в них;</w:t>
      </w:r>
    </w:p>
    <w:p w14:paraId="00A8C649" w14:textId="5C11DC07" w:rsidR="008A22EE" w:rsidRPr="007620A2" w:rsidRDefault="008A22EE"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 xml:space="preserve">комунальна установа </w:t>
      </w:r>
      <w:r w:rsidR="00B400FE">
        <w:rPr>
          <w:rFonts w:ascii="Times New Roman" w:eastAsia="Times New Roman" w:hAnsi="Times New Roman" w:cs="Times New Roman"/>
          <w:sz w:val="24"/>
          <w:szCs w:val="24"/>
          <w:lang w:val="uk-UA" w:eastAsia="ru-RU"/>
        </w:rPr>
        <w:t>«</w:t>
      </w:r>
      <w:r w:rsidRPr="007620A2">
        <w:rPr>
          <w:rFonts w:ascii="Times New Roman" w:eastAsia="Times New Roman" w:hAnsi="Times New Roman" w:cs="Times New Roman"/>
          <w:sz w:val="24"/>
          <w:szCs w:val="24"/>
          <w:lang w:val="uk-UA" w:eastAsia="ru-RU"/>
        </w:rPr>
        <w:t>Інклюзивно-ресурсний центр</w:t>
      </w:r>
      <w:r w:rsidR="00B400FE">
        <w:rPr>
          <w:rFonts w:ascii="Times New Roman" w:eastAsia="Times New Roman" w:hAnsi="Times New Roman" w:cs="Times New Roman"/>
          <w:sz w:val="24"/>
          <w:szCs w:val="24"/>
          <w:lang w:val="uk-UA" w:eastAsia="ru-RU"/>
        </w:rPr>
        <w:t>»</w:t>
      </w:r>
      <w:r w:rsidRPr="007620A2">
        <w:rPr>
          <w:rFonts w:ascii="Times New Roman" w:eastAsia="Times New Roman" w:hAnsi="Times New Roman" w:cs="Times New Roman"/>
          <w:sz w:val="24"/>
          <w:szCs w:val="24"/>
          <w:lang w:val="uk-UA" w:eastAsia="ru-RU"/>
        </w:rPr>
        <w:t xml:space="preserve"> Чорноморської міської ради Одеської області; </w:t>
      </w:r>
    </w:p>
    <w:p w14:paraId="65CB8BDA" w14:textId="77777777" w:rsidR="008A22EE" w:rsidRPr="007620A2" w:rsidRDefault="008A22EE"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 xml:space="preserve">чотири </w:t>
      </w:r>
      <w:r w:rsidRPr="007620A2">
        <w:rPr>
          <w:rFonts w:ascii="Times New Roman" w:hAnsi="Times New Roman" w:cs="Times New Roman"/>
          <w:sz w:val="24"/>
          <w:szCs w:val="24"/>
          <w:lang w:val="uk-UA"/>
        </w:rPr>
        <w:t>заклади позашкільної освіти, з них дві спортивні школи (комплексна дитячо-юнацька спортивна школа та дитячо-юнацька спортивна шк</w:t>
      </w:r>
      <w:r w:rsidR="00762B97" w:rsidRPr="007620A2">
        <w:rPr>
          <w:rFonts w:ascii="Times New Roman" w:hAnsi="Times New Roman" w:cs="Times New Roman"/>
          <w:sz w:val="24"/>
          <w:szCs w:val="24"/>
          <w:lang w:val="uk-UA"/>
        </w:rPr>
        <w:t>ола з шахів та шашок) у складі 7</w:t>
      </w:r>
      <w:r w:rsidRPr="007620A2">
        <w:rPr>
          <w:rFonts w:ascii="Times New Roman" w:hAnsi="Times New Roman" w:cs="Times New Roman"/>
          <w:sz w:val="24"/>
          <w:szCs w:val="24"/>
          <w:lang w:val="uk-UA"/>
        </w:rPr>
        <w:t> відділень, 5</w:t>
      </w:r>
      <w:r w:rsidR="00762B97" w:rsidRPr="007620A2">
        <w:rPr>
          <w:rFonts w:ascii="Times New Roman" w:hAnsi="Times New Roman" w:cs="Times New Roman"/>
          <w:sz w:val="24"/>
          <w:szCs w:val="24"/>
          <w:lang w:val="uk-UA"/>
        </w:rPr>
        <w:t>4</w:t>
      </w:r>
      <w:r w:rsidRPr="007620A2">
        <w:rPr>
          <w:rFonts w:ascii="Times New Roman" w:hAnsi="Times New Roman" w:cs="Times New Roman"/>
          <w:sz w:val="24"/>
          <w:szCs w:val="24"/>
          <w:lang w:val="uk-UA"/>
        </w:rPr>
        <w:t xml:space="preserve"> груп, якими охоплено </w:t>
      </w:r>
      <w:r w:rsidR="00762B97" w:rsidRPr="007620A2">
        <w:rPr>
          <w:rFonts w:ascii="Times New Roman" w:hAnsi="Times New Roman" w:cs="Times New Roman"/>
          <w:sz w:val="24"/>
          <w:szCs w:val="24"/>
          <w:lang w:val="uk-UA"/>
        </w:rPr>
        <w:t>602 дитини</w:t>
      </w:r>
      <w:r w:rsidRPr="007620A2">
        <w:rPr>
          <w:rFonts w:ascii="Times New Roman" w:hAnsi="Times New Roman" w:cs="Times New Roman"/>
          <w:sz w:val="24"/>
          <w:szCs w:val="24"/>
          <w:lang w:val="uk-UA"/>
        </w:rPr>
        <w:t>), центр</w:t>
      </w:r>
      <w:r w:rsidR="00762B97" w:rsidRPr="007620A2">
        <w:rPr>
          <w:rFonts w:ascii="Times New Roman" w:hAnsi="Times New Roman" w:cs="Times New Roman"/>
          <w:sz w:val="24"/>
          <w:szCs w:val="24"/>
          <w:lang w:val="uk-UA"/>
        </w:rPr>
        <w:t xml:space="preserve"> </w:t>
      </w:r>
      <w:r w:rsidR="000B04B1" w:rsidRPr="007620A2">
        <w:rPr>
          <w:rFonts w:ascii="Times New Roman" w:hAnsi="Times New Roman" w:cs="Times New Roman"/>
          <w:sz w:val="24"/>
          <w:szCs w:val="24"/>
          <w:lang w:val="uk-UA"/>
        </w:rPr>
        <w:t>позашкільної освіти у складі 45 </w:t>
      </w:r>
      <w:r w:rsidR="00762B97" w:rsidRPr="007620A2">
        <w:rPr>
          <w:rFonts w:ascii="Times New Roman" w:hAnsi="Times New Roman" w:cs="Times New Roman"/>
          <w:sz w:val="24"/>
          <w:szCs w:val="24"/>
          <w:lang w:val="uk-UA"/>
        </w:rPr>
        <w:t xml:space="preserve">груп, якими охоплено 1910 </w:t>
      </w:r>
      <w:r w:rsidRPr="007620A2">
        <w:rPr>
          <w:rFonts w:ascii="Times New Roman" w:hAnsi="Times New Roman" w:cs="Times New Roman"/>
          <w:sz w:val="24"/>
          <w:szCs w:val="24"/>
          <w:lang w:val="uk-UA"/>
        </w:rPr>
        <w:t>учнів та дитячий стадіон «Шкільний» у складі 10 груп, якими охопле</w:t>
      </w:r>
      <w:r w:rsidR="00762B97" w:rsidRPr="007620A2">
        <w:rPr>
          <w:rFonts w:ascii="Times New Roman" w:hAnsi="Times New Roman" w:cs="Times New Roman"/>
          <w:sz w:val="24"/>
          <w:szCs w:val="24"/>
          <w:lang w:val="uk-UA"/>
        </w:rPr>
        <w:t>но 150</w:t>
      </w:r>
      <w:r w:rsidRPr="007620A2">
        <w:rPr>
          <w:rFonts w:ascii="Times New Roman" w:eastAsia="Times New Roman" w:hAnsi="Times New Roman" w:cs="Times New Roman"/>
          <w:sz w:val="24"/>
          <w:szCs w:val="24"/>
          <w:lang w:val="uk-UA" w:eastAsia="ru-RU"/>
        </w:rPr>
        <w:t xml:space="preserve"> учнів;</w:t>
      </w:r>
    </w:p>
    <w:p w14:paraId="4CC10B69" w14:textId="03BC3818" w:rsidR="008A22EE" w:rsidRPr="007620A2" w:rsidRDefault="008A22EE"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 xml:space="preserve">12 закладів дошкільної освіти у складі 106 груп і </w:t>
      </w:r>
      <w:r w:rsidR="00133D79" w:rsidRPr="007620A2">
        <w:rPr>
          <w:rFonts w:ascii="Times New Roman" w:eastAsia="Times New Roman" w:hAnsi="Times New Roman" w:cs="Times New Roman"/>
          <w:sz w:val="24"/>
          <w:szCs w:val="24"/>
          <w:lang w:val="uk-UA" w:eastAsia="ru-RU"/>
        </w:rPr>
        <w:t>1301 дитин</w:t>
      </w:r>
      <w:r w:rsidR="00A73979">
        <w:rPr>
          <w:rFonts w:ascii="Times New Roman" w:eastAsia="Times New Roman" w:hAnsi="Times New Roman" w:cs="Times New Roman"/>
          <w:sz w:val="24"/>
          <w:szCs w:val="24"/>
          <w:lang w:val="uk-UA" w:eastAsia="ru-RU"/>
        </w:rPr>
        <w:t>а</w:t>
      </w:r>
      <w:r w:rsidR="00133D79" w:rsidRPr="007620A2">
        <w:rPr>
          <w:rFonts w:ascii="Times New Roman" w:eastAsia="Times New Roman" w:hAnsi="Times New Roman" w:cs="Times New Roman"/>
          <w:sz w:val="24"/>
          <w:szCs w:val="24"/>
          <w:lang w:val="uk-UA" w:eastAsia="ru-RU"/>
        </w:rPr>
        <w:t xml:space="preserve"> </w:t>
      </w:r>
      <w:r w:rsidRPr="007620A2">
        <w:rPr>
          <w:rFonts w:ascii="Times New Roman" w:eastAsia="Times New Roman" w:hAnsi="Times New Roman" w:cs="Times New Roman"/>
          <w:sz w:val="24"/>
          <w:szCs w:val="24"/>
          <w:lang w:val="uk-UA" w:eastAsia="ru-RU"/>
        </w:rPr>
        <w:t>в них;</w:t>
      </w:r>
    </w:p>
    <w:p w14:paraId="24DFAB3D" w14:textId="77777777" w:rsidR="008A22EE" w:rsidRPr="007620A2" w:rsidRDefault="008A22EE"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Центр професійного розвитку педагогічних працівників Чорноморської міської ради Одеського району Одеської області;</w:t>
      </w:r>
    </w:p>
    <w:p w14:paraId="33B912CF" w14:textId="74A2EEED" w:rsidR="008A22EE" w:rsidRPr="007620A2" w:rsidRDefault="008A22EE"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централізована бухгалтерія</w:t>
      </w:r>
      <w:r w:rsidR="00A73979">
        <w:rPr>
          <w:rFonts w:ascii="Times New Roman" w:eastAsia="Times New Roman" w:hAnsi="Times New Roman" w:cs="Times New Roman"/>
          <w:sz w:val="24"/>
          <w:szCs w:val="24"/>
          <w:lang w:val="uk-UA" w:eastAsia="ru-RU"/>
        </w:rPr>
        <w:t>, підпорядкована</w:t>
      </w:r>
      <w:r w:rsidRPr="007620A2">
        <w:rPr>
          <w:rFonts w:ascii="Times New Roman" w:eastAsia="Times New Roman" w:hAnsi="Times New Roman" w:cs="Times New Roman"/>
          <w:sz w:val="24"/>
          <w:szCs w:val="24"/>
          <w:lang w:val="uk-UA" w:eastAsia="ru-RU"/>
        </w:rPr>
        <w:t xml:space="preserve"> управлінн</w:t>
      </w:r>
      <w:r w:rsidR="00A73979">
        <w:rPr>
          <w:rFonts w:ascii="Times New Roman" w:eastAsia="Times New Roman" w:hAnsi="Times New Roman" w:cs="Times New Roman"/>
          <w:sz w:val="24"/>
          <w:szCs w:val="24"/>
          <w:lang w:val="uk-UA" w:eastAsia="ru-RU"/>
        </w:rPr>
        <w:t xml:space="preserve">ю </w:t>
      </w:r>
      <w:r w:rsidRPr="007620A2">
        <w:rPr>
          <w:rFonts w:ascii="Times New Roman" w:eastAsia="Times New Roman" w:hAnsi="Times New Roman" w:cs="Times New Roman"/>
          <w:sz w:val="24"/>
          <w:szCs w:val="24"/>
          <w:lang w:val="uk-UA" w:eastAsia="ru-RU"/>
        </w:rPr>
        <w:t>освіти Чорноморської міської ради Одеського району Одеської області;</w:t>
      </w:r>
    </w:p>
    <w:p w14:paraId="5E136C42" w14:textId="5EAC6F22" w:rsidR="008A22EE" w:rsidRPr="007620A2" w:rsidRDefault="008A22EE" w:rsidP="00CE1C9D">
      <w:pPr>
        <w:numPr>
          <w:ilvl w:val="0"/>
          <w:numId w:val="23"/>
        </w:numPr>
        <w:tabs>
          <w:tab w:val="left" w:pos="709"/>
          <w:tab w:val="left" w:pos="851"/>
        </w:tabs>
        <w:spacing w:after="0" w:line="240" w:lineRule="auto"/>
        <w:ind w:left="0" w:firstLine="567"/>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sz w:val="24"/>
          <w:szCs w:val="24"/>
          <w:lang w:val="uk-UA" w:eastAsia="ru-RU"/>
        </w:rPr>
        <w:t>господарча група</w:t>
      </w:r>
      <w:r w:rsidR="00A73979">
        <w:rPr>
          <w:rFonts w:ascii="Times New Roman" w:eastAsia="Times New Roman" w:hAnsi="Times New Roman" w:cs="Times New Roman"/>
          <w:sz w:val="24"/>
          <w:szCs w:val="24"/>
          <w:lang w:val="uk-UA" w:eastAsia="ru-RU"/>
        </w:rPr>
        <w:t>, підпорядкована</w:t>
      </w:r>
      <w:r w:rsidRPr="007620A2">
        <w:rPr>
          <w:rFonts w:ascii="Times New Roman" w:eastAsia="Times New Roman" w:hAnsi="Times New Roman" w:cs="Times New Roman"/>
          <w:sz w:val="24"/>
          <w:szCs w:val="24"/>
          <w:lang w:val="uk-UA" w:eastAsia="ru-RU"/>
        </w:rPr>
        <w:t xml:space="preserve"> управлінн</w:t>
      </w:r>
      <w:r w:rsidR="00A73979">
        <w:rPr>
          <w:rFonts w:ascii="Times New Roman" w:eastAsia="Times New Roman" w:hAnsi="Times New Roman" w:cs="Times New Roman"/>
          <w:sz w:val="24"/>
          <w:szCs w:val="24"/>
          <w:lang w:val="uk-UA" w:eastAsia="ru-RU"/>
        </w:rPr>
        <w:t>ю</w:t>
      </w:r>
      <w:r w:rsidRPr="007620A2">
        <w:rPr>
          <w:rFonts w:ascii="Times New Roman" w:eastAsia="Times New Roman" w:hAnsi="Times New Roman" w:cs="Times New Roman"/>
          <w:sz w:val="24"/>
          <w:szCs w:val="24"/>
          <w:lang w:val="uk-UA" w:eastAsia="ru-RU"/>
        </w:rPr>
        <w:t xml:space="preserve"> освіти Чорноморської міської ради Одеського району Одеської області.</w:t>
      </w:r>
    </w:p>
    <w:p w14:paraId="2A2D10BF" w14:textId="3B9BB86D" w:rsidR="008A22EE" w:rsidRPr="007620A2" w:rsidRDefault="0022769C" w:rsidP="008A22EE">
      <w:pPr>
        <w:tabs>
          <w:tab w:val="left" w:pos="709"/>
          <w:tab w:val="left" w:pos="851"/>
        </w:tabs>
        <w:spacing w:after="0" w:line="240" w:lineRule="auto"/>
        <w:jc w:val="both"/>
        <w:rPr>
          <w:rFonts w:ascii="Times New Roman" w:eastAsia="Times New Roman" w:hAnsi="Times New Roman" w:cs="Times New Roman"/>
          <w:sz w:val="24"/>
          <w:szCs w:val="24"/>
          <w:lang w:val="uk-UA" w:eastAsia="ru-RU"/>
        </w:rPr>
      </w:pPr>
      <w:r w:rsidRPr="007620A2">
        <w:rPr>
          <w:rFonts w:ascii="Times New Roman" w:eastAsia="Times New Roman" w:hAnsi="Times New Roman" w:cs="Times New Roman"/>
          <w:noProof/>
          <w:sz w:val="24"/>
          <w:szCs w:val="24"/>
          <w:lang w:eastAsia="ru-RU"/>
        </w:rPr>
        <w:drawing>
          <wp:inline distT="0" distB="0" distL="0" distR="0" wp14:anchorId="5FFEF048" wp14:editId="3BD84E08">
            <wp:extent cx="6576060" cy="4610100"/>
            <wp:effectExtent l="0" t="0" r="15240" b="0"/>
            <wp:docPr id="2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DE83107" w14:textId="3C20280E" w:rsidR="008A22EE" w:rsidRPr="007620A2" w:rsidRDefault="008A22EE" w:rsidP="008A22EE">
      <w:pPr>
        <w:tabs>
          <w:tab w:val="left" w:pos="709"/>
          <w:tab w:val="left" w:pos="851"/>
        </w:tabs>
        <w:spacing w:after="0" w:line="240" w:lineRule="auto"/>
        <w:ind w:left="-567"/>
        <w:jc w:val="both"/>
        <w:rPr>
          <w:rFonts w:ascii="Times New Roman" w:eastAsia="Times New Roman" w:hAnsi="Times New Roman" w:cs="Times New Roman"/>
          <w:sz w:val="24"/>
          <w:szCs w:val="24"/>
          <w:lang w:val="uk-UA" w:eastAsia="ru-RU"/>
        </w:rPr>
      </w:pPr>
    </w:p>
    <w:p w14:paraId="6FAD9183" w14:textId="77777777" w:rsidR="008A22EE" w:rsidRPr="007620A2" w:rsidRDefault="008A22EE" w:rsidP="008A22EE">
      <w:pPr>
        <w:pStyle w:val="aa"/>
        <w:ind w:right="28"/>
        <w:jc w:val="both"/>
        <w:rPr>
          <w:lang w:val="uk-UA"/>
        </w:rPr>
      </w:pPr>
    </w:p>
    <w:p w14:paraId="70B442BA" w14:textId="77777777" w:rsidR="008A22EE" w:rsidRPr="007620A2" w:rsidRDefault="008A22EE" w:rsidP="008A22EE">
      <w:pPr>
        <w:pStyle w:val="aa"/>
        <w:ind w:left="14" w:right="28" w:firstLine="553"/>
        <w:jc w:val="both"/>
        <w:rPr>
          <w:lang w:val="uk-UA"/>
        </w:rPr>
      </w:pPr>
      <w:r w:rsidRPr="007620A2">
        <w:rPr>
          <w:lang w:val="uk-UA"/>
        </w:rPr>
        <w:t xml:space="preserve">В загальному обсязі видатків загального фонду, що визначені головному розпоряднику, </w:t>
      </w:r>
      <w:r w:rsidR="00D92519" w:rsidRPr="007620A2">
        <w:rPr>
          <w:lang w:val="uk-UA"/>
        </w:rPr>
        <w:t>92,6</w:t>
      </w:r>
      <w:r w:rsidRPr="007620A2">
        <w:rPr>
          <w:lang w:val="uk-UA"/>
        </w:rPr>
        <w:t xml:space="preserve"> % або </w:t>
      </w:r>
      <w:r w:rsidR="00D92519" w:rsidRPr="007620A2">
        <w:rPr>
          <w:lang w:val="uk-UA"/>
        </w:rPr>
        <w:t>368 983,6</w:t>
      </w:r>
      <w:r w:rsidRPr="007620A2">
        <w:rPr>
          <w:lang w:val="uk-UA"/>
        </w:rPr>
        <w:t xml:space="preserve"> тис. грн  складають  захищені видатки.</w:t>
      </w:r>
    </w:p>
    <w:p w14:paraId="57C470AE" w14:textId="74365854" w:rsidR="00D92519" w:rsidRPr="007620A2" w:rsidRDefault="008A22EE" w:rsidP="008A22EE">
      <w:pPr>
        <w:pStyle w:val="aa"/>
        <w:ind w:left="14" w:right="28" w:firstLine="553"/>
        <w:jc w:val="both"/>
        <w:rPr>
          <w:lang w:val="uk-UA"/>
        </w:rPr>
      </w:pPr>
      <w:r w:rsidRPr="00CE1C9D">
        <w:rPr>
          <w:b/>
          <w:bCs/>
          <w:lang w:val="uk-UA"/>
        </w:rPr>
        <w:t>Видатки на оплату праці</w:t>
      </w:r>
      <w:r w:rsidRPr="007620A2">
        <w:rPr>
          <w:lang w:val="uk-UA"/>
        </w:rPr>
        <w:t xml:space="preserve"> і нарахування на оплату праці розраховані у сумі                        </w:t>
      </w:r>
      <w:r w:rsidR="00CF236C" w:rsidRPr="007620A2">
        <w:rPr>
          <w:lang w:val="uk-UA"/>
        </w:rPr>
        <w:t>294 627,1</w:t>
      </w:r>
      <w:r w:rsidRPr="007620A2">
        <w:rPr>
          <w:lang w:val="uk-UA"/>
        </w:rPr>
        <w:t xml:space="preserve"> тис. грн, в т.</w:t>
      </w:r>
      <w:r w:rsidR="001F692A">
        <w:rPr>
          <w:lang w:val="uk-UA"/>
        </w:rPr>
        <w:t xml:space="preserve"> </w:t>
      </w:r>
      <w:r w:rsidRPr="007620A2">
        <w:rPr>
          <w:lang w:val="uk-UA"/>
        </w:rPr>
        <w:t xml:space="preserve">ч. за рахунок освітньої субвенції – </w:t>
      </w:r>
      <w:r w:rsidR="00CF236C" w:rsidRPr="007620A2">
        <w:rPr>
          <w:lang w:val="uk-UA"/>
        </w:rPr>
        <w:t>103 011,5</w:t>
      </w:r>
      <w:r w:rsidRPr="007620A2">
        <w:rPr>
          <w:lang w:val="uk-UA"/>
        </w:rPr>
        <w:t xml:space="preserve"> тис. грн. </w:t>
      </w:r>
    </w:p>
    <w:p w14:paraId="2623A093" w14:textId="40B88817" w:rsidR="00D92519" w:rsidRPr="007620A2" w:rsidRDefault="00D92519" w:rsidP="00D92519">
      <w:pPr>
        <w:pStyle w:val="aa"/>
        <w:ind w:firstLine="567"/>
        <w:jc w:val="both"/>
        <w:rPr>
          <w:lang w:val="uk-UA"/>
        </w:rPr>
      </w:pPr>
      <w:r w:rsidRPr="007620A2">
        <w:rPr>
          <w:lang w:val="uk-UA"/>
        </w:rPr>
        <w:t xml:space="preserve">Штатна чисельність установ освіти, фінансування яких здійснюється за рахунок коштів загального фонду бюджету Чорноморської </w:t>
      </w:r>
      <w:r w:rsidR="001F692A">
        <w:rPr>
          <w:lang w:val="uk-UA"/>
        </w:rPr>
        <w:t>МТГ</w:t>
      </w:r>
      <w:r w:rsidRPr="007620A2">
        <w:rPr>
          <w:lang w:val="uk-UA"/>
        </w:rPr>
        <w:t>, складає 2 164 одиниць (у тому числі управління освіти 11 од.).</w:t>
      </w:r>
    </w:p>
    <w:p w14:paraId="3FD3E751" w14:textId="31772800" w:rsidR="008A22EE" w:rsidRPr="007620A2" w:rsidRDefault="008A22EE" w:rsidP="008A22EE">
      <w:pPr>
        <w:pStyle w:val="aa"/>
        <w:ind w:left="14" w:right="28" w:firstLine="553"/>
        <w:jc w:val="both"/>
        <w:rPr>
          <w:lang w:val="uk-UA"/>
        </w:rPr>
      </w:pPr>
      <w:r w:rsidRPr="00CE1C9D">
        <w:rPr>
          <w:b/>
          <w:bCs/>
          <w:lang w:val="uk-UA"/>
        </w:rPr>
        <w:t>Видатки на оплату комунальних послуг</w:t>
      </w:r>
      <w:r w:rsidRPr="007620A2">
        <w:rPr>
          <w:lang w:val="uk-UA"/>
        </w:rPr>
        <w:t xml:space="preserve"> та енергоносіїв розраховані у сумі</w:t>
      </w:r>
      <w:r w:rsidR="001F692A">
        <w:rPr>
          <w:lang w:val="uk-UA"/>
        </w:rPr>
        <w:t xml:space="preserve"> </w:t>
      </w:r>
      <w:r w:rsidR="00CF236C" w:rsidRPr="007620A2">
        <w:rPr>
          <w:lang w:val="uk-UA"/>
        </w:rPr>
        <w:t>36 013,4</w:t>
      </w:r>
      <w:r w:rsidRPr="007620A2">
        <w:rPr>
          <w:lang w:val="uk-UA"/>
        </w:rPr>
        <w:t xml:space="preserve"> тис. грн.</w:t>
      </w:r>
    </w:p>
    <w:p w14:paraId="104B2E63" w14:textId="77777777" w:rsidR="008A22EE" w:rsidRPr="007620A2" w:rsidRDefault="008A22EE" w:rsidP="008A22EE">
      <w:pPr>
        <w:pStyle w:val="aa"/>
        <w:ind w:left="14" w:right="28" w:firstLine="553"/>
        <w:jc w:val="both"/>
        <w:rPr>
          <w:lang w:val="uk-UA"/>
        </w:rPr>
      </w:pPr>
      <w:r w:rsidRPr="00CE1C9D">
        <w:rPr>
          <w:b/>
          <w:bCs/>
          <w:lang w:val="uk-UA"/>
        </w:rPr>
        <w:t>Видатки на харчування</w:t>
      </w:r>
      <w:r w:rsidRPr="007620A2">
        <w:rPr>
          <w:lang w:val="uk-UA"/>
        </w:rPr>
        <w:t xml:space="preserve"> в загальному фонді розраховані у сумі </w:t>
      </w:r>
      <w:r w:rsidR="00872777" w:rsidRPr="007620A2">
        <w:rPr>
          <w:lang w:val="uk-UA"/>
        </w:rPr>
        <w:t>36 </w:t>
      </w:r>
      <w:r w:rsidR="00EC5A8E" w:rsidRPr="007620A2">
        <w:rPr>
          <w:lang w:val="uk-UA"/>
        </w:rPr>
        <w:t>2</w:t>
      </w:r>
      <w:r w:rsidR="00872777" w:rsidRPr="007620A2">
        <w:rPr>
          <w:lang w:val="uk-UA"/>
        </w:rPr>
        <w:t>60,0</w:t>
      </w:r>
      <w:r w:rsidRPr="007620A2">
        <w:rPr>
          <w:lang w:val="uk-UA"/>
        </w:rPr>
        <w:t xml:space="preserve"> тис. грн, із яких:</w:t>
      </w:r>
    </w:p>
    <w:p w14:paraId="2F3F4BA8" w14:textId="77777777" w:rsidR="008A22EE" w:rsidRPr="007620A2" w:rsidRDefault="008A22EE" w:rsidP="00304F67">
      <w:pPr>
        <w:pStyle w:val="aa"/>
        <w:numPr>
          <w:ilvl w:val="0"/>
          <w:numId w:val="14"/>
        </w:numPr>
        <w:tabs>
          <w:tab w:val="clear" w:pos="720"/>
        </w:tabs>
        <w:ind w:left="14" w:right="28" w:firstLine="553"/>
        <w:jc w:val="both"/>
        <w:rPr>
          <w:lang w:val="uk-UA"/>
        </w:rPr>
      </w:pPr>
      <w:r w:rsidRPr="007620A2">
        <w:rPr>
          <w:b/>
          <w:lang w:val="uk-UA"/>
        </w:rPr>
        <w:t xml:space="preserve">для закладів дошкільної освіти </w:t>
      </w:r>
      <w:r w:rsidRPr="007620A2">
        <w:rPr>
          <w:lang w:val="uk-UA"/>
        </w:rPr>
        <w:t>– 7 000,0 тис. грн, які розраховані з урахуванням відшкодування вартості харчування за рахунок коштів бюджету громади на рівні 30 % вартості харчування в день на одну дитину.</w:t>
      </w:r>
    </w:p>
    <w:p w14:paraId="2A462EA5" w14:textId="77777777" w:rsidR="008A22EE" w:rsidRPr="007620A2" w:rsidRDefault="008A22EE" w:rsidP="008A22EE">
      <w:pPr>
        <w:pStyle w:val="aa"/>
        <w:ind w:left="14" w:right="28" w:firstLine="553"/>
        <w:jc w:val="both"/>
        <w:rPr>
          <w:lang w:val="uk-UA"/>
        </w:rPr>
      </w:pPr>
      <w:r w:rsidRPr="007620A2">
        <w:rPr>
          <w:lang w:val="uk-UA"/>
        </w:rPr>
        <w:t>Розмір батьківської плати за харчування дітей, місце реєстрації яких на території Чорноморської міської ради Одеського району Одеської області, в дошкільних навчальних закладах становить не менше 70 відсотків від вартості харчування в день на одну дитину.</w:t>
      </w:r>
    </w:p>
    <w:p w14:paraId="5BB3D1DB" w14:textId="77777777" w:rsidR="008A22EE" w:rsidRPr="007620A2" w:rsidRDefault="008A22EE" w:rsidP="008A22EE">
      <w:pPr>
        <w:pStyle w:val="aa"/>
        <w:ind w:left="14" w:right="28" w:firstLine="553"/>
        <w:jc w:val="both"/>
        <w:rPr>
          <w:lang w:val="uk-UA"/>
        </w:rPr>
      </w:pPr>
      <w:r w:rsidRPr="007620A2">
        <w:rPr>
          <w:lang w:val="uk-UA"/>
        </w:rPr>
        <w:t xml:space="preserve">- </w:t>
      </w:r>
      <w:r w:rsidRPr="007620A2">
        <w:rPr>
          <w:b/>
          <w:lang w:val="uk-UA"/>
        </w:rPr>
        <w:t>для Чорноморської спеціальної школи</w:t>
      </w:r>
      <w:r w:rsidRPr="007620A2">
        <w:rPr>
          <w:lang w:val="uk-UA"/>
        </w:rPr>
        <w:t xml:space="preserve"> – </w:t>
      </w:r>
      <w:r w:rsidR="00D92519" w:rsidRPr="007620A2">
        <w:rPr>
          <w:lang w:val="uk-UA"/>
        </w:rPr>
        <w:t xml:space="preserve">2 000,0 </w:t>
      </w:r>
      <w:r w:rsidRPr="007620A2">
        <w:rPr>
          <w:lang w:val="uk-UA"/>
        </w:rPr>
        <w:t>тис. грн, що дозволить забезпечити безоплатне гаряче харчування здобувачів освіти спеціальної школи за таким режимом:</w:t>
      </w:r>
    </w:p>
    <w:p w14:paraId="1C86B21A" w14:textId="3CF386CC" w:rsidR="008A22EE" w:rsidRPr="007620A2" w:rsidRDefault="008A22EE" w:rsidP="00E67FF2">
      <w:pPr>
        <w:pStyle w:val="aa"/>
        <w:numPr>
          <w:ilvl w:val="0"/>
          <w:numId w:val="25"/>
        </w:numPr>
        <w:tabs>
          <w:tab w:val="left" w:pos="709"/>
          <w:tab w:val="left" w:pos="851"/>
        </w:tabs>
        <w:ind w:left="0" w:right="28" w:firstLine="567"/>
        <w:jc w:val="both"/>
        <w:rPr>
          <w:lang w:val="uk-UA"/>
        </w:rPr>
      </w:pPr>
      <w:r w:rsidRPr="007620A2">
        <w:rPr>
          <w:lang w:val="uk-UA"/>
        </w:rPr>
        <w:t>учнів 1-4 класів, які відвідують групи продовженого дня, - дворазовим харчуванням (сніданок, обід)</w:t>
      </w:r>
      <w:r w:rsidR="001D4BB6">
        <w:rPr>
          <w:lang w:val="uk-UA"/>
        </w:rPr>
        <w:t>;</w:t>
      </w:r>
    </w:p>
    <w:p w14:paraId="766B465D" w14:textId="6E367205" w:rsidR="008A22EE" w:rsidRPr="007620A2" w:rsidRDefault="008A22EE" w:rsidP="00E67FF2">
      <w:pPr>
        <w:pStyle w:val="aa"/>
        <w:numPr>
          <w:ilvl w:val="0"/>
          <w:numId w:val="25"/>
        </w:numPr>
        <w:tabs>
          <w:tab w:val="left" w:pos="709"/>
          <w:tab w:val="left" w:pos="851"/>
        </w:tabs>
        <w:ind w:left="0" w:right="28" w:firstLine="567"/>
        <w:jc w:val="both"/>
        <w:rPr>
          <w:lang w:val="uk-UA"/>
        </w:rPr>
      </w:pPr>
      <w:r w:rsidRPr="007620A2">
        <w:rPr>
          <w:lang w:val="uk-UA"/>
        </w:rPr>
        <w:t>учнів 5-9 класів – дворазовим харчуванням  (сніданок, обід);</w:t>
      </w:r>
    </w:p>
    <w:p w14:paraId="71F1DF88" w14:textId="77777777" w:rsidR="001D4BB6" w:rsidRDefault="008A22EE" w:rsidP="001D4BB6">
      <w:pPr>
        <w:pStyle w:val="aa"/>
        <w:numPr>
          <w:ilvl w:val="0"/>
          <w:numId w:val="25"/>
        </w:numPr>
        <w:tabs>
          <w:tab w:val="left" w:pos="709"/>
          <w:tab w:val="left" w:pos="851"/>
        </w:tabs>
        <w:ind w:left="0" w:right="28" w:firstLine="567"/>
        <w:jc w:val="both"/>
        <w:rPr>
          <w:lang w:val="uk-UA"/>
        </w:rPr>
      </w:pPr>
      <w:r w:rsidRPr="007620A2">
        <w:rPr>
          <w:lang w:val="uk-UA"/>
        </w:rPr>
        <w:t>дітей, які відвідують спеціальні логопедичні групи дошкільного підрозділу</w:t>
      </w:r>
      <w:r w:rsidR="001D4BB6">
        <w:rPr>
          <w:lang w:val="uk-UA"/>
        </w:rPr>
        <w:t>;</w:t>
      </w:r>
      <w:r w:rsidRPr="007620A2">
        <w:rPr>
          <w:lang w:val="uk-UA"/>
        </w:rPr>
        <w:t xml:space="preserve"> </w:t>
      </w:r>
    </w:p>
    <w:p w14:paraId="2E963F30" w14:textId="67194DAE" w:rsidR="008A22EE" w:rsidRPr="007620A2" w:rsidRDefault="008A22EE" w:rsidP="001D4BB6">
      <w:pPr>
        <w:pStyle w:val="aa"/>
        <w:tabs>
          <w:tab w:val="left" w:pos="709"/>
          <w:tab w:val="left" w:pos="851"/>
        </w:tabs>
        <w:ind w:right="28" w:firstLine="567"/>
        <w:jc w:val="both"/>
        <w:rPr>
          <w:lang w:val="uk-UA"/>
        </w:rPr>
      </w:pPr>
      <w:r w:rsidRPr="007620A2">
        <w:rPr>
          <w:lang w:val="uk-UA"/>
        </w:rPr>
        <w:t>-</w:t>
      </w:r>
      <w:r w:rsidRPr="007620A2">
        <w:rPr>
          <w:lang w:val="uk-UA"/>
        </w:rPr>
        <w:tab/>
      </w:r>
      <w:r w:rsidRPr="007620A2">
        <w:rPr>
          <w:b/>
          <w:lang w:val="uk-UA"/>
        </w:rPr>
        <w:t xml:space="preserve">для закладів загальної середньої освіти </w:t>
      </w:r>
      <w:r w:rsidRPr="007620A2">
        <w:rPr>
          <w:lang w:val="uk-UA"/>
        </w:rPr>
        <w:t xml:space="preserve">– </w:t>
      </w:r>
      <w:r w:rsidR="00872777" w:rsidRPr="007620A2">
        <w:rPr>
          <w:lang w:val="uk-UA"/>
        </w:rPr>
        <w:t>24 260,0</w:t>
      </w:r>
      <w:r w:rsidRPr="007620A2">
        <w:rPr>
          <w:lang w:val="uk-UA"/>
        </w:rPr>
        <w:t xml:space="preserve"> тис. грн,  за рахунок яких буде організовано безоплатне одноразове гаряче харчування учнів 1-4 класів, дітей-сиріт та дітей, позбавлених батьківського піклування, учнів пільгових категорій</w:t>
      </w:r>
      <w:r w:rsidR="001D4BB6">
        <w:rPr>
          <w:lang w:val="uk-UA"/>
        </w:rPr>
        <w:t xml:space="preserve"> та з числа дітей, які опинилися в складних життєвих обставинах;</w:t>
      </w:r>
      <w:r w:rsidRPr="007620A2">
        <w:rPr>
          <w:lang w:val="uk-UA"/>
        </w:rPr>
        <w:t xml:space="preserve"> </w:t>
      </w:r>
    </w:p>
    <w:p w14:paraId="6934913A" w14:textId="77777777" w:rsidR="008A22EE" w:rsidRPr="007620A2" w:rsidRDefault="008A22EE" w:rsidP="008A22EE">
      <w:pPr>
        <w:pStyle w:val="aa"/>
        <w:ind w:left="14" w:right="28" w:firstLine="553"/>
        <w:jc w:val="both"/>
        <w:rPr>
          <w:lang w:val="uk-UA"/>
        </w:rPr>
      </w:pPr>
      <w:r w:rsidRPr="007620A2">
        <w:rPr>
          <w:b/>
          <w:lang w:val="uk-UA"/>
        </w:rPr>
        <w:t xml:space="preserve">-  на харчування дітей  у таборах денного перебування – </w:t>
      </w:r>
      <w:r w:rsidR="00872777" w:rsidRPr="007620A2">
        <w:rPr>
          <w:lang w:val="uk-UA"/>
        </w:rPr>
        <w:t>2 800,0</w:t>
      </w:r>
      <w:r w:rsidRPr="007620A2">
        <w:rPr>
          <w:lang w:val="uk-UA"/>
        </w:rPr>
        <w:t xml:space="preserve"> тис. грн. </w:t>
      </w:r>
    </w:p>
    <w:p w14:paraId="3EDCDFC8" w14:textId="3F4C3338" w:rsidR="00EC5A8E" w:rsidRPr="007620A2" w:rsidRDefault="00EC5A8E" w:rsidP="008A22EE">
      <w:pPr>
        <w:pStyle w:val="aa"/>
        <w:ind w:left="14" w:right="28" w:firstLine="553"/>
        <w:jc w:val="both"/>
        <w:rPr>
          <w:lang w:val="uk-UA"/>
        </w:rPr>
      </w:pPr>
      <w:r w:rsidRPr="007620A2">
        <w:rPr>
          <w:b/>
          <w:lang w:val="uk-UA"/>
        </w:rPr>
        <w:t>-</w:t>
      </w:r>
      <w:r w:rsidRPr="007620A2">
        <w:rPr>
          <w:lang w:val="uk-UA"/>
        </w:rPr>
        <w:t xml:space="preserve"> </w:t>
      </w:r>
      <w:r w:rsidRPr="007620A2">
        <w:rPr>
          <w:b/>
          <w:lang w:val="uk-UA"/>
        </w:rPr>
        <w:t>організація харчування в закладах освіти на період воєнного стану</w:t>
      </w:r>
      <w:r w:rsidRPr="007620A2">
        <w:rPr>
          <w:lang w:val="uk-UA"/>
        </w:rPr>
        <w:t xml:space="preserve"> - створення запасу харчових продуктів для безпечного перебування учнів у найпростіших укриття</w:t>
      </w:r>
      <w:r w:rsidR="004D2204">
        <w:rPr>
          <w:lang w:val="uk-UA"/>
        </w:rPr>
        <w:t>х</w:t>
      </w:r>
      <w:r w:rsidRPr="007620A2">
        <w:rPr>
          <w:lang w:val="uk-UA"/>
        </w:rPr>
        <w:t xml:space="preserve"> – 200,0 тис.</w:t>
      </w:r>
      <w:r w:rsidR="001D4BB6">
        <w:rPr>
          <w:lang w:val="uk-UA"/>
        </w:rPr>
        <w:t xml:space="preserve"> </w:t>
      </w:r>
      <w:r w:rsidRPr="007620A2">
        <w:rPr>
          <w:lang w:val="uk-UA"/>
        </w:rPr>
        <w:t>грн</w:t>
      </w:r>
    </w:p>
    <w:p w14:paraId="1EAC600F" w14:textId="77777777" w:rsidR="003F1DF3" w:rsidRPr="007620A2" w:rsidRDefault="008A22EE" w:rsidP="003F1DF3">
      <w:pPr>
        <w:spacing w:after="0" w:line="240" w:lineRule="auto"/>
        <w:ind w:right="3" w:firstLine="567"/>
        <w:jc w:val="both"/>
        <w:rPr>
          <w:rFonts w:ascii="Times New Roman" w:hAnsi="Times New Roman" w:cs="Times New Roman"/>
          <w:sz w:val="24"/>
          <w:szCs w:val="24"/>
          <w:lang w:val="uk-UA"/>
        </w:rPr>
      </w:pPr>
      <w:r w:rsidRPr="00CE1C9D">
        <w:rPr>
          <w:rFonts w:ascii="Times New Roman" w:hAnsi="Times New Roman" w:cs="Times New Roman"/>
          <w:b/>
          <w:bCs/>
          <w:sz w:val="24"/>
          <w:szCs w:val="24"/>
          <w:lang w:val="uk-UA"/>
        </w:rPr>
        <w:t>Видатки на інші виплати населенню</w:t>
      </w:r>
      <w:r w:rsidRPr="007620A2">
        <w:rPr>
          <w:rFonts w:ascii="Times New Roman" w:hAnsi="Times New Roman" w:cs="Times New Roman"/>
          <w:sz w:val="24"/>
          <w:szCs w:val="24"/>
          <w:lang w:val="uk-UA"/>
        </w:rPr>
        <w:t xml:space="preserve"> на 202</w:t>
      </w:r>
      <w:r w:rsidR="00D7402C" w:rsidRPr="007620A2">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враховані у сумі </w:t>
      </w:r>
      <w:r w:rsidR="0049223F" w:rsidRPr="007620A2">
        <w:rPr>
          <w:rFonts w:ascii="Times New Roman" w:hAnsi="Times New Roman" w:cs="Times New Roman"/>
          <w:sz w:val="24"/>
          <w:szCs w:val="24"/>
          <w:lang w:val="uk-UA"/>
        </w:rPr>
        <w:t>8</w:t>
      </w:r>
      <w:r w:rsidR="003F1DF3" w:rsidRPr="007620A2">
        <w:rPr>
          <w:rFonts w:ascii="Times New Roman" w:hAnsi="Times New Roman" w:cs="Times New Roman"/>
          <w:sz w:val="24"/>
          <w:szCs w:val="24"/>
          <w:lang w:val="uk-UA"/>
        </w:rPr>
        <w:t>73,0</w:t>
      </w:r>
      <w:r w:rsidRPr="007620A2">
        <w:rPr>
          <w:rFonts w:ascii="Times New Roman" w:hAnsi="Times New Roman" w:cs="Times New Roman"/>
          <w:sz w:val="24"/>
          <w:szCs w:val="24"/>
          <w:lang w:val="uk-UA"/>
        </w:rPr>
        <w:t xml:space="preserve"> тис. грн, які, зокрема, будуть спрямовані за наступними напрямками:</w:t>
      </w:r>
    </w:p>
    <w:p w14:paraId="55EDD014" w14:textId="0E9B11F9" w:rsidR="008A22EE" w:rsidRPr="007620A2" w:rsidRDefault="008A22EE" w:rsidP="00E67FF2">
      <w:pPr>
        <w:pStyle w:val="a4"/>
        <w:numPr>
          <w:ilvl w:val="0"/>
          <w:numId w:val="20"/>
        </w:numPr>
        <w:spacing w:after="0" w:line="240" w:lineRule="auto"/>
        <w:ind w:left="0" w:right="3"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w:t>
      </w:r>
      <w:r w:rsidR="0049223F" w:rsidRPr="007620A2">
        <w:rPr>
          <w:rFonts w:ascii="Times New Roman" w:hAnsi="Times New Roman" w:cs="Times New Roman"/>
          <w:sz w:val="24"/>
          <w:szCs w:val="24"/>
          <w:lang w:val="uk-UA"/>
        </w:rPr>
        <w:t>60,0 тис.</w:t>
      </w:r>
      <w:r w:rsidR="0044460A">
        <w:rPr>
          <w:rFonts w:ascii="Times New Roman" w:hAnsi="Times New Roman" w:cs="Times New Roman"/>
          <w:sz w:val="24"/>
          <w:szCs w:val="24"/>
          <w:lang w:val="uk-UA"/>
        </w:rPr>
        <w:t xml:space="preserve"> </w:t>
      </w:r>
      <w:r w:rsidR="0049223F" w:rsidRPr="007620A2">
        <w:rPr>
          <w:rFonts w:ascii="Times New Roman" w:hAnsi="Times New Roman" w:cs="Times New Roman"/>
          <w:sz w:val="24"/>
          <w:szCs w:val="24"/>
          <w:lang w:val="uk-UA"/>
        </w:rPr>
        <w:t xml:space="preserve">грн - </w:t>
      </w:r>
      <w:r w:rsidRPr="007620A2">
        <w:rPr>
          <w:rFonts w:ascii="Times New Roman" w:hAnsi="Times New Roman" w:cs="Times New Roman"/>
          <w:sz w:val="24"/>
          <w:szCs w:val="24"/>
          <w:lang w:val="uk-UA"/>
        </w:rPr>
        <w:t xml:space="preserve">на виплату одноразової допомоги дітям - сиротам та дітям, позбавлених батьківського піклування, яким виповнилося 18 років, відповідно до постанови Кабінету Міністрів України від 25 серпня 2005р. № 823 (зі змінами та доповненнями) та Закону України </w:t>
      </w:r>
      <w:r w:rsidR="0044460A">
        <w:rPr>
          <w:rFonts w:ascii="Times New Roman" w:hAnsi="Times New Roman" w:cs="Times New Roman"/>
          <w:sz w:val="24"/>
          <w:szCs w:val="24"/>
          <w:lang w:val="uk-UA"/>
        </w:rPr>
        <w:t>«</w:t>
      </w:r>
      <w:r w:rsidRPr="007620A2">
        <w:rPr>
          <w:rFonts w:ascii="Times New Roman" w:hAnsi="Times New Roman" w:cs="Times New Roman"/>
          <w:sz w:val="24"/>
          <w:szCs w:val="24"/>
          <w:lang w:val="uk-UA"/>
        </w:rPr>
        <w:t>Про охорону дитинства</w:t>
      </w:r>
      <w:r w:rsidR="0044460A">
        <w:rPr>
          <w:rFonts w:ascii="Times New Roman" w:hAnsi="Times New Roman" w:cs="Times New Roman"/>
          <w:sz w:val="24"/>
          <w:szCs w:val="24"/>
          <w:lang w:val="uk-UA"/>
        </w:rPr>
        <w:t>»</w:t>
      </w:r>
      <w:r w:rsidRPr="007620A2">
        <w:rPr>
          <w:rFonts w:ascii="Times New Roman" w:hAnsi="Times New Roman" w:cs="Times New Roman"/>
          <w:sz w:val="24"/>
          <w:szCs w:val="24"/>
          <w:lang w:val="uk-UA"/>
        </w:rPr>
        <w:t>;</w:t>
      </w:r>
    </w:p>
    <w:p w14:paraId="1F5464B0" w14:textId="6E0D2C96" w:rsidR="008A22EE" w:rsidRPr="007620A2" w:rsidRDefault="003F1DF3" w:rsidP="00E67FF2">
      <w:pPr>
        <w:pStyle w:val="a4"/>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30</w:t>
      </w:r>
      <w:r w:rsidR="0049223F" w:rsidRPr="007620A2">
        <w:rPr>
          <w:rFonts w:ascii="Times New Roman" w:hAnsi="Times New Roman" w:cs="Times New Roman"/>
          <w:sz w:val="24"/>
          <w:szCs w:val="24"/>
          <w:lang w:val="uk-UA"/>
        </w:rPr>
        <w:t>0</w:t>
      </w:r>
      <w:r w:rsidRPr="007620A2">
        <w:rPr>
          <w:rFonts w:ascii="Times New Roman" w:hAnsi="Times New Roman" w:cs="Times New Roman"/>
          <w:sz w:val="24"/>
          <w:szCs w:val="24"/>
          <w:lang w:val="uk-UA"/>
        </w:rPr>
        <w:t>,0 тис.</w:t>
      </w:r>
      <w:r w:rsidR="0044460A">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 xml:space="preserve">грн - </w:t>
      </w:r>
      <w:r w:rsidR="008A22EE" w:rsidRPr="007620A2">
        <w:rPr>
          <w:rFonts w:ascii="Times New Roman" w:hAnsi="Times New Roman" w:cs="Times New Roman"/>
          <w:sz w:val="24"/>
          <w:szCs w:val="24"/>
          <w:lang w:val="uk-UA"/>
        </w:rPr>
        <w:t>на щомісячну адресну допомогу ветеранам педагогічної праці згідно Міської програми соціального захисту ветеранів педагогічної праці;</w:t>
      </w:r>
    </w:p>
    <w:p w14:paraId="03A76A1D" w14:textId="0A745A00" w:rsidR="003F1DF3" w:rsidRPr="007620A2" w:rsidRDefault="003F1DF3" w:rsidP="00E67FF2">
      <w:pPr>
        <w:pStyle w:val="a4"/>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233,0 тис.</w:t>
      </w:r>
      <w:r w:rsidR="0044460A">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грн – на матеріальну допомогу учням-переможцям предметних олімпіад, спортивних змагань;</w:t>
      </w:r>
    </w:p>
    <w:p w14:paraId="489E9A86" w14:textId="2CAD6DDF" w:rsidR="008A22EE" w:rsidRPr="007620A2" w:rsidRDefault="0049223F" w:rsidP="00E67FF2">
      <w:pPr>
        <w:pStyle w:val="a4"/>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40,0</w:t>
      </w:r>
      <w:r w:rsidR="003F1DF3" w:rsidRPr="007620A2">
        <w:rPr>
          <w:rFonts w:ascii="Times New Roman" w:hAnsi="Times New Roman" w:cs="Times New Roman"/>
          <w:sz w:val="24"/>
          <w:szCs w:val="24"/>
          <w:lang w:val="uk-UA"/>
        </w:rPr>
        <w:t xml:space="preserve"> тис.</w:t>
      </w:r>
      <w:r w:rsidR="0044460A">
        <w:rPr>
          <w:rFonts w:ascii="Times New Roman" w:hAnsi="Times New Roman" w:cs="Times New Roman"/>
          <w:sz w:val="24"/>
          <w:szCs w:val="24"/>
          <w:lang w:val="uk-UA"/>
        </w:rPr>
        <w:t xml:space="preserve"> </w:t>
      </w:r>
      <w:r w:rsidR="003F1DF3" w:rsidRPr="007620A2">
        <w:rPr>
          <w:rFonts w:ascii="Times New Roman" w:hAnsi="Times New Roman" w:cs="Times New Roman"/>
          <w:sz w:val="24"/>
          <w:szCs w:val="24"/>
          <w:lang w:val="uk-UA"/>
        </w:rPr>
        <w:t xml:space="preserve">грн – на </w:t>
      </w:r>
      <w:r w:rsidR="008A22EE" w:rsidRPr="007620A2">
        <w:rPr>
          <w:rFonts w:ascii="Times New Roman" w:hAnsi="Times New Roman" w:cs="Times New Roman"/>
          <w:sz w:val="24"/>
          <w:szCs w:val="24"/>
          <w:lang w:val="uk-UA"/>
        </w:rPr>
        <w:t>матеріальну допомогу дітям-сиротам і дітям, позбавленим батьківського піклування, з числа випускників закладів загальної середньої освіти;</w:t>
      </w:r>
    </w:p>
    <w:p w14:paraId="079AE52B" w14:textId="145CBC83" w:rsidR="008A22EE" w:rsidRPr="007620A2" w:rsidRDefault="003F1DF3" w:rsidP="00E67FF2">
      <w:pPr>
        <w:pStyle w:val="a4"/>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240,0 тис.</w:t>
      </w:r>
      <w:r w:rsidR="0044460A">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 xml:space="preserve">грн - </w:t>
      </w:r>
      <w:r w:rsidR="008A22EE" w:rsidRPr="007620A2">
        <w:rPr>
          <w:rFonts w:ascii="Times New Roman" w:hAnsi="Times New Roman" w:cs="Times New Roman"/>
          <w:sz w:val="24"/>
          <w:szCs w:val="24"/>
          <w:lang w:val="uk-UA"/>
        </w:rPr>
        <w:t xml:space="preserve">на безоплатне забезпечення </w:t>
      </w:r>
      <w:r w:rsidR="008A22EE" w:rsidRPr="007620A2">
        <w:rPr>
          <w:rFonts w:ascii="Times New Roman" w:hAnsi="Times New Roman" w:cs="Times New Roman"/>
          <w:color w:val="212529"/>
          <w:sz w:val="24"/>
          <w:szCs w:val="24"/>
          <w:shd w:val="clear" w:color="auto" w:fill="FFFFFF"/>
          <w:lang w:val="uk-UA"/>
        </w:rPr>
        <w:t>дітей-сиріт і дітей, позбавлених  батьківського піклування, що  перебувають  під  опікою  (піклуванням),  на період навчання у загальноосвітній   школі  шкільною  і спортивною   формами</w:t>
      </w:r>
      <w:r w:rsidR="008A22EE" w:rsidRPr="007620A2">
        <w:rPr>
          <w:rFonts w:ascii="Times New Roman" w:hAnsi="Times New Roman" w:cs="Times New Roman"/>
          <w:sz w:val="24"/>
          <w:szCs w:val="24"/>
          <w:lang w:val="uk-UA"/>
        </w:rPr>
        <w:t xml:space="preserve"> відповідно до постанови Кабінету Міністрів України від 5 квітня 1994р. № 226 (із змінами);</w:t>
      </w:r>
    </w:p>
    <w:p w14:paraId="7779AB85" w14:textId="2FED0FD1" w:rsidR="008A22EE" w:rsidRPr="007620A2" w:rsidRDefault="008A22EE" w:rsidP="008A22EE">
      <w:pPr>
        <w:spacing w:after="0" w:line="240" w:lineRule="auto"/>
        <w:ind w:right="3"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Інші видатки загального фонду, які будуть спрямовані на утримання та функціонування установ та закладів, підпорядкованих управлінню освіти, складають </w:t>
      </w:r>
      <w:r w:rsidR="0049223F" w:rsidRPr="007620A2">
        <w:rPr>
          <w:rFonts w:ascii="Times New Roman" w:hAnsi="Times New Roman" w:cs="Times New Roman"/>
          <w:sz w:val="24"/>
          <w:szCs w:val="24"/>
          <w:lang w:val="uk-UA"/>
        </w:rPr>
        <w:t>29 444,9</w:t>
      </w:r>
      <w:r w:rsidRPr="007620A2">
        <w:rPr>
          <w:rFonts w:ascii="Times New Roman" w:hAnsi="Times New Roman" w:cs="Times New Roman"/>
          <w:sz w:val="24"/>
          <w:szCs w:val="24"/>
          <w:lang w:val="uk-UA"/>
        </w:rPr>
        <w:t xml:space="preserve"> тис. грн, а саме на оплату послуг (крім комунальних), придбання товарів та матеріалів, проведення поточних ремонтів техніки </w:t>
      </w:r>
      <w:r w:rsidR="004D2204">
        <w:rPr>
          <w:rFonts w:ascii="Times New Roman" w:hAnsi="Times New Roman" w:cs="Times New Roman"/>
          <w:sz w:val="24"/>
          <w:szCs w:val="24"/>
          <w:lang w:val="uk-UA"/>
        </w:rPr>
        <w:t>та</w:t>
      </w:r>
      <w:r w:rsidRPr="007620A2">
        <w:rPr>
          <w:rFonts w:ascii="Times New Roman" w:hAnsi="Times New Roman" w:cs="Times New Roman"/>
          <w:sz w:val="24"/>
          <w:szCs w:val="24"/>
          <w:lang w:val="uk-UA"/>
        </w:rPr>
        <w:t xml:space="preserve"> приміщень закладів освіти та забезпечення першочергових потреб.</w:t>
      </w:r>
    </w:p>
    <w:p w14:paraId="0C2F4750" w14:textId="77777777" w:rsidR="008A22EE" w:rsidRPr="007620A2" w:rsidRDefault="008A22EE" w:rsidP="008A22EE">
      <w:pPr>
        <w:spacing w:after="0" w:line="240" w:lineRule="auto"/>
        <w:ind w:right="3"/>
        <w:jc w:val="both"/>
        <w:rPr>
          <w:rFonts w:ascii="Times New Roman" w:hAnsi="Times New Roman" w:cs="Times New Roman"/>
          <w:sz w:val="24"/>
          <w:szCs w:val="24"/>
          <w:lang w:val="uk-UA"/>
        </w:rPr>
      </w:pPr>
      <w:r w:rsidRPr="007620A2">
        <w:rPr>
          <w:rFonts w:ascii="Times New Roman" w:hAnsi="Times New Roman" w:cs="Times New Roman"/>
          <w:noProof/>
          <w:sz w:val="24"/>
          <w:szCs w:val="24"/>
          <w:lang w:eastAsia="ru-RU"/>
        </w:rPr>
        <w:drawing>
          <wp:inline distT="0" distB="0" distL="0" distR="0" wp14:anchorId="56F2816A" wp14:editId="6DC613A0">
            <wp:extent cx="6423660" cy="3816350"/>
            <wp:effectExtent l="38100" t="57150" r="53340" b="50800"/>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D0B6298" w14:textId="77777777" w:rsidR="008A22EE" w:rsidRPr="007620A2" w:rsidRDefault="008A22EE" w:rsidP="008A22EE">
      <w:pPr>
        <w:spacing w:after="0" w:line="240" w:lineRule="auto"/>
        <w:ind w:right="3"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В проєкті бюджету Чорноморської міської територіальної громади на 202</w:t>
      </w:r>
      <w:r w:rsidR="00CF236C" w:rsidRPr="007620A2">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враховані видатки спеціального фонду, які сформовані за рахунок власних надходжень  закладів, підпорядкованих управлінню освіти, та складають </w:t>
      </w:r>
      <w:r w:rsidR="00CF236C" w:rsidRPr="007620A2">
        <w:rPr>
          <w:rFonts w:ascii="Times New Roman" w:hAnsi="Times New Roman" w:cs="Times New Roman"/>
          <w:sz w:val="24"/>
          <w:szCs w:val="24"/>
          <w:lang w:val="uk-UA"/>
        </w:rPr>
        <w:t>9 784,7</w:t>
      </w:r>
      <w:r w:rsidRPr="007620A2">
        <w:rPr>
          <w:rFonts w:ascii="Times New Roman" w:hAnsi="Times New Roman" w:cs="Times New Roman"/>
          <w:sz w:val="24"/>
          <w:szCs w:val="24"/>
          <w:lang w:val="uk-UA"/>
        </w:rPr>
        <w:t xml:space="preserve"> тис. гривень.</w:t>
      </w:r>
    </w:p>
    <w:p w14:paraId="08D224F5" w14:textId="77777777" w:rsidR="008A22EE" w:rsidRPr="007620A2" w:rsidRDefault="008A22EE" w:rsidP="008A22EE">
      <w:pPr>
        <w:pStyle w:val="aa"/>
        <w:ind w:firstLine="567"/>
        <w:jc w:val="center"/>
        <w:rPr>
          <w:b/>
          <w:bCs/>
          <w:iCs/>
          <w:lang w:val="uk-UA"/>
        </w:rPr>
      </w:pPr>
    </w:p>
    <w:p w14:paraId="00E08647" w14:textId="77777777" w:rsidR="008A22EE" w:rsidRPr="007620A2" w:rsidRDefault="008A22EE" w:rsidP="008A22EE">
      <w:pPr>
        <w:pStyle w:val="aa"/>
        <w:ind w:firstLine="567"/>
        <w:jc w:val="center"/>
        <w:rPr>
          <w:b/>
          <w:bCs/>
          <w:iCs/>
          <w:lang w:val="uk-UA"/>
        </w:rPr>
      </w:pPr>
      <w:r w:rsidRPr="007620A2">
        <w:rPr>
          <w:b/>
          <w:bCs/>
          <w:iCs/>
          <w:lang w:val="uk-UA"/>
        </w:rPr>
        <w:t>УПРАВЛІННЯ СОЦІАЛЬНОЇ ПОЛІТИКИ ЧОРНОМОРСЬКОЇ МІСЬКОЇ РАДИ ОДЕСЬКОГО РАЙОНУ ОДЕСЬКОЇ ОБЛАСТІ</w:t>
      </w:r>
    </w:p>
    <w:p w14:paraId="408BF8E8" w14:textId="77777777" w:rsidR="008A22EE" w:rsidRPr="007620A2" w:rsidRDefault="008A22EE" w:rsidP="008A22EE">
      <w:pPr>
        <w:pStyle w:val="aa"/>
        <w:ind w:firstLine="567"/>
        <w:jc w:val="both"/>
        <w:rPr>
          <w:bCs/>
          <w:iCs/>
          <w:sz w:val="20"/>
          <w:szCs w:val="20"/>
          <w:lang w:val="uk-UA"/>
        </w:rPr>
      </w:pPr>
    </w:p>
    <w:p w14:paraId="54D8AF14" w14:textId="12D9F1FB" w:rsidR="008A22EE" w:rsidRPr="007620A2" w:rsidRDefault="008A22EE" w:rsidP="008A22EE">
      <w:pPr>
        <w:spacing w:after="0" w:line="240" w:lineRule="auto"/>
        <w:ind w:firstLine="567"/>
        <w:jc w:val="both"/>
        <w:rPr>
          <w:rFonts w:ascii="Times New Roman" w:eastAsia="Calibri" w:hAnsi="Times New Roman" w:cs="Times New Roman"/>
          <w:sz w:val="24"/>
          <w:szCs w:val="24"/>
          <w:lang w:val="uk-UA"/>
        </w:rPr>
      </w:pPr>
      <w:r w:rsidRPr="007620A2">
        <w:rPr>
          <w:rFonts w:ascii="Times New Roman" w:eastAsia="Calibri" w:hAnsi="Times New Roman" w:cs="Times New Roman"/>
          <w:sz w:val="24"/>
          <w:szCs w:val="24"/>
          <w:lang w:val="uk-UA"/>
        </w:rPr>
        <w:t xml:space="preserve">Соціальний захист та соціальне забезпечення населення залишається одним із ключових пріоритетів діяльності міської влади. В умовах воєнного стану особлива увага приділяється продовженню підтримці найбільш вразливих верств населення зі збереженням всіх соціальних виплат </w:t>
      </w:r>
      <w:r w:rsidR="004D2204">
        <w:rPr>
          <w:rFonts w:ascii="Times New Roman" w:eastAsia="Calibri" w:hAnsi="Times New Roman" w:cs="Times New Roman"/>
          <w:sz w:val="24"/>
          <w:szCs w:val="24"/>
          <w:lang w:val="uk-UA"/>
        </w:rPr>
        <w:t>т</w:t>
      </w:r>
      <w:r w:rsidRPr="007620A2">
        <w:rPr>
          <w:rFonts w:ascii="Times New Roman" w:eastAsia="Calibri" w:hAnsi="Times New Roman" w:cs="Times New Roman"/>
          <w:sz w:val="24"/>
          <w:szCs w:val="24"/>
          <w:lang w:val="uk-UA"/>
        </w:rPr>
        <w:t xml:space="preserve">а допомог.     </w:t>
      </w:r>
    </w:p>
    <w:p w14:paraId="17C16C8F" w14:textId="77777777" w:rsidR="008A22EE" w:rsidRPr="007620A2" w:rsidRDefault="008A22EE" w:rsidP="008A22EE">
      <w:pPr>
        <w:spacing w:after="0" w:line="240" w:lineRule="auto"/>
        <w:ind w:firstLine="567"/>
        <w:jc w:val="both"/>
        <w:rPr>
          <w:rFonts w:ascii="Times New Roman" w:eastAsia="Calibri" w:hAnsi="Times New Roman" w:cs="Times New Roman"/>
          <w:sz w:val="24"/>
          <w:szCs w:val="24"/>
          <w:lang w:val="uk-UA"/>
        </w:rPr>
      </w:pPr>
      <w:r w:rsidRPr="007620A2">
        <w:rPr>
          <w:rFonts w:ascii="Times New Roman" w:eastAsia="Calibri" w:hAnsi="Times New Roman" w:cs="Times New Roman"/>
          <w:sz w:val="24"/>
          <w:szCs w:val="24"/>
          <w:lang w:val="uk-UA"/>
        </w:rPr>
        <w:t xml:space="preserve">Ефективний соціальний захист – 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бюджету громади шляхом надання додаткових гарантій соціального захисту жителям  Чорноморської міської територіальної громади. </w:t>
      </w:r>
    </w:p>
    <w:p w14:paraId="726E58B4" w14:textId="77777777" w:rsidR="008A22EE" w:rsidRPr="007620A2" w:rsidRDefault="008A22EE" w:rsidP="008A22EE">
      <w:pPr>
        <w:spacing w:after="0" w:line="240" w:lineRule="auto"/>
        <w:ind w:firstLine="567"/>
        <w:jc w:val="both"/>
        <w:rPr>
          <w:rFonts w:ascii="Times New Roman" w:hAnsi="Times New Roman" w:cs="Times New Roman"/>
          <w:bCs/>
          <w:iCs/>
          <w:sz w:val="24"/>
          <w:szCs w:val="24"/>
          <w:lang w:val="uk-UA"/>
        </w:rPr>
      </w:pPr>
      <w:r w:rsidRPr="007620A2">
        <w:rPr>
          <w:rFonts w:ascii="Times New Roman" w:eastAsia="Calibri" w:hAnsi="Times New Roman" w:cs="Times New Roman"/>
          <w:sz w:val="24"/>
          <w:szCs w:val="24"/>
          <w:lang w:val="uk-UA"/>
        </w:rPr>
        <w:t xml:space="preserve">Для виконання заходів міських цільових програм соціальної направленості та утримання установ соціального захисту </w:t>
      </w:r>
      <w:r w:rsidRPr="007620A2">
        <w:rPr>
          <w:rFonts w:ascii="Times New Roman" w:hAnsi="Times New Roman" w:cs="Times New Roman"/>
          <w:bCs/>
          <w:iCs/>
          <w:sz w:val="24"/>
          <w:szCs w:val="24"/>
          <w:lang w:val="uk-UA"/>
        </w:rPr>
        <w:t xml:space="preserve">в проєкті бюджету </w:t>
      </w:r>
      <w:r w:rsidRPr="007620A2">
        <w:rPr>
          <w:rFonts w:ascii="Times New Roman" w:hAnsi="Times New Roman" w:cs="Times New Roman"/>
          <w:sz w:val="24"/>
          <w:szCs w:val="24"/>
          <w:lang w:val="uk-UA"/>
        </w:rPr>
        <w:t xml:space="preserve">Чорноморської міської територіальної громади </w:t>
      </w:r>
      <w:r w:rsidRPr="007620A2">
        <w:rPr>
          <w:rFonts w:ascii="Times New Roman" w:hAnsi="Times New Roman" w:cs="Times New Roman"/>
          <w:bCs/>
          <w:iCs/>
          <w:sz w:val="24"/>
          <w:szCs w:val="24"/>
          <w:lang w:val="uk-UA"/>
        </w:rPr>
        <w:t>на 202</w:t>
      </w:r>
      <w:r w:rsidR="009E53CD" w:rsidRPr="007620A2">
        <w:rPr>
          <w:rFonts w:ascii="Times New Roman" w:hAnsi="Times New Roman" w:cs="Times New Roman"/>
          <w:bCs/>
          <w:iCs/>
          <w:sz w:val="24"/>
          <w:szCs w:val="24"/>
          <w:lang w:val="uk-UA"/>
        </w:rPr>
        <w:t>5</w:t>
      </w:r>
      <w:r w:rsidRPr="007620A2">
        <w:rPr>
          <w:rFonts w:ascii="Times New Roman" w:hAnsi="Times New Roman" w:cs="Times New Roman"/>
          <w:bCs/>
          <w:iCs/>
          <w:sz w:val="24"/>
          <w:szCs w:val="24"/>
          <w:lang w:val="uk-UA"/>
        </w:rPr>
        <w:t xml:space="preserve"> рік </w:t>
      </w:r>
      <w:r w:rsidRPr="007620A2">
        <w:rPr>
          <w:rFonts w:ascii="Times New Roman" w:eastAsia="Calibri" w:hAnsi="Times New Roman" w:cs="Times New Roman"/>
          <w:sz w:val="24"/>
          <w:szCs w:val="24"/>
          <w:lang w:val="uk-UA"/>
        </w:rPr>
        <w:t>визначені у</w:t>
      </w:r>
      <w:r w:rsidRPr="007620A2">
        <w:rPr>
          <w:rFonts w:ascii="Times New Roman" w:hAnsi="Times New Roman" w:cs="Times New Roman"/>
          <w:bCs/>
          <w:iCs/>
          <w:sz w:val="24"/>
          <w:szCs w:val="24"/>
          <w:lang w:val="uk-UA"/>
        </w:rPr>
        <w:t xml:space="preserve">правлінню соціальної політики Чорноморської міської ради Одеського району Одеської області бюджетні призначення у сумі  </w:t>
      </w:r>
      <w:r w:rsidR="009E53CD" w:rsidRPr="007620A2">
        <w:rPr>
          <w:rFonts w:ascii="Times New Roman" w:hAnsi="Times New Roman" w:cs="Times New Roman"/>
          <w:bCs/>
          <w:iCs/>
          <w:sz w:val="24"/>
          <w:szCs w:val="24"/>
          <w:lang w:val="uk-UA"/>
        </w:rPr>
        <w:t xml:space="preserve">83 458,9 </w:t>
      </w:r>
      <w:r w:rsidRPr="007620A2">
        <w:rPr>
          <w:rFonts w:ascii="Times New Roman" w:hAnsi="Times New Roman" w:cs="Times New Roman"/>
          <w:bCs/>
          <w:iCs/>
          <w:sz w:val="24"/>
          <w:szCs w:val="24"/>
          <w:lang w:val="uk-UA"/>
        </w:rPr>
        <w:t>тис. грн, в тому числі:</w:t>
      </w:r>
    </w:p>
    <w:p w14:paraId="0E4DD86C" w14:textId="4325FB2C" w:rsidR="006E7583" w:rsidRPr="006E7583" w:rsidRDefault="008A22EE" w:rsidP="006E7583">
      <w:pPr>
        <w:pStyle w:val="aa"/>
        <w:ind w:left="14" w:firstLine="567"/>
        <w:jc w:val="both"/>
        <w:rPr>
          <w:lang w:val="uk-UA"/>
        </w:rPr>
      </w:pPr>
      <w:r w:rsidRPr="007620A2">
        <w:rPr>
          <w:bCs/>
          <w:iCs/>
          <w:lang w:val="uk-UA"/>
        </w:rPr>
        <w:t>-  за загальним фондом –</w:t>
      </w:r>
      <w:r w:rsidR="009B2E3C" w:rsidRPr="007620A2">
        <w:rPr>
          <w:bCs/>
          <w:iCs/>
          <w:lang w:val="uk-UA"/>
        </w:rPr>
        <w:t xml:space="preserve"> </w:t>
      </w:r>
      <w:r w:rsidR="009E53CD" w:rsidRPr="007620A2">
        <w:rPr>
          <w:bCs/>
          <w:iCs/>
          <w:lang w:val="uk-UA"/>
        </w:rPr>
        <w:t xml:space="preserve">83 276,9 </w:t>
      </w:r>
      <w:r w:rsidRPr="007620A2">
        <w:rPr>
          <w:bCs/>
          <w:iCs/>
          <w:lang w:val="uk-UA"/>
        </w:rPr>
        <w:t>тис. грн, із яких 1 </w:t>
      </w:r>
      <w:r w:rsidR="009E53CD" w:rsidRPr="007620A2">
        <w:rPr>
          <w:bCs/>
          <w:iCs/>
          <w:lang w:val="uk-UA"/>
        </w:rPr>
        <w:t>200</w:t>
      </w:r>
      <w:r w:rsidRPr="007620A2">
        <w:rPr>
          <w:bCs/>
          <w:iCs/>
          <w:lang w:val="uk-UA"/>
        </w:rPr>
        <w:t>,</w:t>
      </w:r>
      <w:r w:rsidR="009E53CD" w:rsidRPr="007620A2">
        <w:rPr>
          <w:bCs/>
          <w:iCs/>
          <w:lang w:val="uk-UA"/>
        </w:rPr>
        <w:t>0</w:t>
      </w:r>
      <w:r w:rsidRPr="007620A2">
        <w:rPr>
          <w:bCs/>
          <w:iCs/>
          <w:lang w:val="uk-UA"/>
        </w:rPr>
        <w:t xml:space="preserve"> тис. грн – </w:t>
      </w:r>
      <w:r w:rsidRPr="007620A2">
        <w:rPr>
          <w:lang w:val="uk-UA"/>
        </w:rPr>
        <w:t xml:space="preserve">за рахунок субвенції з бюджету Великодолинської селищної територіальної громади для оплати праці працівників </w:t>
      </w:r>
      <w:r w:rsidRPr="006E7583">
        <w:rPr>
          <w:rFonts w:eastAsia="Calibri"/>
          <w:lang w:val="uk-UA" w:eastAsia="en-US"/>
        </w:rPr>
        <w:t>КУ «Територіальний центр</w:t>
      </w:r>
      <w:r w:rsidRPr="006E7583">
        <w:rPr>
          <w:rFonts w:eastAsia="Calibri"/>
          <w:lang w:val="uk-UA"/>
        </w:rPr>
        <w:t xml:space="preserve"> </w:t>
      </w:r>
      <w:r w:rsidRPr="006E7583">
        <w:rPr>
          <w:rFonts w:eastAsia="Calibri"/>
          <w:lang w:val="uk-UA" w:eastAsia="en-US"/>
        </w:rPr>
        <w:t xml:space="preserve">соціального  обслуговування (надання соціальних послуг) </w:t>
      </w:r>
      <w:r w:rsidRPr="006E7583">
        <w:rPr>
          <w:lang w:val="uk-UA"/>
        </w:rPr>
        <w:t>Чорноморської міської ради Одеського району», які забезпечують обслуговування мешканців Великодолинської селищної територіальної громади</w:t>
      </w:r>
      <w:r w:rsidR="006E7583" w:rsidRPr="006E7583">
        <w:rPr>
          <w:lang w:val="uk-UA"/>
        </w:rPr>
        <w:t xml:space="preserve"> та </w:t>
      </w:r>
      <w:r w:rsidR="009E53CD" w:rsidRPr="006E7583">
        <w:rPr>
          <w:lang w:val="uk-UA"/>
        </w:rPr>
        <w:t>556,4 тис. грн</w:t>
      </w:r>
      <w:r w:rsidRPr="006E7583">
        <w:rPr>
          <w:lang w:val="uk-UA"/>
        </w:rPr>
        <w:t xml:space="preserve"> </w:t>
      </w:r>
      <w:r w:rsidR="009E53CD" w:rsidRPr="006E7583">
        <w:rPr>
          <w:lang w:val="uk-UA"/>
        </w:rPr>
        <w:t>– за рахунок  субвенції з обласного бюджету Одеської області для надання пі</w:t>
      </w:r>
      <w:r w:rsidR="006E7583" w:rsidRPr="006E7583">
        <w:rPr>
          <w:lang w:val="uk-UA"/>
        </w:rPr>
        <w:t>льг окремим категоріям громадян;</w:t>
      </w:r>
    </w:p>
    <w:p w14:paraId="5B74516B" w14:textId="77777777" w:rsidR="008A22EE" w:rsidRDefault="008A22EE" w:rsidP="006E7583">
      <w:pPr>
        <w:pStyle w:val="aa"/>
        <w:ind w:left="14" w:firstLine="567"/>
        <w:jc w:val="both"/>
        <w:rPr>
          <w:lang w:val="uk-UA"/>
        </w:rPr>
      </w:pPr>
      <w:r w:rsidRPr="006E7583">
        <w:rPr>
          <w:lang w:val="uk-UA"/>
        </w:rPr>
        <w:t xml:space="preserve">-  </w:t>
      </w:r>
      <w:r w:rsidR="006E7583" w:rsidRPr="006E7583">
        <w:rPr>
          <w:lang w:val="uk-UA"/>
        </w:rPr>
        <w:t xml:space="preserve">за </w:t>
      </w:r>
      <w:r w:rsidRPr="006E7583">
        <w:rPr>
          <w:lang w:val="uk-UA"/>
        </w:rPr>
        <w:t>спеціальним  фондом –</w:t>
      </w:r>
      <w:r w:rsidR="008520A9" w:rsidRPr="006E7583">
        <w:rPr>
          <w:lang w:val="uk-UA"/>
        </w:rPr>
        <w:t xml:space="preserve"> </w:t>
      </w:r>
      <w:r w:rsidR="009E53CD" w:rsidRPr="006E7583">
        <w:rPr>
          <w:lang w:val="uk-UA"/>
        </w:rPr>
        <w:t xml:space="preserve">182,0 </w:t>
      </w:r>
      <w:r w:rsidRPr="006E7583">
        <w:rPr>
          <w:lang w:val="uk-UA"/>
        </w:rPr>
        <w:t>тис. грн за рахунок власних надходжень бюджетних установ.</w:t>
      </w:r>
    </w:p>
    <w:p w14:paraId="186459D4" w14:textId="77777777" w:rsidR="006E7583" w:rsidRPr="006E7583" w:rsidRDefault="006E7583" w:rsidP="006E7583">
      <w:pPr>
        <w:pStyle w:val="aa"/>
        <w:ind w:left="14" w:firstLine="567"/>
        <w:jc w:val="both"/>
        <w:rPr>
          <w:lang w:val="uk-UA"/>
        </w:rPr>
      </w:pPr>
    </w:p>
    <w:p w14:paraId="5CD6D954" w14:textId="47DADDB7" w:rsidR="008A22EE" w:rsidRPr="007620A2" w:rsidRDefault="008A22EE" w:rsidP="006E7583">
      <w:pPr>
        <w:pStyle w:val="aa"/>
        <w:ind w:left="14" w:firstLine="567"/>
        <w:jc w:val="both"/>
        <w:rPr>
          <w:bCs/>
          <w:iCs/>
          <w:lang w:val="uk-UA"/>
        </w:rPr>
      </w:pPr>
      <w:r w:rsidRPr="006E7583">
        <w:rPr>
          <w:lang w:val="uk-UA"/>
        </w:rPr>
        <w:t xml:space="preserve">На утримання </w:t>
      </w:r>
      <w:r w:rsidRPr="00CE1C9D">
        <w:rPr>
          <w:b/>
          <w:bCs/>
          <w:lang w:val="uk-UA"/>
        </w:rPr>
        <w:t>комунальної установи «Територіальний центр соціального  обслуговування (надання соціальних послуг)</w:t>
      </w:r>
      <w:r w:rsidRPr="006E7583">
        <w:rPr>
          <w:lang w:val="uk-UA"/>
        </w:rPr>
        <w:t xml:space="preserve"> Чорноморської міської ради Одеського району Одеської об</w:t>
      </w:r>
      <w:r w:rsidRPr="007620A2">
        <w:rPr>
          <w:bCs/>
          <w:iCs/>
          <w:lang w:val="uk-UA"/>
        </w:rPr>
        <w:t xml:space="preserve">ласті» визначено </w:t>
      </w:r>
      <w:r w:rsidR="009E53CD" w:rsidRPr="007620A2">
        <w:rPr>
          <w:bCs/>
          <w:iCs/>
          <w:lang w:val="uk-UA"/>
        </w:rPr>
        <w:t xml:space="preserve">18 862,3 </w:t>
      </w:r>
      <w:r w:rsidRPr="007620A2">
        <w:rPr>
          <w:bCs/>
          <w:iCs/>
          <w:lang w:val="uk-UA"/>
        </w:rPr>
        <w:t xml:space="preserve">тис. грн, із них видатки на оплату праці з нарахуваннями </w:t>
      </w:r>
      <w:r w:rsidR="009E53CD" w:rsidRPr="007620A2">
        <w:rPr>
          <w:bCs/>
          <w:iCs/>
          <w:lang w:val="uk-UA"/>
        </w:rPr>
        <w:t xml:space="preserve">17 437,1 </w:t>
      </w:r>
      <w:r w:rsidRPr="007620A2">
        <w:rPr>
          <w:bCs/>
          <w:iCs/>
          <w:lang w:val="uk-UA"/>
        </w:rPr>
        <w:t xml:space="preserve">тис. грн, або </w:t>
      </w:r>
      <w:r w:rsidR="009E53CD" w:rsidRPr="007620A2">
        <w:rPr>
          <w:bCs/>
          <w:iCs/>
          <w:lang w:val="uk-UA"/>
        </w:rPr>
        <w:t xml:space="preserve">92,4 </w:t>
      </w:r>
      <w:r w:rsidRPr="007620A2">
        <w:rPr>
          <w:bCs/>
          <w:iCs/>
          <w:lang w:val="uk-UA"/>
        </w:rPr>
        <w:t>% всіх видатків на утримання центру, штатна чисельність якого складає 69,75 одиниц</w:t>
      </w:r>
      <w:r w:rsidR="004D2204">
        <w:rPr>
          <w:bCs/>
          <w:iCs/>
          <w:lang w:val="uk-UA"/>
        </w:rPr>
        <w:t>і</w:t>
      </w:r>
      <w:r w:rsidRPr="007620A2">
        <w:rPr>
          <w:bCs/>
          <w:iCs/>
          <w:lang w:val="uk-UA"/>
        </w:rPr>
        <w:t xml:space="preserve">. </w:t>
      </w:r>
    </w:p>
    <w:p w14:paraId="395C5803" w14:textId="0BBE8484" w:rsidR="008A22EE" w:rsidRPr="007620A2" w:rsidRDefault="008A22EE" w:rsidP="008A22EE">
      <w:pPr>
        <w:pStyle w:val="aa"/>
        <w:ind w:right="28" w:firstLine="567"/>
        <w:jc w:val="both"/>
        <w:rPr>
          <w:bCs/>
          <w:iCs/>
          <w:lang w:val="uk-UA"/>
        </w:rPr>
      </w:pPr>
      <w:r w:rsidRPr="007620A2">
        <w:rPr>
          <w:bCs/>
          <w:iCs/>
          <w:lang w:val="uk-UA"/>
        </w:rPr>
        <w:t>Станом на 01.</w:t>
      </w:r>
      <w:r w:rsidR="0044460A">
        <w:rPr>
          <w:bCs/>
          <w:iCs/>
          <w:lang w:val="uk-UA"/>
        </w:rPr>
        <w:t>12</w:t>
      </w:r>
      <w:r w:rsidRPr="007620A2">
        <w:rPr>
          <w:bCs/>
          <w:iCs/>
          <w:lang w:val="uk-UA"/>
        </w:rPr>
        <w:t>.202</w:t>
      </w:r>
      <w:r w:rsidR="0044460A">
        <w:rPr>
          <w:bCs/>
          <w:iCs/>
          <w:lang w:val="uk-UA"/>
        </w:rPr>
        <w:t>4</w:t>
      </w:r>
      <w:r w:rsidRPr="007620A2">
        <w:rPr>
          <w:bCs/>
          <w:iCs/>
          <w:lang w:val="uk-UA"/>
        </w:rPr>
        <w:t xml:space="preserve">р. на обслуговуванні центру знаходяться 790 одиноких осіб похилого віку, в тому числі ті, що потребують допомоги вдома - 360  осіб. </w:t>
      </w:r>
    </w:p>
    <w:p w14:paraId="26A94588" w14:textId="6CA7028A" w:rsidR="008A22EE" w:rsidRPr="007620A2" w:rsidRDefault="008A22EE" w:rsidP="008A22EE">
      <w:pPr>
        <w:pStyle w:val="aa"/>
        <w:ind w:right="28" w:firstLine="567"/>
        <w:jc w:val="both"/>
        <w:rPr>
          <w:bCs/>
          <w:iCs/>
          <w:lang w:val="uk-UA"/>
        </w:rPr>
      </w:pPr>
      <w:r w:rsidRPr="007620A2">
        <w:rPr>
          <w:bCs/>
          <w:iCs/>
          <w:lang w:val="uk-UA"/>
        </w:rPr>
        <w:t xml:space="preserve">Видатки на оплату комунальних послуг та енергоносіїв розраховані у сумі </w:t>
      </w:r>
      <w:r w:rsidR="009E53CD" w:rsidRPr="007620A2">
        <w:rPr>
          <w:bCs/>
          <w:iCs/>
          <w:lang w:val="uk-UA"/>
        </w:rPr>
        <w:t xml:space="preserve">336,0 </w:t>
      </w:r>
      <w:r w:rsidRPr="007620A2">
        <w:rPr>
          <w:bCs/>
          <w:iCs/>
          <w:lang w:val="uk-UA"/>
        </w:rPr>
        <w:t xml:space="preserve">тис. грн, або 1,8 </w:t>
      </w:r>
      <w:r w:rsidRPr="007620A2">
        <w:rPr>
          <w:bCs/>
          <w:i/>
          <w:iCs/>
          <w:lang w:val="uk-UA"/>
        </w:rPr>
        <w:t>%</w:t>
      </w:r>
      <w:r w:rsidRPr="007620A2">
        <w:rPr>
          <w:bCs/>
          <w:iCs/>
          <w:lang w:val="uk-UA"/>
        </w:rPr>
        <w:t xml:space="preserve"> до загального обсягу видатків установи.</w:t>
      </w:r>
    </w:p>
    <w:p w14:paraId="46DD2F19" w14:textId="26EE611F" w:rsidR="008A22EE" w:rsidRPr="007620A2" w:rsidRDefault="008A22EE" w:rsidP="008A22EE">
      <w:pPr>
        <w:pStyle w:val="aa"/>
        <w:ind w:right="28" w:firstLine="567"/>
        <w:jc w:val="both"/>
        <w:rPr>
          <w:bCs/>
          <w:iCs/>
          <w:lang w:val="uk-UA"/>
        </w:rPr>
      </w:pPr>
      <w:r w:rsidRPr="007620A2">
        <w:rPr>
          <w:bCs/>
          <w:iCs/>
          <w:lang w:val="uk-UA"/>
        </w:rPr>
        <w:t xml:space="preserve">На утримання </w:t>
      </w:r>
      <w:r w:rsidRPr="00CE1C9D">
        <w:rPr>
          <w:b/>
          <w:iCs/>
          <w:lang w:val="uk-UA"/>
        </w:rPr>
        <w:t>комунальної установи «</w:t>
      </w:r>
      <w:r w:rsidR="009E53CD" w:rsidRPr="00CE1C9D">
        <w:rPr>
          <w:b/>
          <w:iCs/>
          <w:lang w:val="uk-UA"/>
        </w:rPr>
        <w:t>Ц</w:t>
      </w:r>
      <w:r w:rsidRPr="00CE1C9D">
        <w:rPr>
          <w:b/>
          <w:iCs/>
          <w:lang w:val="uk-UA"/>
        </w:rPr>
        <w:t>ентр соціальних служб Чорноморської міської ради Одеського району Одеської області</w:t>
      </w:r>
      <w:r w:rsidR="00C67500" w:rsidRPr="00CE1C9D">
        <w:rPr>
          <w:b/>
          <w:iCs/>
          <w:lang w:val="uk-UA"/>
        </w:rPr>
        <w:t>»</w:t>
      </w:r>
      <w:r w:rsidRPr="007620A2">
        <w:rPr>
          <w:bCs/>
          <w:iCs/>
          <w:lang w:val="uk-UA"/>
        </w:rPr>
        <w:t xml:space="preserve"> із бюджету громади передбачається спрямувати </w:t>
      </w:r>
      <w:r w:rsidR="009E53CD" w:rsidRPr="007620A2">
        <w:rPr>
          <w:bCs/>
          <w:iCs/>
          <w:lang w:val="uk-UA"/>
        </w:rPr>
        <w:t>9 208,5</w:t>
      </w:r>
      <w:r w:rsidR="004D2204">
        <w:rPr>
          <w:bCs/>
          <w:iCs/>
          <w:lang w:val="uk-UA"/>
        </w:rPr>
        <w:t> </w:t>
      </w:r>
      <w:r w:rsidRPr="007620A2">
        <w:rPr>
          <w:bCs/>
          <w:iCs/>
          <w:lang w:val="uk-UA"/>
        </w:rPr>
        <w:t>тис. грн. Найбільш питому вагу займають видатки на оплату праці з нарахуваннями –</w:t>
      </w:r>
      <w:r w:rsidR="0044460A">
        <w:rPr>
          <w:bCs/>
          <w:iCs/>
          <w:lang w:val="uk-UA"/>
        </w:rPr>
        <w:t xml:space="preserve">              </w:t>
      </w:r>
      <w:r w:rsidR="00C31720" w:rsidRPr="007620A2">
        <w:rPr>
          <w:bCs/>
          <w:iCs/>
          <w:lang w:val="uk-UA"/>
        </w:rPr>
        <w:t xml:space="preserve"> </w:t>
      </w:r>
      <w:r w:rsidR="009E53CD" w:rsidRPr="007620A2">
        <w:rPr>
          <w:bCs/>
          <w:iCs/>
          <w:lang w:val="uk-UA"/>
        </w:rPr>
        <w:t xml:space="preserve">7 384,7 </w:t>
      </w:r>
      <w:r w:rsidRPr="007620A2">
        <w:rPr>
          <w:bCs/>
          <w:iCs/>
          <w:lang w:val="uk-UA"/>
        </w:rPr>
        <w:t xml:space="preserve">тис. грн, або </w:t>
      </w:r>
      <w:r w:rsidR="009E53CD" w:rsidRPr="007620A2">
        <w:rPr>
          <w:bCs/>
          <w:iCs/>
          <w:lang w:val="uk-UA"/>
        </w:rPr>
        <w:t>80,2</w:t>
      </w:r>
      <w:r w:rsidRPr="007620A2">
        <w:rPr>
          <w:bCs/>
          <w:iCs/>
          <w:lang w:val="uk-UA"/>
        </w:rPr>
        <w:t>% всіх видатків на утримання центру.</w:t>
      </w:r>
    </w:p>
    <w:p w14:paraId="2E64B0DE" w14:textId="46117443" w:rsidR="008A22EE" w:rsidRPr="007620A2" w:rsidRDefault="008A22EE" w:rsidP="008A22EE">
      <w:pPr>
        <w:pStyle w:val="aa"/>
        <w:ind w:right="28" w:firstLine="567"/>
        <w:jc w:val="both"/>
        <w:rPr>
          <w:bCs/>
          <w:iCs/>
          <w:lang w:val="uk-UA"/>
        </w:rPr>
      </w:pPr>
      <w:r w:rsidRPr="007620A2">
        <w:rPr>
          <w:bCs/>
          <w:iCs/>
          <w:lang w:val="uk-UA"/>
        </w:rPr>
        <w:t xml:space="preserve">Видатки на оплату комунальних послуг та енергоносіїв розраховані у сумі </w:t>
      </w:r>
      <w:r w:rsidR="009E53CD" w:rsidRPr="007620A2">
        <w:rPr>
          <w:bCs/>
          <w:iCs/>
          <w:lang w:val="uk-UA"/>
        </w:rPr>
        <w:t xml:space="preserve">321,2 </w:t>
      </w:r>
      <w:r w:rsidRPr="007620A2">
        <w:rPr>
          <w:bCs/>
          <w:iCs/>
          <w:lang w:val="uk-UA"/>
        </w:rPr>
        <w:t>тис. грн, або 3,</w:t>
      </w:r>
      <w:r w:rsidR="009E53CD" w:rsidRPr="007620A2">
        <w:rPr>
          <w:bCs/>
          <w:iCs/>
          <w:lang w:val="uk-UA"/>
        </w:rPr>
        <w:t xml:space="preserve">5 </w:t>
      </w:r>
      <w:r w:rsidRPr="007620A2">
        <w:rPr>
          <w:bCs/>
          <w:iCs/>
          <w:lang w:val="uk-UA"/>
        </w:rPr>
        <w:t>% до загального обсягу видатків установи.</w:t>
      </w:r>
    </w:p>
    <w:p w14:paraId="67E205DE" w14:textId="401F24BD" w:rsidR="008A22EE" w:rsidRPr="007620A2" w:rsidRDefault="008A22EE" w:rsidP="008A22EE">
      <w:pPr>
        <w:pStyle w:val="aa"/>
        <w:ind w:right="28" w:firstLine="567"/>
        <w:jc w:val="both"/>
        <w:rPr>
          <w:bCs/>
          <w:iCs/>
          <w:lang w:val="uk-UA"/>
        </w:rPr>
      </w:pPr>
      <w:r w:rsidRPr="007620A2">
        <w:rPr>
          <w:bCs/>
          <w:iCs/>
          <w:lang w:val="uk-UA"/>
        </w:rPr>
        <w:t>Штатна чисельність установи налічує</w:t>
      </w:r>
      <w:r w:rsidR="009E53CD" w:rsidRPr="007620A2">
        <w:rPr>
          <w:bCs/>
          <w:iCs/>
          <w:lang w:val="uk-UA"/>
        </w:rPr>
        <w:t xml:space="preserve"> 31</w:t>
      </w:r>
      <w:r w:rsidRPr="007620A2">
        <w:rPr>
          <w:bCs/>
          <w:iCs/>
          <w:lang w:val="uk-UA"/>
        </w:rPr>
        <w:t>,25 одиниц</w:t>
      </w:r>
      <w:r w:rsidR="004D2204">
        <w:rPr>
          <w:bCs/>
          <w:iCs/>
          <w:lang w:val="uk-UA"/>
        </w:rPr>
        <w:t>і</w:t>
      </w:r>
      <w:r w:rsidRPr="007620A2">
        <w:rPr>
          <w:bCs/>
          <w:iCs/>
          <w:lang w:val="uk-UA"/>
        </w:rPr>
        <w:t xml:space="preserve">. </w:t>
      </w:r>
    </w:p>
    <w:p w14:paraId="650811F4" w14:textId="77777777" w:rsidR="008A22EE" w:rsidRPr="007620A2" w:rsidRDefault="008A22EE" w:rsidP="008A22EE">
      <w:pPr>
        <w:pStyle w:val="aa"/>
        <w:ind w:right="28" w:firstLine="567"/>
        <w:jc w:val="both"/>
        <w:rPr>
          <w:bCs/>
          <w:iCs/>
          <w:lang w:val="uk-UA"/>
        </w:rPr>
      </w:pPr>
      <w:r w:rsidRPr="007620A2">
        <w:rPr>
          <w:bCs/>
          <w:iCs/>
          <w:lang w:val="uk-UA"/>
        </w:rPr>
        <w:t xml:space="preserve">До складу установи входить центр соціально - психологічної реабілітації   дітей та молоді з функціональними обмеженнями, в якому проходять реабілітацію </w:t>
      </w:r>
      <w:r w:rsidR="009E53CD" w:rsidRPr="007620A2">
        <w:rPr>
          <w:bCs/>
          <w:iCs/>
          <w:lang w:val="uk-UA"/>
        </w:rPr>
        <w:t>85</w:t>
      </w:r>
      <w:r w:rsidRPr="007620A2">
        <w:rPr>
          <w:bCs/>
          <w:iCs/>
          <w:lang w:val="uk-UA"/>
        </w:rPr>
        <w:t xml:space="preserve"> осіб з числа дітей - інвалідів та молоді. </w:t>
      </w:r>
    </w:p>
    <w:p w14:paraId="01A5A499" w14:textId="77777777" w:rsidR="008A22EE" w:rsidRPr="007620A2" w:rsidRDefault="008A22EE" w:rsidP="008A22EE">
      <w:pPr>
        <w:pStyle w:val="aa"/>
        <w:ind w:right="28" w:firstLine="567"/>
        <w:jc w:val="both"/>
        <w:rPr>
          <w:bCs/>
          <w:iCs/>
          <w:lang w:val="uk-UA"/>
        </w:rPr>
      </w:pPr>
      <w:r w:rsidRPr="007620A2">
        <w:rPr>
          <w:bCs/>
          <w:iCs/>
          <w:lang w:val="uk-UA"/>
        </w:rPr>
        <w:t xml:space="preserve">На заходи державної політики соціальних служб планується  спрямувати </w:t>
      </w:r>
      <w:r w:rsidR="009E53CD" w:rsidRPr="007620A2">
        <w:rPr>
          <w:bCs/>
          <w:iCs/>
          <w:lang w:val="uk-UA"/>
        </w:rPr>
        <w:t xml:space="preserve">630,6 </w:t>
      </w:r>
      <w:r w:rsidRPr="007620A2">
        <w:rPr>
          <w:bCs/>
          <w:iCs/>
          <w:lang w:val="uk-UA"/>
        </w:rPr>
        <w:t>тис. грн, зокрема:</w:t>
      </w:r>
    </w:p>
    <w:p w14:paraId="4AA824B9" w14:textId="77777777" w:rsidR="008A22EE" w:rsidRPr="007620A2" w:rsidRDefault="008A22EE" w:rsidP="008A22EE">
      <w:pPr>
        <w:pStyle w:val="aa"/>
        <w:ind w:right="28" w:firstLine="567"/>
        <w:jc w:val="both"/>
        <w:rPr>
          <w:bCs/>
          <w:iCs/>
          <w:lang w:val="uk-UA"/>
        </w:rPr>
      </w:pPr>
      <w:r w:rsidRPr="007620A2">
        <w:rPr>
          <w:bCs/>
          <w:iCs/>
          <w:lang w:val="uk-UA"/>
        </w:rPr>
        <w:t>- на забезпечення роботи телефону довіри –</w:t>
      </w:r>
      <w:r w:rsidR="00C31720" w:rsidRPr="007620A2">
        <w:rPr>
          <w:bCs/>
          <w:iCs/>
          <w:lang w:val="uk-UA"/>
        </w:rPr>
        <w:t xml:space="preserve"> </w:t>
      </w:r>
      <w:r w:rsidR="009E53CD" w:rsidRPr="007620A2">
        <w:rPr>
          <w:bCs/>
          <w:iCs/>
          <w:lang w:val="uk-UA"/>
        </w:rPr>
        <w:t xml:space="preserve">180,7 </w:t>
      </w:r>
      <w:r w:rsidRPr="007620A2">
        <w:rPr>
          <w:bCs/>
          <w:iCs/>
          <w:lang w:val="uk-UA"/>
        </w:rPr>
        <w:t>тис. грн;</w:t>
      </w:r>
    </w:p>
    <w:p w14:paraId="2F95AE51" w14:textId="2DFEEABB" w:rsidR="008A22EE" w:rsidRPr="007620A2" w:rsidRDefault="008A22EE" w:rsidP="008A22EE">
      <w:pPr>
        <w:pStyle w:val="aa"/>
        <w:ind w:right="28" w:firstLine="567"/>
        <w:jc w:val="both"/>
        <w:rPr>
          <w:bCs/>
          <w:iCs/>
          <w:lang w:val="uk-UA"/>
        </w:rPr>
      </w:pPr>
      <w:r w:rsidRPr="007620A2">
        <w:rPr>
          <w:bCs/>
          <w:iCs/>
          <w:lang w:val="uk-UA"/>
        </w:rPr>
        <w:t>- на проведення влітку акції «Молодь в місті, молодь для міста» –</w:t>
      </w:r>
      <w:r w:rsidR="00C31720" w:rsidRPr="007620A2">
        <w:rPr>
          <w:bCs/>
          <w:iCs/>
          <w:lang w:val="uk-UA"/>
        </w:rPr>
        <w:t xml:space="preserve"> </w:t>
      </w:r>
      <w:r w:rsidR="009E53CD" w:rsidRPr="007620A2">
        <w:rPr>
          <w:bCs/>
          <w:iCs/>
          <w:lang w:val="uk-UA"/>
        </w:rPr>
        <w:t>45</w:t>
      </w:r>
      <w:r w:rsidRPr="007620A2">
        <w:rPr>
          <w:bCs/>
          <w:iCs/>
          <w:lang w:val="uk-UA"/>
        </w:rPr>
        <w:t>,5 тис. грн.</w:t>
      </w:r>
    </w:p>
    <w:p w14:paraId="1C4D27F4" w14:textId="77777777" w:rsidR="008A22EE" w:rsidRPr="007620A2" w:rsidRDefault="008A22EE" w:rsidP="008A22EE">
      <w:pPr>
        <w:pStyle w:val="aa"/>
        <w:ind w:right="28" w:firstLine="567"/>
        <w:jc w:val="both"/>
        <w:rPr>
          <w:b/>
          <w:bCs/>
          <w:lang w:val="uk-UA"/>
        </w:rPr>
      </w:pPr>
      <w:r w:rsidRPr="007620A2">
        <w:rPr>
          <w:bCs/>
          <w:iCs/>
          <w:lang w:val="uk-UA"/>
        </w:rPr>
        <w:t xml:space="preserve">    </w:t>
      </w:r>
    </w:p>
    <w:p w14:paraId="57027CE7" w14:textId="77777777" w:rsidR="008A22EE" w:rsidRPr="007620A2" w:rsidRDefault="008A22EE" w:rsidP="008A22EE">
      <w:pPr>
        <w:pStyle w:val="aa"/>
        <w:ind w:left="14" w:right="28" w:firstLine="567"/>
        <w:jc w:val="center"/>
        <w:rPr>
          <w:b/>
          <w:bCs/>
          <w:lang w:val="uk-UA"/>
        </w:rPr>
      </w:pPr>
      <w:r w:rsidRPr="007620A2">
        <w:rPr>
          <w:b/>
          <w:bCs/>
          <w:lang w:val="uk-UA"/>
        </w:rPr>
        <w:t xml:space="preserve"> СЛУЖБА У СПРАВАХ ДІТЕЙ ЧОРНОМОРСЬКОЇ МІСЬКОЇ РАДИ </w:t>
      </w:r>
    </w:p>
    <w:p w14:paraId="157E8BC7" w14:textId="77777777" w:rsidR="008A22EE" w:rsidRPr="007620A2" w:rsidRDefault="008A22EE" w:rsidP="008A22EE">
      <w:pPr>
        <w:pStyle w:val="aa"/>
        <w:ind w:left="14" w:right="28" w:firstLine="567"/>
        <w:jc w:val="center"/>
        <w:rPr>
          <w:b/>
          <w:bCs/>
          <w:lang w:val="uk-UA"/>
        </w:rPr>
      </w:pPr>
      <w:r w:rsidRPr="007620A2">
        <w:rPr>
          <w:b/>
          <w:bCs/>
          <w:lang w:val="uk-UA"/>
        </w:rPr>
        <w:t>ОДЕСЬКОГО РАЙОНУ ОДЕСЬКОЇ ОБЛАСТІ</w:t>
      </w:r>
    </w:p>
    <w:p w14:paraId="32C50D50" w14:textId="77777777" w:rsidR="008A22EE" w:rsidRPr="007620A2" w:rsidRDefault="008A22EE" w:rsidP="008A22EE">
      <w:pPr>
        <w:spacing w:after="0"/>
        <w:ind w:firstLine="567"/>
        <w:jc w:val="both"/>
        <w:rPr>
          <w:rFonts w:ascii="Times New Roman" w:hAnsi="Times New Roman" w:cs="Times New Roman"/>
          <w:sz w:val="24"/>
          <w:szCs w:val="24"/>
          <w:lang w:val="uk-UA"/>
        </w:rPr>
      </w:pPr>
    </w:p>
    <w:p w14:paraId="4C9C7C7F" w14:textId="302AE0C2" w:rsidR="008A22EE" w:rsidRPr="007620A2" w:rsidRDefault="008A22EE" w:rsidP="008A22EE">
      <w:pPr>
        <w:spacing w:after="0" w:line="240" w:lineRule="auto"/>
        <w:ind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В проєкті бюджету Чорноморської </w:t>
      </w:r>
      <w:r w:rsidR="00CD365E">
        <w:rPr>
          <w:rFonts w:ascii="Times New Roman" w:hAnsi="Times New Roman" w:cs="Times New Roman"/>
          <w:sz w:val="24"/>
          <w:szCs w:val="24"/>
          <w:lang w:val="uk-UA"/>
        </w:rPr>
        <w:t xml:space="preserve">МТГ </w:t>
      </w:r>
      <w:r w:rsidRPr="007620A2">
        <w:rPr>
          <w:rFonts w:ascii="Times New Roman" w:hAnsi="Times New Roman" w:cs="Times New Roman"/>
          <w:sz w:val="24"/>
          <w:szCs w:val="24"/>
          <w:lang w:val="uk-UA"/>
        </w:rPr>
        <w:t xml:space="preserve"> на 202</w:t>
      </w:r>
      <w:r w:rsidR="00011609" w:rsidRPr="007620A2">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службі у справах дітей Чорноморської міської ради Одеського району Одеської області,</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яка</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створена відповідно до рішення Чорноморської міської ради Одеського району Одеської області від 23.06.2023 № 411-VIII,</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визначені бюджетні призначення</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у сумі</w:t>
      </w:r>
      <w:r w:rsidRPr="007620A2">
        <w:rPr>
          <w:rFonts w:ascii="Times New Roman" w:hAnsi="Times New Roman" w:cs="Times New Roman"/>
          <w:b/>
          <w:sz w:val="24"/>
          <w:szCs w:val="24"/>
          <w:lang w:val="uk-UA"/>
        </w:rPr>
        <w:t xml:space="preserve"> </w:t>
      </w:r>
      <w:r w:rsidR="00011609" w:rsidRPr="007620A2">
        <w:rPr>
          <w:rFonts w:ascii="Times New Roman" w:hAnsi="Times New Roman" w:cs="Times New Roman"/>
          <w:sz w:val="24"/>
          <w:szCs w:val="24"/>
          <w:lang w:val="uk-UA"/>
        </w:rPr>
        <w:t>3 720,8</w:t>
      </w:r>
      <w:r w:rsidR="00011609"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тис. грн.</w:t>
      </w:r>
    </w:p>
    <w:p w14:paraId="2A60E416" w14:textId="77777777" w:rsidR="008A22EE" w:rsidRPr="007620A2" w:rsidRDefault="008A22EE" w:rsidP="008A22EE">
      <w:pPr>
        <w:pStyle w:val="aa"/>
        <w:ind w:left="14" w:firstLine="567"/>
        <w:jc w:val="both"/>
        <w:rPr>
          <w:lang w:val="uk-UA"/>
        </w:rPr>
      </w:pPr>
      <w:r w:rsidRPr="007620A2">
        <w:rPr>
          <w:lang w:val="uk-UA"/>
        </w:rPr>
        <w:t>Найбільшу частку видатків –</w:t>
      </w:r>
      <w:r w:rsidR="007B5F53" w:rsidRPr="007620A2">
        <w:rPr>
          <w:lang w:val="uk-UA"/>
        </w:rPr>
        <w:t xml:space="preserve"> </w:t>
      </w:r>
      <w:r w:rsidR="00011609" w:rsidRPr="007620A2">
        <w:rPr>
          <w:lang w:val="uk-UA"/>
        </w:rPr>
        <w:t>89,3</w:t>
      </w:r>
      <w:r w:rsidRPr="007620A2">
        <w:rPr>
          <w:lang w:val="uk-UA"/>
        </w:rPr>
        <w:t xml:space="preserve">% або </w:t>
      </w:r>
      <w:r w:rsidR="009B6F81" w:rsidRPr="007620A2">
        <w:rPr>
          <w:lang w:val="uk-UA"/>
        </w:rPr>
        <w:t xml:space="preserve">3 324,3 </w:t>
      </w:r>
      <w:r w:rsidRPr="007620A2">
        <w:rPr>
          <w:lang w:val="uk-UA"/>
        </w:rPr>
        <w:t>тис. грн від загальної суми видатків загального фонду головного розпорядника складають видатки на оплату праці з нарахуваннями.</w:t>
      </w:r>
    </w:p>
    <w:p w14:paraId="621AF290" w14:textId="77777777" w:rsidR="008A22EE" w:rsidRPr="007620A2" w:rsidRDefault="008A22EE" w:rsidP="008A22EE">
      <w:pPr>
        <w:pStyle w:val="aa"/>
        <w:ind w:firstLine="567"/>
        <w:jc w:val="both"/>
        <w:rPr>
          <w:lang w:val="uk-UA"/>
        </w:rPr>
      </w:pPr>
      <w:r w:rsidRPr="007620A2">
        <w:rPr>
          <w:lang w:val="uk-UA"/>
        </w:rPr>
        <w:t xml:space="preserve">Штатна чисельність служби у справах дітей, фінансування яких здійснюється за рахунок коштів загального фонду бюджету Чорноморської міської територіальної громади, складає 6 одиниць. </w:t>
      </w:r>
    </w:p>
    <w:p w14:paraId="3ED85E99" w14:textId="77777777" w:rsidR="008A22EE" w:rsidRPr="007620A2" w:rsidRDefault="008A22EE" w:rsidP="008A22EE">
      <w:pPr>
        <w:pStyle w:val="aa"/>
        <w:ind w:right="28" w:firstLine="567"/>
        <w:jc w:val="both"/>
        <w:rPr>
          <w:lang w:val="uk-UA"/>
        </w:rPr>
      </w:pPr>
      <w:r w:rsidRPr="007620A2">
        <w:rPr>
          <w:lang w:val="uk-UA"/>
        </w:rPr>
        <w:t xml:space="preserve">Видатки на заходи державної політики з питань дітей та їх соціального захисту складають </w:t>
      </w:r>
      <w:r w:rsidR="009B6F81" w:rsidRPr="007620A2">
        <w:rPr>
          <w:lang w:val="uk-UA"/>
        </w:rPr>
        <w:t xml:space="preserve">278,0 </w:t>
      </w:r>
      <w:r w:rsidRPr="007620A2">
        <w:rPr>
          <w:lang w:val="uk-UA"/>
        </w:rPr>
        <w:t>тис. грн.</w:t>
      </w:r>
    </w:p>
    <w:p w14:paraId="0DB1D6B9" w14:textId="77777777" w:rsidR="008A22EE" w:rsidRPr="007620A2" w:rsidRDefault="008A22EE" w:rsidP="008A22EE">
      <w:pPr>
        <w:pStyle w:val="aa"/>
        <w:ind w:right="28" w:firstLine="567"/>
        <w:jc w:val="both"/>
        <w:rPr>
          <w:lang w:val="uk-UA"/>
        </w:rPr>
      </w:pPr>
    </w:p>
    <w:p w14:paraId="77FD4BF0" w14:textId="77777777" w:rsidR="00CD365E" w:rsidRDefault="00CD365E" w:rsidP="008A22EE">
      <w:pPr>
        <w:pStyle w:val="aa"/>
        <w:ind w:left="14" w:right="28" w:firstLine="567"/>
        <w:jc w:val="center"/>
        <w:rPr>
          <w:b/>
          <w:lang w:val="uk-UA"/>
        </w:rPr>
      </w:pPr>
    </w:p>
    <w:p w14:paraId="4B5731BE" w14:textId="77777777" w:rsidR="00CD365E" w:rsidRDefault="00CD365E" w:rsidP="008A22EE">
      <w:pPr>
        <w:pStyle w:val="aa"/>
        <w:ind w:left="14" w:right="28" w:firstLine="567"/>
        <w:jc w:val="center"/>
        <w:rPr>
          <w:b/>
          <w:lang w:val="uk-UA"/>
        </w:rPr>
      </w:pPr>
    </w:p>
    <w:p w14:paraId="6B1C3417" w14:textId="77777777" w:rsidR="00CD365E" w:rsidRDefault="00CD365E" w:rsidP="008A22EE">
      <w:pPr>
        <w:pStyle w:val="aa"/>
        <w:ind w:left="14" w:right="28" w:firstLine="567"/>
        <w:jc w:val="center"/>
        <w:rPr>
          <w:b/>
          <w:lang w:val="uk-UA"/>
        </w:rPr>
      </w:pPr>
    </w:p>
    <w:p w14:paraId="7A872117" w14:textId="77777777" w:rsidR="008A22EE" w:rsidRPr="007620A2" w:rsidRDefault="008A22EE" w:rsidP="008A22EE">
      <w:pPr>
        <w:pStyle w:val="aa"/>
        <w:ind w:left="14" w:right="28" w:firstLine="567"/>
        <w:jc w:val="center"/>
        <w:rPr>
          <w:b/>
          <w:lang w:val="uk-UA"/>
        </w:rPr>
      </w:pPr>
      <w:r w:rsidRPr="007620A2">
        <w:rPr>
          <w:b/>
          <w:lang w:val="uk-UA"/>
        </w:rPr>
        <w:t xml:space="preserve">ВІДДІЛ КУЛЬТУРИ ЧОРНОМОРСЬКОЇ МІСЬКОЇ РАДИ </w:t>
      </w:r>
    </w:p>
    <w:p w14:paraId="2D0D5DCD" w14:textId="77777777" w:rsidR="008A22EE" w:rsidRPr="007620A2" w:rsidRDefault="008A22EE" w:rsidP="008A22EE">
      <w:pPr>
        <w:pStyle w:val="aa"/>
        <w:ind w:left="14" w:right="28" w:firstLine="567"/>
        <w:jc w:val="center"/>
        <w:rPr>
          <w:b/>
          <w:lang w:val="uk-UA"/>
        </w:rPr>
      </w:pPr>
      <w:r w:rsidRPr="007620A2">
        <w:rPr>
          <w:b/>
          <w:lang w:val="uk-UA"/>
        </w:rPr>
        <w:t>ОДЕСЬКОГО РАЙОНУ ОДЕСЬКОЇ ОБЛАСТІ</w:t>
      </w:r>
    </w:p>
    <w:p w14:paraId="74D4516B" w14:textId="77777777" w:rsidR="008A22EE" w:rsidRPr="007620A2" w:rsidRDefault="008A22EE" w:rsidP="008A22EE">
      <w:pPr>
        <w:pStyle w:val="aa"/>
        <w:ind w:left="14" w:right="28" w:firstLine="567"/>
        <w:jc w:val="both"/>
        <w:rPr>
          <w:u w:val="single"/>
          <w:lang w:val="uk-UA"/>
        </w:rPr>
      </w:pPr>
    </w:p>
    <w:p w14:paraId="10446ECF" w14:textId="50896A80" w:rsidR="008A22EE" w:rsidRPr="007620A2" w:rsidRDefault="008A22EE" w:rsidP="008A22EE">
      <w:pPr>
        <w:pStyle w:val="aa"/>
        <w:ind w:left="14" w:right="28" w:firstLine="567"/>
        <w:jc w:val="both"/>
        <w:rPr>
          <w:lang w:val="uk-UA"/>
        </w:rPr>
      </w:pPr>
      <w:r w:rsidRPr="007620A2">
        <w:rPr>
          <w:lang w:val="uk-UA"/>
        </w:rPr>
        <w:t xml:space="preserve">В проєкті бюджету Чорноморської </w:t>
      </w:r>
      <w:r w:rsidR="00C705D4">
        <w:rPr>
          <w:lang w:val="uk-UA"/>
        </w:rPr>
        <w:t xml:space="preserve">МТГ </w:t>
      </w:r>
      <w:r w:rsidR="00773112" w:rsidRPr="007620A2">
        <w:rPr>
          <w:lang w:val="uk-UA"/>
        </w:rPr>
        <w:t>на 2025</w:t>
      </w:r>
      <w:r w:rsidRPr="007620A2">
        <w:rPr>
          <w:lang w:val="uk-UA"/>
        </w:rPr>
        <w:t xml:space="preserve"> рік </w:t>
      </w:r>
      <w:r w:rsidR="00353649">
        <w:rPr>
          <w:lang w:val="uk-UA"/>
        </w:rPr>
        <w:t>в</w:t>
      </w:r>
      <w:r w:rsidRPr="007620A2">
        <w:rPr>
          <w:lang w:val="uk-UA"/>
        </w:rPr>
        <w:t xml:space="preserve">ідділу культури Чорноморської міської ради Одеського району Одеської області визначені </w:t>
      </w:r>
      <w:r w:rsidR="00353649">
        <w:rPr>
          <w:lang w:val="uk-UA"/>
        </w:rPr>
        <w:t>б</w:t>
      </w:r>
      <w:r w:rsidRPr="007620A2">
        <w:rPr>
          <w:lang w:val="uk-UA"/>
        </w:rPr>
        <w:t xml:space="preserve">юджетні призначення у сумі </w:t>
      </w:r>
      <w:r w:rsidR="001B32D8" w:rsidRPr="007620A2">
        <w:rPr>
          <w:lang w:val="uk-UA"/>
        </w:rPr>
        <w:t>57 427,5</w:t>
      </w:r>
      <w:r w:rsidRPr="007620A2">
        <w:rPr>
          <w:lang w:val="uk-UA"/>
        </w:rPr>
        <w:t xml:space="preserve"> тис.</w:t>
      </w:r>
      <w:r w:rsidRPr="007620A2">
        <w:rPr>
          <w:b/>
          <w:lang w:val="uk-UA"/>
        </w:rPr>
        <w:t xml:space="preserve"> </w:t>
      </w:r>
      <w:r w:rsidRPr="007620A2">
        <w:rPr>
          <w:lang w:val="uk-UA"/>
        </w:rPr>
        <w:t>грн, із яких за загальним фондом –</w:t>
      </w:r>
      <w:r w:rsidR="001B32D8" w:rsidRPr="007620A2">
        <w:rPr>
          <w:lang w:val="uk-UA"/>
        </w:rPr>
        <w:t xml:space="preserve"> 56 061,5 тис.  </w:t>
      </w:r>
      <w:r w:rsidRPr="007620A2">
        <w:rPr>
          <w:lang w:val="uk-UA"/>
        </w:rPr>
        <w:t xml:space="preserve">грн та спеціальним фондом – </w:t>
      </w:r>
      <w:r w:rsidR="001B32D8" w:rsidRPr="007620A2">
        <w:rPr>
          <w:lang w:val="uk-UA"/>
        </w:rPr>
        <w:t>1 366,0</w:t>
      </w:r>
      <w:r w:rsidRPr="007620A2">
        <w:rPr>
          <w:lang w:val="uk-UA"/>
        </w:rPr>
        <w:t xml:space="preserve"> тис. грн за рахунок власних надходжень установ культури. </w:t>
      </w:r>
    </w:p>
    <w:p w14:paraId="2C5BB545" w14:textId="77777777" w:rsidR="008A22EE" w:rsidRPr="007620A2" w:rsidRDefault="008A22EE" w:rsidP="008A22EE">
      <w:pPr>
        <w:pStyle w:val="aa"/>
        <w:ind w:firstLine="567"/>
        <w:jc w:val="both"/>
        <w:rPr>
          <w:lang w:val="uk-UA"/>
        </w:rPr>
      </w:pPr>
      <w:r w:rsidRPr="007620A2">
        <w:rPr>
          <w:lang w:val="uk-UA"/>
        </w:rPr>
        <w:t>Відділу культури Чорноморської міської ради Одеського району Одеської області передбачені кошти на утримання 12 установ та закладів культури та мистецтва, а саме:</w:t>
      </w:r>
    </w:p>
    <w:p w14:paraId="5545E923" w14:textId="08922688" w:rsidR="008A22EE" w:rsidRPr="007620A2" w:rsidRDefault="008A22EE" w:rsidP="008A22EE">
      <w:pPr>
        <w:pStyle w:val="aa"/>
        <w:ind w:left="14" w:firstLine="567"/>
        <w:jc w:val="both"/>
        <w:rPr>
          <w:lang w:val="uk-UA"/>
        </w:rPr>
      </w:pPr>
      <w:r w:rsidRPr="007620A2">
        <w:rPr>
          <w:lang w:val="uk-UA"/>
        </w:rPr>
        <w:t xml:space="preserve">- комунальний заклад </w:t>
      </w:r>
      <w:r w:rsidR="00C705D4">
        <w:rPr>
          <w:lang w:val="uk-UA"/>
        </w:rPr>
        <w:t>«</w:t>
      </w:r>
      <w:r w:rsidRPr="007620A2">
        <w:rPr>
          <w:lang w:val="uk-UA"/>
        </w:rPr>
        <w:t>Школа мистецтв ім. Л.М.</w:t>
      </w:r>
      <w:r w:rsidR="00C705D4">
        <w:rPr>
          <w:lang w:val="uk-UA"/>
        </w:rPr>
        <w:t xml:space="preserve"> </w:t>
      </w:r>
      <w:r w:rsidRPr="007620A2">
        <w:rPr>
          <w:lang w:val="uk-UA"/>
        </w:rPr>
        <w:t>Нагаєва м. Чорноморська Одеського району Одеської області</w:t>
      </w:r>
      <w:r w:rsidR="00C705D4">
        <w:rPr>
          <w:lang w:val="uk-UA"/>
        </w:rPr>
        <w:t>»</w:t>
      </w:r>
      <w:r w:rsidRPr="007620A2">
        <w:rPr>
          <w:lang w:val="uk-UA"/>
        </w:rPr>
        <w:t>;</w:t>
      </w:r>
    </w:p>
    <w:p w14:paraId="760DD215" w14:textId="77777777" w:rsidR="008A22EE" w:rsidRPr="007620A2" w:rsidRDefault="008A22EE" w:rsidP="008A22EE">
      <w:pPr>
        <w:pStyle w:val="aa"/>
        <w:ind w:left="14" w:firstLine="567"/>
        <w:jc w:val="both"/>
        <w:rPr>
          <w:lang w:val="uk-UA"/>
        </w:rPr>
      </w:pPr>
      <w:r w:rsidRPr="007620A2">
        <w:rPr>
          <w:lang w:val="uk-UA"/>
        </w:rPr>
        <w:t>- централізована бібліотечна система м. Чорноморська Одеського району Одеської області у складі 5 закладів:</w:t>
      </w:r>
    </w:p>
    <w:p w14:paraId="0B415ED3" w14:textId="77777777" w:rsidR="008A22EE" w:rsidRPr="007620A2" w:rsidRDefault="008A22EE" w:rsidP="00E67FF2">
      <w:pPr>
        <w:pStyle w:val="aa"/>
        <w:numPr>
          <w:ilvl w:val="2"/>
          <w:numId w:val="16"/>
        </w:numPr>
        <w:ind w:left="14" w:firstLine="567"/>
        <w:jc w:val="both"/>
        <w:rPr>
          <w:lang w:val="uk-UA"/>
        </w:rPr>
      </w:pPr>
      <w:r w:rsidRPr="007620A2">
        <w:rPr>
          <w:lang w:val="uk-UA"/>
        </w:rPr>
        <w:t xml:space="preserve"> Централізована міська бібліотека ім. І. Рядченка м. Чорноморська Одеського району Одеської області</w:t>
      </w:r>
    </w:p>
    <w:p w14:paraId="65DF8D68" w14:textId="77777777" w:rsidR="008A22EE" w:rsidRPr="007620A2" w:rsidRDefault="008A22EE" w:rsidP="00E67FF2">
      <w:pPr>
        <w:pStyle w:val="aa"/>
        <w:numPr>
          <w:ilvl w:val="2"/>
          <w:numId w:val="16"/>
        </w:numPr>
        <w:tabs>
          <w:tab w:val="left" w:pos="709"/>
        </w:tabs>
        <w:ind w:left="14" w:firstLine="567"/>
        <w:jc w:val="both"/>
        <w:rPr>
          <w:lang w:val="uk-UA"/>
        </w:rPr>
      </w:pPr>
      <w:r w:rsidRPr="007620A2">
        <w:rPr>
          <w:lang w:val="uk-UA"/>
        </w:rPr>
        <w:t>Дитяча міська бібліотека м. Чорноморська Одеського району Одеської області;</w:t>
      </w:r>
    </w:p>
    <w:p w14:paraId="4C40B6EE" w14:textId="77777777" w:rsidR="008A22EE" w:rsidRPr="007620A2" w:rsidRDefault="008A22EE" w:rsidP="00E67FF2">
      <w:pPr>
        <w:pStyle w:val="aa"/>
        <w:numPr>
          <w:ilvl w:val="2"/>
          <w:numId w:val="16"/>
        </w:numPr>
        <w:ind w:left="14" w:firstLine="567"/>
        <w:jc w:val="both"/>
        <w:rPr>
          <w:lang w:val="uk-UA"/>
        </w:rPr>
      </w:pPr>
      <w:r w:rsidRPr="007620A2">
        <w:rPr>
          <w:lang w:val="uk-UA"/>
        </w:rPr>
        <w:t xml:space="preserve"> Бібліотека-філія № 2 сел. Олександрівка;</w:t>
      </w:r>
    </w:p>
    <w:p w14:paraId="69B6B4BB" w14:textId="77777777" w:rsidR="008A22EE" w:rsidRPr="007620A2" w:rsidRDefault="008A22EE" w:rsidP="00E67FF2">
      <w:pPr>
        <w:pStyle w:val="aa"/>
        <w:numPr>
          <w:ilvl w:val="2"/>
          <w:numId w:val="16"/>
        </w:numPr>
        <w:ind w:left="14" w:firstLine="567"/>
        <w:jc w:val="both"/>
        <w:rPr>
          <w:lang w:val="uk-UA"/>
        </w:rPr>
      </w:pPr>
      <w:r w:rsidRPr="007620A2">
        <w:rPr>
          <w:lang w:val="uk-UA"/>
        </w:rPr>
        <w:t xml:space="preserve"> Бібліотека-філія № 3 с. Малодолинське;</w:t>
      </w:r>
    </w:p>
    <w:p w14:paraId="214055D5" w14:textId="77777777" w:rsidR="008A22EE" w:rsidRPr="007620A2" w:rsidRDefault="008A22EE" w:rsidP="00E67FF2">
      <w:pPr>
        <w:pStyle w:val="aa"/>
        <w:numPr>
          <w:ilvl w:val="2"/>
          <w:numId w:val="16"/>
        </w:numPr>
        <w:ind w:left="14" w:firstLine="567"/>
        <w:jc w:val="both"/>
        <w:rPr>
          <w:lang w:val="uk-UA"/>
        </w:rPr>
      </w:pPr>
      <w:r w:rsidRPr="007620A2">
        <w:rPr>
          <w:lang w:val="uk-UA"/>
        </w:rPr>
        <w:t xml:space="preserve"> Бібліотека-філія № 4 с. Бурлача Балка.</w:t>
      </w:r>
    </w:p>
    <w:p w14:paraId="3C29956F" w14:textId="77777777" w:rsidR="008A22EE" w:rsidRPr="007620A2" w:rsidRDefault="008A22EE" w:rsidP="008A22EE">
      <w:pPr>
        <w:pStyle w:val="aa"/>
        <w:ind w:left="14" w:firstLine="567"/>
        <w:jc w:val="both"/>
        <w:rPr>
          <w:lang w:val="uk-UA"/>
        </w:rPr>
      </w:pPr>
      <w:r w:rsidRPr="007620A2">
        <w:rPr>
          <w:lang w:val="uk-UA"/>
        </w:rPr>
        <w:t>- клубні заклади у складі 4 закладів:</w:t>
      </w:r>
    </w:p>
    <w:p w14:paraId="2256A0FD" w14:textId="77777777" w:rsidR="008A22EE" w:rsidRPr="007620A2" w:rsidRDefault="008A22EE" w:rsidP="00E67FF2">
      <w:pPr>
        <w:pStyle w:val="aa"/>
        <w:numPr>
          <w:ilvl w:val="2"/>
          <w:numId w:val="17"/>
        </w:numPr>
        <w:ind w:left="14" w:firstLine="567"/>
        <w:jc w:val="both"/>
        <w:rPr>
          <w:lang w:val="uk-UA"/>
        </w:rPr>
      </w:pPr>
      <w:r w:rsidRPr="007620A2">
        <w:rPr>
          <w:lang w:val="uk-UA"/>
        </w:rPr>
        <w:t xml:space="preserve"> Палацу культури м. Чорноморська Одеського району Одеської області;</w:t>
      </w:r>
    </w:p>
    <w:p w14:paraId="706ABF55" w14:textId="77777777" w:rsidR="008A22EE" w:rsidRPr="007620A2" w:rsidRDefault="008A22EE" w:rsidP="00E67FF2">
      <w:pPr>
        <w:pStyle w:val="aa"/>
        <w:numPr>
          <w:ilvl w:val="2"/>
          <w:numId w:val="17"/>
        </w:numPr>
        <w:ind w:left="14" w:firstLine="567"/>
        <w:jc w:val="both"/>
        <w:rPr>
          <w:lang w:val="uk-UA"/>
        </w:rPr>
      </w:pPr>
      <w:r w:rsidRPr="007620A2">
        <w:rPr>
          <w:lang w:val="uk-UA"/>
        </w:rPr>
        <w:t xml:space="preserve"> Олександрівський будинок культури м. Чорноморська Одеського району Одеської області;</w:t>
      </w:r>
    </w:p>
    <w:p w14:paraId="4A3B0D46" w14:textId="77777777" w:rsidR="008A22EE" w:rsidRPr="007620A2" w:rsidRDefault="008A22EE" w:rsidP="00E67FF2">
      <w:pPr>
        <w:pStyle w:val="aa"/>
        <w:numPr>
          <w:ilvl w:val="2"/>
          <w:numId w:val="17"/>
        </w:numPr>
        <w:ind w:left="14" w:firstLine="567"/>
        <w:jc w:val="both"/>
        <w:rPr>
          <w:lang w:val="uk-UA"/>
        </w:rPr>
      </w:pPr>
      <w:r w:rsidRPr="007620A2">
        <w:rPr>
          <w:lang w:val="uk-UA"/>
        </w:rPr>
        <w:t xml:space="preserve"> Малодолинський будинок культури м. Чорноморська Одеського району Одеської області;</w:t>
      </w:r>
    </w:p>
    <w:p w14:paraId="567917C3" w14:textId="77777777" w:rsidR="008A22EE" w:rsidRPr="007620A2" w:rsidRDefault="008A22EE" w:rsidP="00E67FF2">
      <w:pPr>
        <w:pStyle w:val="aa"/>
        <w:numPr>
          <w:ilvl w:val="2"/>
          <w:numId w:val="17"/>
        </w:numPr>
        <w:ind w:left="14" w:firstLine="567"/>
        <w:jc w:val="both"/>
        <w:rPr>
          <w:lang w:val="uk-UA"/>
        </w:rPr>
      </w:pPr>
      <w:r w:rsidRPr="007620A2">
        <w:rPr>
          <w:lang w:val="uk-UA"/>
        </w:rPr>
        <w:t xml:space="preserve"> Бурлачобалківський клуб м. Чорноморська Одеського району Одеської області.</w:t>
      </w:r>
    </w:p>
    <w:p w14:paraId="7E916BCD" w14:textId="77777777" w:rsidR="008A22EE" w:rsidRPr="007620A2" w:rsidRDefault="008A22EE" w:rsidP="008A22EE">
      <w:pPr>
        <w:pStyle w:val="aa"/>
        <w:ind w:left="14" w:firstLine="567"/>
        <w:jc w:val="both"/>
        <w:rPr>
          <w:lang w:val="uk-UA"/>
        </w:rPr>
      </w:pPr>
      <w:r w:rsidRPr="007620A2">
        <w:rPr>
          <w:lang w:val="uk-UA"/>
        </w:rPr>
        <w:t>- музей образотворчих мистецтв ім. О. Білого м. Чорноморська Одеського району Одеської області;</w:t>
      </w:r>
    </w:p>
    <w:p w14:paraId="2BE1A11E" w14:textId="69DCD6D1" w:rsidR="008A22EE" w:rsidRPr="007620A2" w:rsidRDefault="008A22EE" w:rsidP="008A22EE">
      <w:pPr>
        <w:pStyle w:val="aa"/>
        <w:ind w:left="14" w:firstLine="567"/>
        <w:jc w:val="both"/>
        <w:rPr>
          <w:lang w:val="uk-UA"/>
        </w:rPr>
      </w:pPr>
      <w:r w:rsidRPr="007620A2">
        <w:rPr>
          <w:lang w:val="uk-UA"/>
        </w:rPr>
        <w:t>- централізована бухгалтерія</w:t>
      </w:r>
      <w:r w:rsidR="00C705D4">
        <w:rPr>
          <w:lang w:val="uk-UA"/>
        </w:rPr>
        <w:t>, підпорядкована</w:t>
      </w:r>
      <w:r w:rsidRPr="007620A2">
        <w:rPr>
          <w:lang w:val="uk-UA"/>
        </w:rPr>
        <w:t xml:space="preserve"> відділу культури Чорноморської міської ради Одеського району Одеської області.</w:t>
      </w:r>
    </w:p>
    <w:p w14:paraId="09EEC94E" w14:textId="77777777" w:rsidR="008A22EE" w:rsidRPr="007620A2" w:rsidRDefault="008A22EE" w:rsidP="008A22EE">
      <w:pPr>
        <w:pStyle w:val="aa"/>
        <w:ind w:left="14" w:firstLine="567"/>
        <w:jc w:val="both"/>
        <w:rPr>
          <w:lang w:val="uk-UA"/>
        </w:rPr>
      </w:pPr>
    </w:p>
    <w:p w14:paraId="28AD5ACD" w14:textId="77777777" w:rsidR="008A22EE" w:rsidRPr="007620A2" w:rsidRDefault="008A22EE" w:rsidP="008A22EE">
      <w:pPr>
        <w:pStyle w:val="aa"/>
        <w:ind w:left="14" w:right="28" w:firstLine="567"/>
        <w:jc w:val="both"/>
        <w:rPr>
          <w:lang w:val="uk-UA"/>
        </w:rPr>
      </w:pPr>
      <w:r w:rsidRPr="007620A2">
        <w:rPr>
          <w:lang w:val="uk-UA"/>
        </w:rPr>
        <w:t>Найбільшу питому вагу у видатках загального фонду бюджету головного розпорядника займають видатки на оплату праці з нарахуваннями –</w:t>
      </w:r>
      <w:r w:rsidR="001B32D8" w:rsidRPr="007620A2">
        <w:rPr>
          <w:lang w:val="uk-UA"/>
        </w:rPr>
        <w:t xml:space="preserve"> 48 890,2 тис. грн, або 87,2</w:t>
      </w:r>
      <w:r w:rsidRPr="007620A2">
        <w:rPr>
          <w:lang w:val="uk-UA"/>
        </w:rPr>
        <w:t>% видатків загального фонду розпорядника.</w:t>
      </w:r>
    </w:p>
    <w:p w14:paraId="1D813D6C" w14:textId="3D090F49" w:rsidR="008A22EE" w:rsidRPr="007620A2" w:rsidRDefault="008A22EE" w:rsidP="008A22EE">
      <w:pPr>
        <w:pStyle w:val="aa"/>
        <w:ind w:firstLine="567"/>
        <w:jc w:val="both"/>
        <w:rPr>
          <w:lang w:val="uk-UA"/>
        </w:rPr>
      </w:pPr>
      <w:r w:rsidRPr="007620A2">
        <w:rPr>
          <w:lang w:val="uk-UA"/>
        </w:rPr>
        <w:t>Штатна чисельність установ культури та мистецтва, фінансування яких здійснюється за рахунок коштів загального фонду бюджету Чорноморської міської територіальної громади, складає 259,75 одиниц</w:t>
      </w:r>
      <w:r w:rsidR="004D2204">
        <w:rPr>
          <w:lang w:val="uk-UA"/>
        </w:rPr>
        <w:t>і</w:t>
      </w:r>
      <w:r w:rsidRPr="007620A2">
        <w:rPr>
          <w:lang w:val="uk-UA"/>
        </w:rPr>
        <w:t>, в тому числі педагогічний персонал – 110,0 одиниц</w:t>
      </w:r>
      <w:r w:rsidR="004D2204">
        <w:rPr>
          <w:lang w:val="uk-UA"/>
        </w:rPr>
        <w:t>ь</w:t>
      </w:r>
      <w:r w:rsidRPr="007620A2">
        <w:rPr>
          <w:lang w:val="uk-UA"/>
        </w:rPr>
        <w:t xml:space="preserve">. </w:t>
      </w:r>
    </w:p>
    <w:p w14:paraId="021E0EA3" w14:textId="62952910" w:rsidR="008A22EE" w:rsidRPr="007620A2" w:rsidRDefault="008A22EE" w:rsidP="008A22EE">
      <w:pPr>
        <w:pStyle w:val="aa"/>
        <w:ind w:left="14" w:right="28" w:firstLine="567"/>
        <w:jc w:val="both"/>
        <w:rPr>
          <w:lang w:val="uk-UA"/>
        </w:rPr>
      </w:pPr>
      <w:r w:rsidRPr="007620A2">
        <w:rPr>
          <w:lang w:val="uk-UA"/>
        </w:rPr>
        <w:t xml:space="preserve">Видатки на оплату комунальних послуг та енергоносіїв розраховані в обсязі </w:t>
      </w:r>
      <w:r w:rsidR="001B32D8" w:rsidRPr="007620A2">
        <w:rPr>
          <w:lang w:val="uk-UA"/>
        </w:rPr>
        <w:t>3 759,1 тис.  грн, або 6,7</w:t>
      </w:r>
      <w:r w:rsidRPr="007620A2">
        <w:rPr>
          <w:lang w:val="uk-UA"/>
        </w:rPr>
        <w:t xml:space="preserve"> </w:t>
      </w:r>
      <w:r w:rsidRPr="007620A2">
        <w:rPr>
          <w:i/>
          <w:lang w:val="uk-UA"/>
        </w:rPr>
        <w:t>%</w:t>
      </w:r>
      <w:r w:rsidRPr="007620A2">
        <w:rPr>
          <w:lang w:val="uk-UA"/>
        </w:rPr>
        <w:t xml:space="preserve"> від загального обсягу видатків загального фонду, передбачених на утримання установ культури.</w:t>
      </w:r>
    </w:p>
    <w:p w14:paraId="562431BF" w14:textId="77777777" w:rsidR="008A22EE" w:rsidRPr="007620A2" w:rsidRDefault="008A22EE" w:rsidP="008A22EE">
      <w:pPr>
        <w:pStyle w:val="aa"/>
        <w:ind w:left="14" w:right="28" w:firstLine="567"/>
        <w:jc w:val="both"/>
        <w:rPr>
          <w:lang w:val="uk-UA"/>
        </w:rPr>
      </w:pPr>
      <w:r w:rsidRPr="007620A2">
        <w:rPr>
          <w:lang w:val="uk-UA"/>
        </w:rPr>
        <w:t>На проведення культурних заходів на території громади визначені видатки в загальній сумі 600,0 тис. грн.</w:t>
      </w:r>
    </w:p>
    <w:p w14:paraId="45953E83" w14:textId="77777777" w:rsidR="008A22EE" w:rsidRPr="007620A2" w:rsidRDefault="008A22EE" w:rsidP="008A22EE">
      <w:pPr>
        <w:pStyle w:val="aa"/>
        <w:ind w:left="14" w:right="28" w:firstLine="567"/>
        <w:jc w:val="both"/>
        <w:rPr>
          <w:lang w:val="uk-UA"/>
        </w:rPr>
      </w:pPr>
      <w:r w:rsidRPr="007620A2">
        <w:rPr>
          <w:lang w:val="uk-UA"/>
        </w:rPr>
        <w:t xml:space="preserve">Інші видатки загального фонду бюджету на утримання установ культури обраховані з урахуванням надзвичайно жорсткої економії та забезпечення першочергових потреб та складають </w:t>
      </w:r>
      <w:r w:rsidR="001B32D8" w:rsidRPr="007620A2">
        <w:rPr>
          <w:lang w:val="uk-UA"/>
        </w:rPr>
        <w:t>3 412,2</w:t>
      </w:r>
      <w:r w:rsidRPr="007620A2">
        <w:rPr>
          <w:lang w:val="uk-UA"/>
        </w:rPr>
        <w:t xml:space="preserve"> тис. грн.</w:t>
      </w:r>
    </w:p>
    <w:p w14:paraId="098BF512" w14:textId="77777777" w:rsidR="008A22EE" w:rsidRPr="007620A2" w:rsidRDefault="008A22EE" w:rsidP="008A22EE">
      <w:pPr>
        <w:shd w:val="clear" w:color="auto" w:fill="FFFFFF" w:themeFill="background1"/>
        <w:tabs>
          <w:tab w:val="left" w:pos="-5245"/>
        </w:tabs>
        <w:spacing w:after="0" w:line="240" w:lineRule="auto"/>
        <w:ind w:right="-2" w:firstLine="567"/>
        <w:contextualSpacing/>
        <w:jc w:val="both"/>
        <w:rPr>
          <w:rFonts w:ascii="Times New Roman" w:hAnsi="Times New Roman" w:cs="Times New Roman"/>
          <w:b/>
          <w:sz w:val="24"/>
          <w:szCs w:val="24"/>
          <w:lang w:val="uk-UA"/>
        </w:rPr>
      </w:pPr>
    </w:p>
    <w:p w14:paraId="59455FF8" w14:textId="77777777" w:rsidR="008A22EE" w:rsidRPr="007620A2" w:rsidRDefault="008A22EE" w:rsidP="008A22EE">
      <w:pPr>
        <w:pStyle w:val="aa"/>
        <w:ind w:left="14" w:right="28" w:firstLine="567"/>
        <w:jc w:val="both"/>
        <w:rPr>
          <w:lang w:val="uk-UA"/>
        </w:rPr>
      </w:pPr>
      <w:r w:rsidRPr="007620A2">
        <w:rPr>
          <w:lang w:val="uk-UA"/>
        </w:rPr>
        <w:t>Власні надходження установ культури на 202</w:t>
      </w:r>
      <w:r w:rsidR="001B32D8" w:rsidRPr="007620A2">
        <w:rPr>
          <w:lang w:val="uk-UA"/>
        </w:rPr>
        <w:t>5</w:t>
      </w:r>
      <w:r w:rsidRPr="007620A2">
        <w:rPr>
          <w:lang w:val="uk-UA"/>
        </w:rPr>
        <w:t xml:space="preserve"> рік розраховані в обсязі </w:t>
      </w:r>
      <w:r w:rsidR="001B32D8" w:rsidRPr="007620A2">
        <w:rPr>
          <w:lang w:val="uk-UA"/>
        </w:rPr>
        <w:t>1 366,0</w:t>
      </w:r>
      <w:r w:rsidRPr="007620A2">
        <w:rPr>
          <w:lang w:val="uk-UA"/>
        </w:rPr>
        <w:t xml:space="preserve"> тис. грн, які планується направити на поточне утримання закладів та покращення матеріально-технічної бази установ та оплату заробітної плати з нарахуваннями працівників, фінансування яких здійснюється за рахунок власних надходжень установи. </w:t>
      </w:r>
    </w:p>
    <w:p w14:paraId="557FA248" w14:textId="77777777" w:rsidR="008A22EE" w:rsidRPr="007620A2" w:rsidRDefault="008A22EE" w:rsidP="008A22EE">
      <w:pPr>
        <w:pStyle w:val="aa"/>
        <w:ind w:left="14" w:right="28" w:firstLine="567"/>
        <w:jc w:val="center"/>
        <w:rPr>
          <w:b/>
          <w:lang w:val="uk-UA"/>
        </w:rPr>
      </w:pPr>
    </w:p>
    <w:p w14:paraId="1C81814B" w14:textId="77777777" w:rsidR="008A22EE" w:rsidRPr="007620A2" w:rsidRDefault="008A22EE" w:rsidP="008A22EE">
      <w:pPr>
        <w:pStyle w:val="aa"/>
        <w:ind w:left="14" w:right="28" w:firstLine="567"/>
        <w:jc w:val="center"/>
        <w:rPr>
          <w:b/>
          <w:lang w:val="uk-UA"/>
        </w:rPr>
      </w:pPr>
      <w:r w:rsidRPr="007620A2">
        <w:rPr>
          <w:b/>
          <w:lang w:val="uk-UA"/>
        </w:rPr>
        <w:t>ВІДДІЛ МОЛОДІ ТА СПОРТУ ЧОРНОМОРСЬКОЇ МІСЬКОЇ РАДИ ОДЕСЬКОГО РАЙОНУ ОДЕСЬКОЇ ОБЛАСТІ</w:t>
      </w:r>
    </w:p>
    <w:p w14:paraId="2F49EB9F" w14:textId="77777777" w:rsidR="008A22EE" w:rsidRPr="007620A2" w:rsidRDefault="008A22EE" w:rsidP="008A22EE">
      <w:pPr>
        <w:pStyle w:val="aa"/>
        <w:ind w:left="14" w:right="28" w:firstLine="567"/>
        <w:rPr>
          <w:lang w:val="uk-UA"/>
        </w:rPr>
      </w:pPr>
    </w:p>
    <w:p w14:paraId="41E0F047" w14:textId="4EDEB36D" w:rsidR="008A22EE" w:rsidRPr="007620A2" w:rsidRDefault="008A22EE" w:rsidP="008A22EE">
      <w:pPr>
        <w:pStyle w:val="aa"/>
        <w:ind w:left="14" w:right="28" w:firstLine="567"/>
        <w:jc w:val="both"/>
        <w:rPr>
          <w:lang w:val="uk-UA"/>
        </w:rPr>
      </w:pPr>
      <w:r w:rsidRPr="007620A2">
        <w:rPr>
          <w:lang w:val="uk-UA"/>
        </w:rPr>
        <w:t>В проєкті бюджету Чорноморської</w:t>
      </w:r>
      <w:r w:rsidR="00C705D4">
        <w:rPr>
          <w:lang w:val="uk-UA"/>
        </w:rPr>
        <w:t xml:space="preserve"> МТГ </w:t>
      </w:r>
      <w:r w:rsidRPr="007620A2">
        <w:rPr>
          <w:lang w:val="uk-UA"/>
        </w:rPr>
        <w:t>на 202</w:t>
      </w:r>
      <w:r w:rsidR="000B04B1" w:rsidRPr="007620A2">
        <w:rPr>
          <w:lang w:val="uk-UA"/>
        </w:rPr>
        <w:t>5</w:t>
      </w:r>
      <w:r w:rsidRPr="007620A2">
        <w:rPr>
          <w:lang w:val="uk-UA"/>
        </w:rPr>
        <w:t xml:space="preserve"> рік відділу  молоді та спорту Чорноморської міської ради Одеського району Одеської області визначені бюджетні призначення у сумі обсязі </w:t>
      </w:r>
      <w:r w:rsidR="00F60362" w:rsidRPr="007620A2">
        <w:rPr>
          <w:lang w:val="uk-UA"/>
        </w:rPr>
        <w:t xml:space="preserve">10 374,9 </w:t>
      </w:r>
      <w:r w:rsidRPr="007620A2">
        <w:rPr>
          <w:lang w:val="uk-UA"/>
        </w:rPr>
        <w:t>тис. грн, зокрема:</w:t>
      </w:r>
    </w:p>
    <w:p w14:paraId="6D6EB280" w14:textId="77777777" w:rsidR="008A22EE" w:rsidRPr="007620A2" w:rsidRDefault="008A22EE" w:rsidP="008A22EE">
      <w:pPr>
        <w:pStyle w:val="aa"/>
        <w:ind w:left="14" w:right="28" w:firstLine="567"/>
        <w:jc w:val="both"/>
        <w:rPr>
          <w:lang w:val="uk-UA"/>
        </w:rPr>
      </w:pPr>
      <w:r w:rsidRPr="007620A2">
        <w:rPr>
          <w:lang w:val="uk-UA"/>
        </w:rPr>
        <w:t>- на утримання відділу – 2</w:t>
      </w:r>
      <w:r w:rsidR="00F60362" w:rsidRPr="007620A2">
        <w:rPr>
          <w:lang w:val="uk-UA"/>
        </w:rPr>
        <w:t xml:space="preserve"> 843,6 </w:t>
      </w:r>
      <w:r w:rsidRPr="007620A2">
        <w:rPr>
          <w:lang w:val="uk-UA"/>
        </w:rPr>
        <w:t>тис.</w:t>
      </w:r>
      <w:r w:rsidRPr="007620A2">
        <w:rPr>
          <w:b/>
          <w:lang w:val="uk-UA"/>
        </w:rPr>
        <w:t xml:space="preserve"> </w:t>
      </w:r>
      <w:r w:rsidRPr="007620A2">
        <w:rPr>
          <w:lang w:val="uk-UA"/>
        </w:rPr>
        <w:t>грн;</w:t>
      </w:r>
    </w:p>
    <w:p w14:paraId="4AC2C91E" w14:textId="77777777" w:rsidR="008A22EE" w:rsidRPr="007620A2" w:rsidRDefault="008A22EE" w:rsidP="008A22EE">
      <w:pPr>
        <w:pStyle w:val="aa"/>
        <w:ind w:left="14" w:right="28" w:firstLine="567"/>
        <w:jc w:val="both"/>
        <w:rPr>
          <w:lang w:val="uk-UA"/>
        </w:rPr>
      </w:pPr>
      <w:r w:rsidRPr="007620A2">
        <w:rPr>
          <w:lang w:val="uk-UA"/>
        </w:rPr>
        <w:t>- на заходи молодіжної політики –</w:t>
      </w:r>
      <w:r w:rsidR="004B4D88" w:rsidRPr="007620A2">
        <w:rPr>
          <w:lang w:val="uk-UA"/>
        </w:rPr>
        <w:t xml:space="preserve"> </w:t>
      </w:r>
      <w:r w:rsidR="00F60362" w:rsidRPr="007620A2">
        <w:rPr>
          <w:lang w:val="uk-UA"/>
        </w:rPr>
        <w:t xml:space="preserve">1 956,3 </w:t>
      </w:r>
      <w:r w:rsidRPr="007620A2">
        <w:rPr>
          <w:lang w:val="uk-UA"/>
        </w:rPr>
        <w:t xml:space="preserve">тис. грн, зокрема: </w:t>
      </w:r>
    </w:p>
    <w:p w14:paraId="2DAA5E0A" w14:textId="77777777" w:rsidR="008A22EE" w:rsidRPr="007620A2" w:rsidRDefault="008A22EE" w:rsidP="00E67FF2">
      <w:pPr>
        <w:pStyle w:val="aa"/>
        <w:numPr>
          <w:ilvl w:val="0"/>
          <w:numId w:val="18"/>
        </w:numPr>
        <w:ind w:right="28"/>
        <w:jc w:val="both"/>
        <w:rPr>
          <w:i/>
          <w:lang w:val="uk-UA"/>
        </w:rPr>
      </w:pPr>
      <w:r w:rsidRPr="007620A2">
        <w:rPr>
          <w:i/>
          <w:lang w:val="uk-UA"/>
        </w:rPr>
        <w:t>316,8 тис.  грн - компенсація студентській молоді вартості проїзду до місця їх навчання;</w:t>
      </w:r>
    </w:p>
    <w:p w14:paraId="7BE66CD0" w14:textId="77777777" w:rsidR="008A22EE" w:rsidRPr="007620A2" w:rsidRDefault="00F60362" w:rsidP="00E67FF2">
      <w:pPr>
        <w:pStyle w:val="aa"/>
        <w:numPr>
          <w:ilvl w:val="0"/>
          <w:numId w:val="18"/>
        </w:numPr>
        <w:ind w:right="28"/>
        <w:jc w:val="both"/>
        <w:rPr>
          <w:i/>
          <w:lang w:val="uk-UA"/>
        </w:rPr>
      </w:pPr>
      <w:r w:rsidRPr="007620A2">
        <w:rPr>
          <w:i/>
          <w:lang w:val="uk-UA"/>
        </w:rPr>
        <w:t xml:space="preserve">462,5 </w:t>
      </w:r>
      <w:r w:rsidR="008A22EE" w:rsidRPr="007620A2">
        <w:rPr>
          <w:i/>
          <w:lang w:val="uk-UA"/>
        </w:rPr>
        <w:t>тис. грн - премія та стипендія міського голови талановитій молоді громади, нагородження переможців фестивалю.</w:t>
      </w:r>
    </w:p>
    <w:p w14:paraId="51E956D5" w14:textId="77777777" w:rsidR="008A22EE" w:rsidRPr="007620A2" w:rsidRDefault="008A22EE" w:rsidP="008A22EE">
      <w:pPr>
        <w:pStyle w:val="aa"/>
        <w:ind w:left="14" w:right="28" w:firstLine="567"/>
        <w:jc w:val="both"/>
        <w:rPr>
          <w:lang w:val="uk-UA"/>
        </w:rPr>
      </w:pPr>
      <w:r w:rsidRPr="00474DDF">
        <w:rPr>
          <w:lang w:val="uk-UA"/>
        </w:rPr>
        <w:t>- на проведення навчально-тренувальних зборів і змагань з олімпійських та не олімпійських видів спорту –</w:t>
      </w:r>
      <w:r w:rsidR="00F60362" w:rsidRPr="00474DDF">
        <w:rPr>
          <w:lang w:val="uk-UA"/>
        </w:rPr>
        <w:t xml:space="preserve"> 2 390,0 </w:t>
      </w:r>
      <w:r w:rsidRPr="00474DDF">
        <w:rPr>
          <w:lang w:val="uk-UA"/>
        </w:rPr>
        <w:t>тис. грн;</w:t>
      </w:r>
    </w:p>
    <w:p w14:paraId="7FB4F92D" w14:textId="77777777" w:rsidR="008A22EE" w:rsidRPr="007620A2" w:rsidRDefault="008A22EE" w:rsidP="008A22EE">
      <w:pPr>
        <w:pStyle w:val="aa"/>
        <w:ind w:left="14" w:right="28" w:firstLine="567"/>
        <w:jc w:val="both"/>
        <w:rPr>
          <w:lang w:val="uk-UA"/>
        </w:rPr>
      </w:pPr>
      <w:r w:rsidRPr="007620A2">
        <w:rPr>
          <w:lang w:val="uk-UA"/>
        </w:rPr>
        <w:t>- на проведення фізкультурно-масових заходів серед населення громади –</w:t>
      </w:r>
      <w:r w:rsidR="00F60362" w:rsidRPr="007620A2">
        <w:rPr>
          <w:lang w:val="uk-UA"/>
        </w:rPr>
        <w:t xml:space="preserve">                                  3 185,0 </w:t>
      </w:r>
      <w:r w:rsidRPr="007620A2">
        <w:rPr>
          <w:lang w:val="uk-UA"/>
        </w:rPr>
        <w:t>тис. грн, зокрема:</w:t>
      </w:r>
    </w:p>
    <w:p w14:paraId="5CC81E58" w14:textId="77777777" w:rsidR="008A22EE" w:rsidRPr="007620A2" w:rsidRDefault="00F60362" w:rsidP="00E67FF2">
      <w:pPr>
        <w:pStyle w:val="aa"/>
        <w:numPr>
          <w:ilvl w:val="0"/>
          <w:numId w:val="19"/>
        </w:numPr>
        <w:jc w:val="both"/>
        <w:rPr>
          <w:i/>
          <w:lang w:val="uk-UA"/>
        </w:rPr>
      </w:pPr>
      <w:r w:rsidRPr="007620A2">
        <w:rPr>
          <w:i/>
          <w:lang w:val="uk-UA"/>
        </w:rPr>
        <w:t xml:space="preserve">820,0 </w:t>
      </w:r>
      <w:r w:rsidR="008A22EE" w:rsidRPr="007620A2">
        <w:rPr>
          <w:i/>
          <w:lang w:val="uk-UA"/>
        </w:rPr>
        <w:t>тис. грн - оплата праці з нарахуваннями інструкторів з фізичної культури;</w:t>
      </w:r>
    </w:p>
    <w:p w14:paraId="0440FE7F" w14:textId="77777777" w:rsidR="008A22EE" w:rsidRDefault="00F60362" w:rsidP="00E67FF2">
      <w:pPr>
        <w:pStyle w:val="aa"/>
        <w:numPr>
          <w:ilvl w:val="0"/>
          <w:numId w:val="19"/>
        </w:numPr>
        <w:jc w:val="both"/>
        <w:rPr>
          <w:i/>
          <w:lang w:val="uk-UA"/>
        </w:rPr>
      </w:pPr>
      <w:r w:rsidRPr="007620A2">
        <w:rPr>
          <w:i/>
          <w:lang w:val="uk-UA"/>
        </w:rPr>
        <w:t>600</w:t>
      </w:r>
      <w:r w:rsidR="008A22EE" w:rsidRPr="007620A2">
        <w:rPr>
          <w:i/>
          <w:lang w:val="uk-UA"/>
        </w:rPr>
        <w:t>,0 тис. грн - на виплату щомісячної стипендії спортсменам за високі досягнення у спорті;</w:t>
      </w:r>
    </w:p>
    <w:p w14:paraId="3FB239CE" w14:textId="7B980967" w:rsidR="00474DDF" w:rsidRPr="007620A2" w:rsidRDefault="00474DDF" w:rsidP="00E67FF2">
      <w:pPr>
        <w:pStyle w:val="aa"/>
        <w:numPr>
          <w:ilvl w:val="0"/>
          <w:numId w:val="19"/>
        </w:numPr>
        <w:jc w:val="both"/>
        <w:rPr>
          <w:i/>
          <w:lang w:val="uk-UA"/>
        </w:rPr>
      </w:pPr>
      <w:r>
        <w:rPr>
          <w:i/>
          <w:lang w:val="uk-UA"/>
        </w:rPr>
        <w:t>1 200,0 тис. грн – на відвідування басейну, інших спортивних секцій окремих категорій громадян;</w:t>
      </w:r>
    </w:p>
    <w:p w14:paraId="4C701086" w14:textId="77777777" w:rsidR="008A22EE" w:rsidRPr="007620A2" w:rsidRDefault="008A22EE" w:rsidP="00E67FF2">
      <w:pPr>
        <w:pStyle w:val="aa"/>
        <w:numPr>
          <w:ilvl w:val="0"/>
          <w:numId w:val="19"/>
        </w:numPr>
        <w:jc w:val="both"/>
        <w:rPr>
          <w:i/>
          <w:lang w:val="uk-UA"/>
        </w:rPr>
      </w:pPr>
      <w:r w:rsidRPr="007620A2">
        <w:rPr>
          <w:i/>
          <w:lang w:val="uk-UA"/>
        </w:rPr>
        <w:t>400,0 тис. грн - на матеріальне заохочення кращих спортсменів, тренерів, спортивних організацій за підсумками року.</w:t>
      </w:r>
    </w:p>
    <w:p w14:paraId="0236BBFA" w14:textId="4AC7499C" w:rsidR="008A22EE" w:rsidRPr="007620A2" w:rsidRDefault="008A22EE" w:rsidP="008A22EE">
      <w:pPr>
        <w:pStyle w:val="a4"/>
        <w:spacing w:line="240" w:lineRule="auto"/>
        <w:ind w:left="0"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На утримання </w:t>
      </w:r>
      <w:r w:rsidRPr="00353649">
        <w:rPr>
          <w:rFonts w:ascii="Times New Roman" w:hAnsi="Times New Roman" w:cs="Times New Roman"/>
          <w:b/>
          <w:bCs/>
          <w:sz w:val="24"/>
          <w:szCs w:val="24"/>
          <w:lang w:val="uk-UA"/>
        </w:rPr>
        <w:t>комунальної установи «Молодіжний центр міста Чорноморська»</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 xml:space="preserve">Чорноморської міської ради Одеського району Одеської області, яка створена відповідно до рішення Чорноморської міської ради Одеського району Одеської області від 20.12.2022 № 286-VIII,  визначені бюджетні призначення у сумі </w:t>
      </w:r>
      <w:r w:rsidR="00F60362" w:rsidRPr="007620A2">
        <w:rPr>
          <w:rFonts w:ascii="Times New Roman" w:hAnsi="Times New Roman" w:cs="Times New Roman"/>
          <w:sz w:val="24"/>
          <w:szCs w:val="24"/>
          <w:lang w:val="uk-UA"/>
        </w:rPr>
        <w:t xml:space="preserve"> 927,0 </w:t>
      </w:r>
      <w:r w:rsidRPr="007620A2">
        <w:rPr>
          <w:rFonts w:ascii="Times New Roman" w:hAnsi="Times New Roman" w:cs="Times New Roman"/>
          <w:sz w:val="24"/>
          <w:szCs w:val="24"/>
          <w:lang w:val="uk-UA"/>
        </w:rPr>
        <w:t xml:space="preserve">тис.  грн, із них видатки на оплату праці з нарахуваннями склали </w:t>
      </w:r>
      <w:r w:rsidR="00F60362" w:rsidRPr="007620A2">
        <w:rPr>
          <w:rFonts w:ascii="Times New Roman" w:hAnsi="Times New Roman" w:cs="Times New Roman"/>
          <w:sz w:val="24"/>
          <w:szCs w:val="24"/>
          <w:lang w:val="uk-UA"/>
        </w:rPr>
        <w:t xml:space="preserve">577,3 </w:t>
      </w:r>
      <w:r w:rsidRPr="007620A2">
        <w:rPr>
          <w:rFonts w:ascii="Times New Roman" w:hAnsi="Times New Roman" w:cs="Times New Roman"/>
          <w:sz w:val="24"/>
          <w:szCs w:val="24"/>
          <w:lang w:val="uk-UA"/>
        </w:rPr>
        <w:t>тис. грн (</w:t>
      </w:r>
      <w:r w:rsidR="00F60362" w:rsidRPr="007620A2">
        <w:rPr>
          <w:rFonts w:ascii="Times New Roman" w:hAnsi="Times New Roman" w:cs="Times New Roman"/>
          <w:sz w:val="24"/>
          <w:szCs w:val="24"/>
          <w:lang w:val="uk-UA"/>
        </w:rPr>
        <w:t>62,3</w:t>
      </w:r>
      <w:r w:rsidRPr="007620A2">
        <w:rPr>
          <w:rFonts w:ascii="Times New Roman" w:hAnsi="Times New Roman" w:cs="Times New Roman"/>
          <w:sz w:val="24"/>
          <w:szCs w:val="24"/>
          <w:lang w:val="uk-UA"/>
        </w:rPr>
        <w:t xml:space="preserve">% від запланованих видатків на утримання установи). </w:t>
      </w:r>
    </w:p>
    <w:p w14:paraId="08D60A64" w14:textId="77777777" w:rsidR="008A22EE" w:rsidRPr="007620A2" w:rsidRDefault="008A22EE" w:rsidP="008A22EE">
      <w:pPr>
        <w:pStyle w:val="aa"/>
        <w:ind w:left="14" w:right="28" w:firstLine="388"/>
        <w:jc w:val="center"/>
        <w:rPr>
          <w:b/>
          <w:lang w:val="uk-UA"/>
        </w:rPr>
      </w:pPr>
      <w:r w:rsidRPr="007620A2">
        <w:rPr>
          <w:b/>
          <w:lang w:val="uk-UA"/>
        </w:rPr>
        <w:t>ВІДДІЛ КОМУНАЛЬНОГО ГОСПОДАРСТВА ТА БЛАГОУСТРОЮ ЧОРНОМОРСЬКОЇ МІСЬКОЇ РАДИ ОДЕСЬКОГО РАЙОНУ ОДЕСЬКОЇ ОБЛАСТІ</w:t>
      </w:r>
    </w:p>
    <w:p w14:paraId="79934C4B" w14:textId="02B11B4F" w:rsidR="008A22EE" w:rsidRPr="007620A2" w:rsidRDefault="008A22EE" w:rsidP="008A22EE">
      <w:pPr>
        <w:pStyle w:val="aa"/>
        <w:ind w:left="14" w:right="28" w:firstLine="556"/>
        <w:jc w:val="both"/>
        <w:rPr>
          <w:lang w:val="uk-UA"/>
        </w:rPr>
      </w:pPr>
      <w:r w:rsidRPr="007620A2">
        <w:rPr>
          <w:lang w:val="uk-UA"/>
        </w:rPr>
        <w:t xml:space="preserve">В проєкті бюджету Чорноморської </w:t>
      </w:r>
      <w:r w:rsidR="00C705D4">
        <w:rPr>
          <w:lang w:val="uk-UA"/>
        </w:rPr>
        <w:t xml:space="preserve">МТГ </w:t>
      </w:r>
      <w:r w:rsidRPr="007620A2">
        <w:rPr>
          <w:lang w:val="uk-UA"/>
        </w:rPr>
        <w:t>на 202</w:t>
      </w:r>
      <w:r w:rsidR="00AC2DA3" w:rsidRPr="007620A2">
        <w:rPr>
          <w:lang w:val="uk-UA"/>
        </w:rPr>
        <w:t>5</w:t>
      </w:r>
      <w:r w:rsidRPr="007620A2">
        <w:rPr>
          <w:lang w:val="uk-UA"/>
        </w:rPr>
        <w:t xml:space="preserve"> рік відділу комунального господарства та благоустрою Чорноморської міської ради Одеського району Одеської області визначені бюджетні призначення у сумі </w:t>
      </w:r>
      <w:r w:rsidR="00AC2DA3" w:rsidRPr="007620A2">
        <w:rPr>
          <w:lang w:val="uk-UA"/>
        </w:rPr>
        <w:t>168 240,6</w:t>
      </w:r>
      <w:r w:rsidRPr="007620A2">
        <w:rPr>
          <w:lang w:val="uk-UA"/>
        </w:rPr>
        <w:t xml:space="preserve"> тис. грн</w:t>
      </w:r>
      <w:r w:rsidR="00AC2DA3" w:rsidRPr="007620A2">
        <w:rPr>
          <w:lang w:val="uk-UA"/>
        </w:rPr>
        <w:t>.</w:t>
      </w:r>
    </w:p>
    <w:p w14:paraId="22E2DE0F" w14:textId="77777777" w:rsidR="008A22EE" w:rsidRPr="007620A2" w:rsidRDefault="008A22EE" w:rsidP="008A22EE">
      <w:pPr>
        <w:tabs>
          <w:tab w:val="num" w:pos="0"/>
          <w:tab w:val="num" w:pos="1287"/>
          <w:tab w:val="num" w:pos="1579"/>
        </w:tabs>
        <w:spacing w:after="0" w:line="240" w:lineRule="auto"/>
        <w:ind w:right="-5" w:firstLine="556"/>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На утримання відділу видатки визначені у сумі </w:t>
      </w:r>
      <w:r w:rsidR="00AC2DA3" w:rsidRPr="007620A2">
        <w:rPr>
          <w:rFonts w:ascii="Times New Roman" w:hAnsi="Times New Roman" w:cs="Times New Roman"/>
          <w:sz w:val="24"/>
          <w:szCs w:val="24"/>
          <w:lang w:val="uk-UA"/>
        </w:rPr>
        <w:t>6 153,4</w:t>
      </w:r>
      <w:r w:rsidRPr="007620A2">
        <w:rPr>
          <w:rFonts w:ascii="Times New Roman" w:hAnsi="Times New Roman" w:cs="Times New Roman"/>
          <w:sz w:val="24"/>
          <w:szCs w:val="24"/>
          <w:lang w:val="uk-UA"/>
        </w:rPr>
        <w:t xml:space="preserve"> тис. грн.</w:t>
      </w:r>
    </w:p>
    <w:p w14:paraId="746DAA9B" w14:textId="77777777" w:rsidR="008A22EE" w:rsidRPr="007620A2" w:rsidRDefault="008A22EE" w:rsidP="008A22EE">
      <w:pPr>
        <w:shd w:val="clear" w:color="auto" w:fill="FFFFFF" w:themeFill="background1"/>
        <w:tabs>
          <w:tab w:val="left" w:pos="-5245"/>
        </w:tabs>
        <w:spacing w:after="0" w:line="240" w:lineRule="auto"/>
        <w:ind w:right="-2" w:firstLine="556"/>
        <w:contextualSpacing/>
        <w:jc w:val="both"/>
        <w:rPr>
          <w:rFonts w:ascii="Times New Roman" w:hAnsi="Times New Roman" w:cs="Times New Roman"/>
          <w:b/>
          <w:sz w:val="24"/>
          <w:szCs w:val="24"/>
          <w:lang w:val="uk-UA"/>
        </w:rPr>
      </w:pPr>
      <w:r w:rsidRPr="007620A2">
        <w:rPr>
          <w:rFonts w:ascii="Times New Roman" w:hAnsi="Times New Roman" w:cs="Times New Roman"/>
          <w:sz w:val="24"/>
          <w:szCs w:val="24"/>
          <w:lang w:val="uk-UA"/>
        </w:rPr>
        <w:t xml:space="preserve">Видатки на утримання благоустрою та житлово-комунального сектору обраховані з урахуванням мінімальної потреби та складають </w:t>
      </w:r>
      <w:r w:rsidR="00AC2DA3" w:rsidRPr="007620A2">
        <w:rPr>
          <w:rFonts w:ascii="Times New Roman" w:hAnsi="Times New Roman" w:cs="Times New Roman"/>
          <w:sz w:val="24"/>
          <w:szCs w:val="24"/>
          <w:lang w:val="uk-UA"/>
        </w:rPr>
        <w:t>86 180,0</w:t>
      </w:r>
      <w:r w:rsidRPr="007620A2">
        <w:rPr>
          <w:rFonts w:ascii="Times New Roman" w:hAnsi="Times New Roman" w:cs="Times New Roman"/>
          <w:sz w:val="24"/>
          <w:szCs w:val="24"/>
          <w:lang w:val="uk-UA"/>
        </w:rPr>
        <w:t xml:space="preserve"> тис. грн, із яких: </w:t>
      </w:r>
    </w:p>
    <w:p w14:paraId="2E36EF40" w14:textId="77777777" w:rsidR="008A22EE" w:rsidRPr="007620A2" w:rsidRDefault="008A22EE" w:rsidP="00E67FF2">
      <w:pPr>
        <w:pStyle w:val="aa"/>
        <w:numPr>
          <w:ilvl w:val="0"/>
          <w:numId w:val="15"/>
        </w:numPr>
        <w:tabs>
          <w:tab w:val="left" w:pos="709"/>
          <w:tab w:val="left" w:pos="851"/>
        </w:tabs>
        <w:ind w:left="0" w:right="28" w:firstLine="556"/>
        <w:jc w:val="both"/>
        <w:rPr>
          <w:lang w:val="uk-UA"/>
        </w:rPr>
      </w:pPr>
      <w:r w:rsidRPr="007620A2">
        <w:rPr>
          <w:lang w:val="uk-UA"/>
        </w:rPr>
        <w:t>300,0 тис. грн – на забезпечення надійної та безперебійної експлуатації ліфтів;</w:t>
      </w:r>
    </w:p>
    <w:p w14:paraId="0C85364E" w14:textId="77777777" w:rsidR="008A22EE" w:rsidRPr="007620A2" w:rsidRDefault="008A22EE" w:rsidP="00E67FF2">
      <w:pPr>
        <w:pStyle w:val="aa"/>
        <w:numPr>
          <w:ilvl w:val="0"/>
          <w:numId w:val="15"/>
        </w:numPr>
        <w:tabs>
          <w:tab w:val="left" w:pos="709"/>
          <w:tab w:val="left" w:pos="851"/>
        </w:tabs>
        <w:ind w:left="0" w:right="28" w:firstLine="556"/>
        <w:jc w:val="both"/>
        <w:rPr>
          <w:lang w:val="uk-UA"/>
        </w:rPr>
      </w:pPr>
      <w:r w:rsidRPr="007620A2">
        <w:rPr>
          <w:lang w:val="uk-UA"/>
        </w:rPr>
        <w:t>1</w:t>
      </w:r>
      <w:r w:rsidR="00AC2DA3" w:rsidRPr="007620A2">
        <w:rPr>
          <w:lang w:val="uk-UA"/>
        </w:rPr>
        <w:t> 720,0</w:t>
      </w:r>
      <w:r w:rsidRPr="007620A2">
        <w:rPr>
          <w:lang w:val="uk-UA"/>
        </w:rPr>
        <w:t xml:space="preserve"> тис. грн - на у</w:t>
      </w:r>
      <w:r w:rsidRPr="007620A2">
        <w:rPr>
          <w:color w:val="000000"/>
          <w:lang w:val="uk-UA"/>
        </w:rPr>
        <w:t>тримання, ремонт артезіанських свердловин, фонтанів;</w:t>
      </w:r>
    </w:p>
    <w:p w14:paraId="6D810FD2" w14:textId="77777777" w:rsidR="008A22EE" w:rsidRPr="007620A2" w:rsidRDefault="00AC2DA3" w:rsidP="00E67FF2">
      <w:pPr>
        <w:pStyle w:val="aa"/>
        <w:numPr>
          <w:ilvl w:val="0"/>
          <w:numId w:val="15"/>
        </w:numPr>
        <w:tabs>
          <w:tab w:val="left" w:pos="567"/>
          <w:tab w:val="left" w:pos="851"/>
        </w:tabs>
        <w:ind w:left="0" w:right="28" w:firstLine="567"/>
        <w:jc w:val="both"/>
        <w:rPr>
          <w:lang w:val="uk-UA"/>
        </w:rPr>
      </w:pPr>
      <w:r w:rsidRPr="007620A2">
        <w:rPr>
          <w:color w:val="000000"/>
          <w:lang w:val="uk-UA"/>
        </w:rPr>
        <w:t>84</w:t>
      </w:r>
      <w:r w:rsidR="008A22EE" w:rsidRPr="007620A2">
        <w:rPr>
          <w:color w:val="000000"/>
          <w:lang w:val="uk-UA"/>
        </w:rPr>
        <w:t> </w:t>
      </w:r>
      <w:r w:rsidRPr="007620A2">
        <w:rPr>
          <w:color w:val="000000"/>
          <w:lang w:val="uk-UA"/>
        </w:rPr>
        <w:t>1</w:t>
      </w:r>
      <w:r w:rsidR="008A22EE" w:rsidRPr="007620A2">
        <w:rPr>
          <w:color w:val="000000"/>
          <w:lang w:val="uk-UA"/>
        </w:rPr>
        <w:t>60,0 тис. грн</w:t>
      </w:r>
      <w:r w:rsidR="008A22EE" w:rsidRPr="007620A2">
        <w:rPr>
          <w:lang w:val="uk-UA"/>
        </w:rPr>
        <w:t xml:space="preserve"> - на поточне утримання об'єктів благоустрою (утримання зовнішнього освітлення та ілюмінацій, зливової каналізації вулично-дорожньої мережі, загальноміських територій, міського пляжу та рятувальної служби, технічних засобів регулювання дорожнього руху, загальноміських вбиралень, міських цвинтарів, в т. ч. дольова участь с. Молодіжне, зеленої зони, теплиці, комплексні роботи з озеленення та інші).</w:t>
      </w:r>
    </w:p>
    <w:p w14:paraId="0B48E20E" w14:textId="77777777" w:rsidR="008A22EE" w:rsidRPr="007620A2" w:rsidRDefault="008A22EE" w:rsidP="008A22EE">
      <w:pPr>
        <w:pStyle w:val="aa"/>
        <w:tabs>
          <w:tab w:val="left" w:pos="709"/>
          <w:tab w:val="left" w:pos="851"/>
        </w:tabs>
        <w:ind w:right="28" w:firstLine="567"/>
        <w:jc w:val="both"/>
        <w:rPr>
          <w:lang w:val="uk-UA"/>
        </w:rPr>
      </w:pPr>
      <w:r w:rsidRPr="007620A2">
        <w:rPr>
          <w:lang w:val="uk-UA"/>
        </w:rPr>
        <w:t xml:space="preserve">Видатки на утримання вулично-дорожньої мережі – </w:t>
      </w:r>
      <w:r w:rsidR="00AC2DA3" w:rsidRPr="007620A2">
        <w:rPr>
          <w:lang w:val="uk-UA"/>
        </w:rPr>
        <w:t>30 000,0</w:t>
      </w:r>
      <w:r w:rsidRPr="007620A2">
        <w:rPr>
          <w:lang w:val="uk-UA"/>
        </w:rPr>
        <w:t xml:space="preserve"> тис. грн. </w:t>
      </w:r>
    </w:p>
    <w:p w14:paraId="0614E2D2" w14:textId="37C4E7F5" w:rsidR="008A22EE" w:rsidRPr="00353649" w:rsidRDefault="008A22EE" w:rsidP="008A22EE">
      <w:pPr>
        <w:pStyle w:val="aa"/>
        <w:tabs>
          <w:tab w:val="left" w:pos="709"/>
          <w:tab w:val="left" w:pos="851"/>
        </w:tabs>
        <w:ind w:right="28" w:firstLine="567"/>
        <w:jc w:val="both"/>
        <w:rPr>
          <w:lang w:val="uk-UA"/>
        </w:rPr>
      </w:pPr>
      <w:r w:rsidRPr="007620A2">
        <w:rPr>
          <w:lang w:val="uk-UA"/>
        </w:rPr>
        <w:t xml:space="preserve">Фінансова підтримка </w:t>
      </w:r>
      <w:r w:rsidR="00353649">
        <w:rPr>
          <w:lang w:val="uk-UA"/>
        </w:rPr>
        <w:t xml:space="preserve">на поповнення обігових коштів </w:t>
      </w:r>
      <w:r w:rsidRPr="007620A2">
        <w:rPr>
          <w:lang w:val="uk-UA"/>
        </w:rPr>
        <w:t xml:space="preserve">комунальним підприємствам у </w:t>
      </w:r>
      <w:r w:rsidR="00353649">
        <w:rPr>
          <w:lang w:val="uk-UA"/>
        </w:rPr>
        <w:t xml:space="preserve">загальній </w:t>
      </w:r>
      <w:r w:rsidRPr="007620A2">
        <w:rPr>
          <w:lang w:val="uk-UA"/>
        </w:rPr>
        <w:t xml:space="preserve">сумі </w:t>
      </w:r>
      <w:r w:rsidR="00AC2DA3" w:rsidRPr="007620A2">
        <w:rPr>
          <w:lang w:val="uk-UA"/>
        </w:rPr>
        <w:t>43 320</w:t>
      </w:r>
      <w:r w:rsidRPr="007620A2">
        <w:rPr>
          <w:lang w:val="uk-UA"/>
        </w:rPr>
        <w:t xml:space="preserve">,0 тис. грн, у </w:t>
      </w:r>
      <w:r w:rsidRPr="00353649">
        <w:rPr>
          <w:lang w:val="uk-UA"/>
        </w:rPr>
        <w:t>т</w:t>
      </w:r>
      <w:r w:rsidR="00353649" w:rsidRPr="00353649">
        <w:rPr>
          <w:lang w:val="uk-UA"/>
        </w:rPr>
        <w:t>ому числі</w:t>
      </w:r>
      <w:r w:rsidRPr="00353649">
        <w:rPr>
          <w:lang w:val="uk-UA"/>
        </w:rPr>
        <w:t>:</w:t>
      </w:r>
    </w:p>
    <w:p w14:paraId="6A4E3A73" w14:textId="215A4F8F" w:rsidR="008A22EE" w:rsidRPr="00353649" w:rsidRDefault="00AC2DA3" w:rsidP="00E67FF2">
      <w:pPr>
        <w:pStyle w:val="aa"/>
        <w:numPr>
          <w:ilvl w:val="0"/>
          <w:numId w:val="15"/>
        </w:numPr>
        <w:tabs>
          <w:tab w:val="left" w:pos="709"/>
          <w:tab w:val="left" w:pos="851"/>
        </w:tabs>
        <w:ind w:left="0" w:right="28" w:firstLine="556"/>
        <w:jc w:val="both"/>
        <w:rPr>
          <w:lang w:val="uk-UA"/>
        </w:rPr>
      </w:pPr>
      <w:r w:rsidRPr="00353649">
        <w:rPr>
          <w:lang w:val="uk-UA"/>
        </w:rPr>
        <w:t>4</w:t>
      </w:r>
      <w:r w:rsidR="002D545D">
        <w:rPr>
          <w:lang w:val="uk-UA"/>
        </w:rPr>
        <w:t> </w:t>
      </w:r>
      <w:r w:rsidRPr="00353649">
        <w:rPr>
          <w:lang w:val="uk-UA"/>
        </w:rPr>
        <w:t>500</w:t>
      </w:r>
      <w:r w:rsidR="008A22EE" w:rsidRPr="00353649">
        <w:rPr>
          <w:lang w:val="uk-UA"/>
        </w:rPr>
        <w:t>,0</w:t>
      </w:r>
      <w:r w:rsidR="002D545D">
        <w:rPr>
          <w:lang w:val="uk-UA"/>
        </w:rPr>
        <w:t> </w:t>
      </w:r>
      <w:r w:rsidR="008A22EE" w:rsidRPr="00353649">
        <w:rPr>
          <w:lang w:val="uk-UA"/>
        </w:rPr>
        <w:t>тис.</w:t>
      </w:r>
      <w:r w:rsidR="002D545D">
        <w:rPr>
          <w:lang w:val="uk-UA"/>
        </w:rPr>
        <w:t> </w:t>
      </w:r>
      <w:r w:rsidR="008A22EE" w:rsidRPr="00353649">
        <w:rPr>
          <w:lang w:val="uk-UA"/>
        </w:rPr>
        <w:t xml:space="preserve">грн – </w:t>
      </w:r>
      <w:r w:rsidR="00353649" w:rsidRPr="00353649">
        <w:rPr>
          <w:lang w:val="uk-UA"/>
        </w:rPr>
        <w:t xml:space="preserve">комунальне підприємство </w:t>
      </w:r>
      <w:r w:rsidR="008A22EE" w:rsidRPr="00353649">
        <w:rPr>
          <w:lang w:val="uk-UA"/>
        </w:rPr>
        <w:t>«</w:t>
      </w:r>
      <w:r w:rsidR="00353649" w:rsidRPr="00353649">
        <w:rPr>
          <w:lang w:val="uk-UA"/>
        </w:rPr>
        <w:t>Міське управління житлово-комунального господарства</w:t>
      </w:r>
      <w:r w:rsidR="008A22EE" w:rsidRPr="00353649">
        <w:rPr>
          <w:lang w:val="uk-UA"/>
        </w:rPr>
        <w:t>»</w:t>
      </w:r>
      <w:r w:rsidR="00353649" w:rsidRPr="00353649">
        <w:rPr>
          <w:lang w:val="uk-UA"/>
        </w:rPr>
        <w:t xml:space="preserve"> Чорноморської міської ради Одеського району Одеської області</w:t>
      </w:r>
      <w:r w:rsidR="002D545D">
        <w:rPr>
          <w:lang w:val="uk-UA"/>
        </w:rPr>
        <w:t xml:space="preserve"> на утримання о</w:t>
      </w:r>
      <w:r w:rsidR="002D545D" w:rsidRPr="002D545D">
        <w:t>здоровч</w:t>
      </w:r>
      <w:r w:rsidR="002D545D">
        <w:rPr>
          <w:lang w:val="uk-UA"/>
        </w:rPr>
        <w:t>их</w:t>
      </w:r>
      <w:r w:rsidR="002D545D" w:rsidRPr="002D545D">
        <w:t xml:space="preserve"> табор</w:t>
      </w:r>
      <w:r w:rsidR="002D545D">
        <w:rPr>
          <w:lang w:val="uk-UA"/>
        </w:rPr>
        <w:t>ів</w:t>
      </w:r>
      <w:r w:rsidR="002D545D" w:rsidRPr="002D545D">
        <w:t xml:space="preserve"> «Райдужний» та «Чайка»</w:t>
      </w:r>
      <w:r w:rsidR="008A22EE" w:rsidRPr="00353649">
        <w:rPr>
          <w:lang w:val="uk-UA"/>
        </w:rPr>
        <w:t>;</w:t>
      </w:r>
    </w:p>
    <w:p w14:paraId="56253567" w14:textId="7B9735E5" w:rsidR="008A22EE" w:rsidRPr="00353649" w:rsidRDefault="00AC2DA3" w:rsidP="00E67FF2">
      <w:pPr>
        <w:pStyle w:val="aa"/>
        <w:numPr>
          <w:ilvl w:val="0"/>
          <w:numId w:val="15"/>
        </w:numPr>
        <w:tabs>
          <w:tab w:val="left" w:pos="709"/>
          <w:tab w:val="left" w:pos="851"/>
        </w:tabs>
        <w:ind w:left="0" w:right="28" w:firstLine="556"/>
        <w:jc w:val="both"/>
        <w:rPr>
          <w:lang w:val="uk-UA"/>
        </w:rPr>
      </w:pPr>
      <w:r w:rsidRPr="00353649">
        <w:rPr>
          <w:lang w:val="uk-UA"/>
        </w:rPr>
        <w:t>8</w:t>
      </w:r>
      <w:r w:rsidR="002D545D">
        <w:rPr>
          <w:lang w:val="uk-UA"/>
        </w:rPr>
        <w:t> </w:t>
      </w:r>
      <w:r w:rsidRPr="00353649">
        <w:rPr>
          <w:lang w:val="uk-UA"/>
        </w:rPr>
        <w:t>820</w:t>
      </w:r>
      <w:r w:rsidR="008A22EE" w:rsidRPr="00353649">
        <w:rPr>
          <w:lang w:val="uk-UA"/>
        </w:rPr>
        <w:t>,0</w:t>
      </w:r>
      <w:r w:rsidR="002D545D">
        <w:rPr>
          <w:lang w:val="uk-UA"/>
        </w:rPr>
        <w:t> </w:t>
      </w:r>
      <w:r w:rsidR="008A22EE" w:rsidRPr="00353649">
        <w:rPr>
          <w:lang w:val="uk-UA"/>
        </w:rPr>
        <w:t>тис.</w:t>
      </w:r>
      <w:r w:rsidR="002D545D">
        <w:rPr>
          <w:lang w:val="uk-UA"/>
        </w:rPr>
        <w:t> </w:t>
      </w:r>
      <w:r w:rsidR="008A22EE" w:rsidRPr="00353649">
        <w:rPr>
          <w:lang w:val="uk-UA"/>
        </w:rPr>
        <w:t xml:space="preserve">грн – </w:t>
      </w:r>
      <w:r w:rsidR="00353649" w:rsidRPr="00353649">
        <w:rPr>
          <w:lang w:val="uk-UA"/>
        </w:rPr>
        <w:t>комунальне підприємство</w:t>
      </w:r>
      <w:r w:rsidR="008A22EE" w:rsidRPr="00353649">
        <w:rPr>
          <w:lang w:val="uk-UA"/>
        </w:rPr>
        <w:t xml:space="preserve"> «Ч</w:t>
      </w:r>
      <w:r w:rsidR="00353649" w:rsidRPr="00353649">
        <w:rPr>
          <w:lang w:val="uk-UA"/>
        </w:rPr>
        <w:t>орноморськводоканал</w:t>
      </w:r>
      <w:r w:rsidR="008A22EE" w:rsidRPr="00353649">
        <w:rPr>
          <w:lang w:val="uk-UA"/>
        </w:rPr>
        <w:t>»</w:t>
      </w:r>
      <w:r w:rsidR="00353649" w:rsidRPr="00353649">
        <w:rPr>
          <w:lang w:val="uk-UA"/>
        </w:rPr>
        <w:t xml:space="preserve"> Чорноморської міської ради Одеського району Одеської області</w:t>
      </w:r>
      <w:r w:rsidR="002D545D">
        <w:rPr>
          <w:lang w:val="uk-UA"/>
        </w:rPr>
        <w:t xml:space="preserve"> д</w:t>
      </w:r>
      <w:r w:rsidR="002D545D" w:rsidRPr="002D545D">
        <w:rPr>
          <w:lang w:val="uk-UA"/>
        </w:rPr>
        <w:t>ля забезпечення статутної діяльності підприємства;</w:t>
      </w:r>
      <w:r w:rsidR="00353649" w:rsidRPr="00353649">
        <w:rPr>
          <w:lang w:val="uk-UA"/>
        </w:rPr>
        <w:t>;</w:t>
      </w:r>
    </w:p>
    <w:p w14:paraId="6C7E9246" w14:textId="5B1699A9" w:rsidR="008A22EE" w:rsidRPr="00353649" w:rsidRDefault="00AC2DA3" w:rsidP="00E67FF2">
      <w:pPr>
        <w:pStyle w:val="aa"/>
        <w:numPr>
          <w:ilvl w:val="0"/>
          <w:numId w:val="15"/>
        </w:numPr>
        <w:tabs>
          <w:tab w:val="left" w:pos="709"/>
          <w:tab w:val="left" w:pos="851"/>
        </w:tabs>
        <w:ind w:left="0" w:right="28" w:firstLine="556"/>
        <w:jc w:val="both"/>
        <w:rPr>
          <w:lang w:val="uk-UA"/>
        </w:rPr>
      </w:pPr>
      <w:r w:rsidRPr="00353649">
        <w:rPr>
          <w:lang w:val="uk-UA"/>
        </w:rPr>
        <w:t>30</w:t>
      </w:r>
      <w:r w:rsidR="008A22EE" w:rsidRPr="00353649">
        <w:rPr>
          <w:lang w:val="uk-UA"/>
        </w:rPr>
        <w:t> 000,0</w:t>
      </w:r>
      <w:r w:rsidR="002D545D">
        <w:rPr>
          <w:lang w:val="uk-UA"/>
        </w:rPr>
        <w:t> </w:t>
      </w:r>
      <w:r w:rsidR="008A22EE" w:rsidRPr="00353649">
        <w:rPr>
          <w:lang w:val="uk-UA"/>
        </w:rPr>
        <w:t>тис</w:t>
      </w:r>
      <w:r w:rsidR="002D545D">
        <w:rPr>
          <w:lang w:val="uk-UA"/>
        </w:rPr>
        <w:t>. </w:t>
      </w:r>
      <w:r w:rsidR="008A22EE" w:rsidRPr="00353649">
        <w:rPr>
          <w:lang w:val="uk-UA"/>
        </w:rPr>
        <w:t xml:space="preserve">грн – </w:t>
      </w:r>
      <w:r w:rsidR="00353649" w:rsidRPr="00353649">
        <w:rPr>
          <w:lang w:val="uk-UA"/>
        </w:rPr>
        <w:t>комунальне підприємство</w:t>
      </w:r>
      <w:r w:rsidR="008A22EE" w:rsidRPr="00353649">
        <w:rPr>
          <w:lang w:val="uk-UA"/>
        </w:rPr>
        <w:t xml:space="preserve"> «Ч</w:t>
      </w:r>
      <w:r w:rsidR="00353649" w:rsidRPr="00353649">
        <w:rPr>
          <w:lang w:val="uk-UA"/>
        </w:rPr>
        <w:t>орноморськтеплоенерго</w:t>
      </w:r>
      <w:r w:rsidR="008A22EE" w:rsidRPr="00353649">
        <w:rPr>
          <w:lang w:val="uk-UA"/>
        </w:rPr>
        <w:t>»</w:t>
      </w:r>
      <w:r w:rsidR="00353649" w:rsidRPr="00353649">
        <w:rPr>
          <w:lang w:val="uk-UA"/>
        </w:rPr>
        <w:t xml:space="preserve"> Чорноморської міської ради Одеського району Одеської області</w:t>
      </w:r>
      <w:r w:rsidR="002D545D">
        <w:rPr>
          <w:lang w:val="uk-UA"/>
        </w:rPr>
        <w:t xml:space="preserve"> д</w:t>
      </w:r>
      <w:r w:rsidR="002D545D" w:rsidRPr="002D545D">
        <w:t>ля розрахунків за  природний газ</w:t>
      </w:r>
      <w:r w:rsidR="008A22EE" w:rsidRPr="00353649">
        <w:rPr>
          <w:lang w:val="uk-UA"/>
        </w:rPr>
        <w:t>.</w:t>
      </w:r>
    </w:p>
    <w:p w14:paraId="4EBE69CF" w14:textId="77777777" w:rsidR="008A22EE" w:rsidRPr="007620A2" w:rsidRDefault="008A22EE" w:rsidP="008A22EE">
      <w:pPr>
        <w:pStyle w:val="aa"/>
        <w:tabs>
          <w:tab w:val="left" w:pos="709"/>
          <w:tab w:val="left" w:pos="851"/>
        </w:tabs>
        <w:ind w:left="556" w:right="28"/>
        <w:jc w:val="both"/>
        <w:rPr>
          <w:lang w:val="uk-UA"/>
        </w:rPr>
      </w:pPr>
      <w:r w:rsidRPr="00353649">
        <w:rPr>
          <w:lang w:val="uk-UA"/>
        </w:rPr>
        <w:t>Заходи із запобігання та ліквідація надзвичайних ситуації та наслідків стихійного лиха</w:t>
      </w:r>
      <w:r w:rsidRPr="007620A2">
        <w:rPr>
          <w:lang w:val="uk-UA"/>
        </w:rPr>
        <w:t xml:space="preserve"> – </w:t>
      </w:r>
      <w:r w:rsidR="00AC2DA3" w:rsidRPr="007620A2">
        <w:rPr>
          <w:lang w:val="uk-UA"/>
        </w:rPr>
        <w:t>2 527,2</w:t>
      </w:r>
      <w:r w:rsidRPr="007620A2">
        <w:rPr>
          <w:lang w:val="uk-UA"/>
        </w:rPr>
        <w:t xml:space="preserve"> тис. грн, із них:</w:t>
      </w:r>
    </w:p>
    <w:p w14:paraId="79EE1711" w14:textId="6B1EF482" w:rsidR="008A22EE" w:rsidRPr="007620A2" w:rsidRDefault="008A22EE" w:rsidP="00E67FF2">
      <w:pPr>
        <w:pStyle w:val="aa"/>
        <w:numPr>
          <w:ilvl w:val="0"/>
          <w:numId w:val="15"/>
        </w:numPr>
        <w:tabs>
          <w:tab w:val="left" w:pos="709"/>
          <w:tab w:val="left" w:pos="851"/>
        </w:tabs>
        <w:ind w:left="0" w:right="28" w:firstLine="556"/>
        <w:jc w:val="both"/>
        <w:rPr>
          <w:lang w:val="uk-UA"/>
        </w:rPr>
      </w:pPr>
      <w:r w:rsidRPr="007620A2">
        <w:rPr>
          <w:lang w:val="uk-UA"/>
        </w:rPr>
        <w:t>К</w:t>
      </w:r>
      <w:r w:rsidR="002D545D">
        <w:rPr>
          <w:lang w:val="uk-UA"/>
        </w:rPr>
        <w:t xml:space="preserve">омунальне підприємство </w:t>
      </w:r>
      <w:r w:rsidRPr="007620A2">
        <w:rPr>
          <w:lang w:val="uk-UA"/>
        </w:rPr>
        <w:t>«Міське управління житлово-комунального господарства» на утримання найпростіших укриттів</w:t>
      </w:r>
      <w:r w:rsidR="00AC2DA3" w:rsidRPr="007620A2">
        <w:rPr>
          <w:lang w:val="uk-UA"/>
        </w:rPr>
        <w:t xml:space="preserve"> та Пунктів Незламності</w:t>
      </w:r>
      <w:r w:rsidRPr="007620A2">
        <w:rPr>
          <w:lang w:val="uk-UA"/>
        </w:rPr>
        <w:t xml:space="preserve">  – </w:t>
      </w:r>
      <w:r w:rsidR="00AC2DA3" w:rsidRPr="007620A2">
        <w:rPr>
          <w:lang w:val="uk-UA"/>
        </w:rPr>
        <w:t>2 217,2</w:t>
      </w:r>
      <w:r w:rsidRPr="007620A2">
        <w:rPr>
          <w:lang w:val="uk-UA"/>
        </w:rPr>
        <w:t xml:space="preserve"> тис. грн;</w:t>
      </w:r>
    </w:p>
    <w:p w14:paraId="3DF7E475" w14:textId="18D59A93" w:rsidR="008A22EE" w:rsidRPr="007620A2" w:rsidRDefault="008A22EE" w:rsidP="00E67FF2">
      <w:pPr>
        <w:pStyle w:val="aa"/>
        <w:numPr>
          <w:ilvl w:val="0"/>
          <w:numId w:val="15"/>
        </w:numPr>
        <w:tabs>
          <w:tab w:val="left" w:pos="709"/>
          <w:tab w:val="left" w:pos="851"/>
        </w:tabs>
        <w:ind w:left="0" w:right="28" w:firstLine="556"/>
        <w:jc w:val="both"/>
        <w:rPr>
          <w:lang w:val="uk-UA"/>
        </w:rPr>
      </w:pPr>
      <w:r w:rsidRPr="007620A2">
        <w:rPr>
          <w:lang w:val="uk-UA"/>
        </w:rPr>
        <w:t>К</w:t>
      </w:r>
      <w:r w:rsidR="002D545D">
        <w:rPr>
          <w:lang w:val="uk-UA"/>
        </w:rPr>
        <w:t xml:space="preserve">омунальне підприємство </w:t>
      </w:r>
      <w:r w:rsidRPr="007620A2">
        <w:rPr>
          <w:lang w:val="uk-UA"/>
        </w:rPr>
        <w:t xml:space="preserve">«Чорноморськтеплоенерго» на утримання Пунктів Незламності – </w:t>
      </w:r>
      <w:r w:rsidR="00AC2DA3" w:rsidRPr="007620A2">
        <w:rPr>
          <w:lang w:val="uk-UA"/>
        </w:rPr>
        <w:t>310,0</w:t>
      </w:r>
      <w:r w:rsidRPr="007620A2">
        <w:rPr>
          <w:lang w:val="uk-UA"/>
        </w:rPr>
        <w:t xml:space="preserve"> тис. грн.</w:t>
      </w:r>
    </w:p>
    <w:p w14:paraId="6A042AF4" w14:textId="77777777" w:rsidR="007517AA" w:rsidRPr="007620A2" w:rsidRDefault="007517AA" w:rsidP="007517AA">
      <w:pPr>
        <w:pStyle w:val="aa"/>
        <w:tabs>
          <w:tab w:val="left" w:pos="709"/>
          <w:tab w:val="left" w:pos="851"/>
        </w:tabs>
        <w:ind w:left="556" w:right="28"/>
        <w:jc w:val="both"/>
        <w:rPr>
          <w:lang w:val="uk-UA"/>
        </w:rPr>
      </w:pPr>
      <w:r w:rsidRPr="007620A2">
        <w:rPr>
          <w:lang w:val="uk-UA"/>
        </w:rPr>
        <w:t>Інші видатки – 10,0 тис. грн.</w:t>
      </w:r>
    </w:p>
    <w:p w14:paraId="3CF0B34C" w14:textId="3AAF4ED9" w:rsidR="008A22EE" w:rsidRPr="007620A2" w:rsidRDefault="008A22EE" w:rsidP="008A22EE">
      <w:pPr>
        <w:pStyle w:val="aa"/>
        <w:tabs>
          <w:tab w:val="left" w:pos="709"/>
          <w:tab w:val="left" w:pos="851"/>
        </w:tabs>
        <w:ind w:right="28" w:firstLine="567"/>
        <w:jc w:val="both"/>
        <w:rPr>
          <w:lang w:val="uk-UA"/>
        </w:rPr>
      </w:pPr>
      <w:r w:rsidRPr="007620A2">
        <w:rPr>
          <w:lang w:val="uk-UA"/>
        </w:rPr>
        <w:t xml:space="preserve">Видатки на організацію і проведення громадських робіт враховані у сумі </w:t>
      </w:r>
      <w:r w:rsidR="00AC2DA3" w:rsidRPr="007620A2">
        <w:rPr>
          <w:lang w:val="uk-UA"/>
        </w:rPr>
        <w:t>5</w:t>
      </w:r>
      <w:r w:rsidRPr="007620A2">
        <w:rPr>
          <w:lang w:val="uk-UA"/>
        </w:rPr>
        <w:t>0,0 тис. гривень.</w:t>
      </w:r>
    </w:p>
    <w:p w14:paraId="791B5095" w14:textId="77777777" w:rsidR="008A22EE" w:rsidRPr="007620A2" w:rsidRDefault="008A22EE" w:rsidP="008A22EE">
      <w:pPr>
        <w:pStyle w:val="aa"/>
        <w:tabs>
          <w:tab w:val="left" w:pos="709"/>
          <w:tab w:val="left" w:pos="851"/>
        </w:tabs>
        <w:ind w:left="567" w:right="28"/>
        <w:jc w:val="both"/>
        <w:rPr>
          <w:lang w:val="uk-UA"/>
        </w:rPr>
      </w:pPr>
    </w:p>
    <w:p w14:paraId="27EF6C80" w14:textId="77777777" w:rsidR="008A22EE" w:rsidRPr="007620A2" w:rsidRDefault="008A22EE" w:rsidP="008A22EE">
      <w:pPr>
        <w:pStyle w:val="aa"/>
        <w:ind w:left="14" w:right="28" w:firstLine="388"/>
        <w:jc w:val="center"/>
        <w:rPr>
          <w:b/>
          <w:lang w:val="uk-UA"/>
        </w:rPr>
      </w:pPr>
      <w:r w:rsidRPr="007620A2">
        <w:rPr>
          <w:b/>
          <w:lang w:val="uk-UA"/>
        </w:rPr>
        <w:t xml:space="preserve">УПРАВЛІННЯ КАПІТАЛЬНОГО БУДІВНИЦТВА </w:t>
      </w:r>
    </w:p>
    <w:p w14:paraId="27223475" w14:textId="77777777" w:rsidR="008A22EE" w:rsidRPr="007620A2" w:rsidRDefault="008A22EE" w:rsidP="008A22EE">
      <w:pPr>
        <w:pStyle w:val="aa"/>
        <w:ind w:left="14" w:right="28" w:firstLine="388"/>
        <w:jc w:val="center"/>
        <w:rPr>
          <w:b/>
          <w:lang w:val="uk-UA"/>
        </w:rPr>
      </w:pPr>
      <w:r w:rsidRPr="007620A2">
        <w:rPr>
          <w:b/>
          <w:lang w:val="uk-UA"/>
        </w:rPr>
        <w:t xml:space="preserve">ЧОРНОМОРСЬКОЇ МІСЬКОЇ РАДИ  ОДЕСЬКОГО РАЙОНУ </w:t>
      </w:r>
    </w:p>
    <w:p w14:paraId="66432AB1" w14:textId="77777777" w:rsidR="008A22EE" w:rsidRPr="007620A2" w:rsidRDefault="008A22EE" w:rsidP="008A22EE">
      <w:pPr>
        <w:pStyle w:val="aa"/>
        <w:ind w:left="14" w:right="28" w:firstLine="388"/>
        <w:jc w:val="center"/>
        <w:rPr>
          <w:b/>
          <w:lang w:val="uk-UA"/>
        </w:rPr>
      </w:pPr>
      <w:r w:rsidRPr="007620A2">
        <w:rPr>
          <w:b/>
          <w:lang w:val="uk-UA"/>
        </w:rPr>
        <w:t>ОДЕСЬКОЇ ОБЛАСТІ</w:t>
      </w:r>
    </w:p>
    <w:p w14:paraId="0BBF1E51" w14:textId="668E8E96" w:rsidR="008A22EE" w:rsidRPr="007620A2" w:rsidRDefault="008A22EE" w:rsidP="008A22EE">
      <w:pPr>
        <w:pStyle w:val="aa"/>
        <w:ind w:left="14" w:right="28" w:firstLine="553"/>
        <w:jc w:val="both"/>
        <w:rPr>
          <w:lang w:val="uk-UA"/>
        </w:rPr>
      </w:pPr>
      <w:r w:rsidRPr="007620A2">
        <w:rPr>
          <w:lang w:val="uk-UA"/>
        </w:rPr>
        <w:t>В проєкті бюджету Чорноморської</w:t>
      </w:r>
      <w:r w:rsidR="00C705D4">
        <w:rPr>
          <w:lang w:val="uk-UA"/>
        </w:rPr>
        <w:t xml:space="preserve"> МТГ</w:t>
      </w:r>
      <w:r w:rsidRPr="007620A2">
        <w:rPr>
          <w:lang w:val="uk-UA"/>
        </w:rPr>
        <w:t xml:space="preserve"> на 202</w:t>
      </w:r>
      <w:r w:rsidR="00E47C09" w:rsidRPr="007620A2">
        <w:rPr>
          <w:lang w:val="uk-UA"/>
        </w:rPr>
        <w:t>5</w:t>
      </w:r>
      <w:r w:rsidRPr="007620A2">
        <w:rPr>
          <w:lang w:val="uk-UA"/>
        </w:rPr>
        <w:t xml:space="preserve"> рік управлінню капітального будівництва Чорноморської міської ради Одеського району Одеської області визначені бюджетні призначення </w:t>
      </w:r>
      <w:r w:rsidR="002D545D">
        <w:rPr>
          <w:lang w:val="uk-UA"/>
        </w:rPr>
        <w:t xml:space="preserve">на утримання управління </w:t>
      </w:r>
      <w:r w:rsidRPr="007620A2">
        <w:rPr>
          <w:lang w:val="uk-UA"/>
        </w:rPr>
        <w:t xml:space="preserve">у сумі </w:t>
      </w:r>
      <w:r w:rsidR="00E47C09" w:rsidRPr="007620A2">
        <w:rPr>
          <w:lang w:val="uk-UA"/>
        </w:rPr>
        <w:t>6 373,6</w:t>
      </w:r>
      <w:r w:rsidR="002D545D">
        <w:rPr>
          <w:lang w:val="uk-UA"/>
        </w:rPr>
        <w:t> </w:t>
      </w:r>
      <w:r w:rsidRPr="007620A2">
        <w:rPr>
          <w:lang w:val="uk-UA"/>
        </w:rPr>
        <w:t>тис. грн.</w:t>
      </w:r>
    </w:p>
    <w:p w14:paraId="3DFAC080" w14:textId="77777777" w:rsidR="008A22EE" w:rsidRPr="007620A2" w:rsidRDefault="008A22EE" w:rsidP="008A22EE">
      <w:pPr>
        <w:pStyle w:val="aa"/>
        <w:ind w:left="14" w:right="28" w:firstLine="553"/>
        <w:jc w:val="both"/>
        <w:rPr>
          <w:lang w:val="uk-UA"/>
        </w:rPr>
      </w:pPr>
    </w:p>
    <w:p w14:paraId="57B7B562" w14:textId="77777777" w:rsidR="008A22EE" w:rsidRPr="007620A2" w:rsidRDefault="008A22EE" w:rsidP="008A22EE">
      <w:pPr>
        <w:spacing w:after="0"/>
        <w:jc w:val="center"/>
        <w:rPr>
          <w:rFonts w:ascii="Times New Roman" w:hAnsi="Times New Roman" w:cs="Times New Roman"/>
          <w:b/>
          <w:sz w:val="24"/>
          <w:szCs w:val="24"/>
          <w:lang w:val="uk-UA"/>
        </w:rPr>
      </w:pPr>
      <w:r w:rsidRPr="007620A2">
        <w:rPr>
          <w:rFonts w:ascii="Times New Roman" w:hAnsi="Times New Roman" w:cs="Times New Roman"/>
          <w:b/>
          <w:sz w:val="24"/>
          <w:szCs w:val="24"/>
          <w:lang w:val="uk-UA"/>
        </w:rPr>
        <w:t>УПРАВЛІННЯ КОМУНАЛЬНОЇ ВЛАСНОСТІ ТА ЗЕМЕЛЬНИХ ВІДНОСИН  ЧОРНОМОРСЬКОЇ МІСЬКОЇ РАДИ ОДЕСЬКОГО РАЙОНУ ОДЕСЬКОЇ ОБЛАСТІ</w:t>
      </w:r>
    </w:p>
    <w:p w14:paraId="145B6DD9" w14:textId="6E44185D" w:rsidR="008A22EE" w:rsidRPr="007620A2" w:rsidRDefault="008A22EE" w:rsidP="002D545D">
      <w:pPr>
        <w:spacing w:after="0" w:line="240" w:lineRule="auto"/>
        <w:ind w:right="-6"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В проєкті бюджету Чорноморської </w:t>
      </w:r>
      <w:r w:rsidR="00C705D4">
        <w:rPr>
          <w:rFonts w:ascii="Times New Roman" w:hAnsi="Times New Roman" w:cs="Times New Roman"/>
          <w:sz w:val="24"/>
          <w:szCs w:val="24"/>
          <w:lang w:val="uk-UA"/>
        </w:rPr>
        <w:t>МТГ</w:t>
      </w:r>
      <w:r w:rsidRPr="007620A2">
        <w:rPr>
          <w:rFonts w:ascii="Times New Roman" w:hAnsi="Times New Roman" w:cs="Times New Roman"/>
          <w:sz w:val="24"/>
          <w:szCs w:val="24"/>
          <w:lang w:val="uk-UA"/>
        </w:rPr>
        <w:t xml:space="preserve"> на 202</w:t>
      </w:r>
      <w:r w:rsidR="00615FB4" w:rsidRPr="007620A2">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управлінню комунальної власності та земельних відносин Чорноморської міської ради Одеського району Одеської області</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визначені бюджетні призначення у сумі</w:t>
      </w:r>
      <w:r w:rsidRPr="007620A2">
        <w:rPr>
          <w:rFonts w:ascii="Times New Roman" w:hAnsi="Times New Roman" w:cs="Times New Roman"/>
          <w:b/>
          <w:sz w:val="24"/>
          <w:szCs w:val="24"/>
          <w:lang w:val="uk-UA"/>
        </w:rPr>
        <w:t xml:space="preserve"> </w:t>
      </w:r>
      <w:r w:rsidR="00615FB4" w:rsidRPr="007620A2">
        <w:rPr>
          <w:rFonts w:ascii="Times New Roman" w:hAnsi="Times New Roman" w:cs="Times New Roman"/>
          <w:sz w:val="24"/>
          <w:szCs w:val="24"/>
          <w:lang w:val="uk-UA"/>
        </w:rPr>
        <w:t>28 701,3</w:t>
      </w:r>
      <w:r w:rsidR="007620A2">
        <w:rPr>
          <w:rFonts w:ascii="Times New Roman" w:hAnsi="Times New Roman" w:cs="Times New Roman"/>
          <w:sz w:val="24"/>
          <w:szCs w:val="24"/>
          <w:lang w:val="uk-UA"/>
        </w:rPr>
        <w:t> тис. </w:t>
      </w:r>
      <w:r w:rsidRPr="007620A2">
        <w:rPr>
          <w:rFonts w:ascii="Times New Roman" w:hAnsi="Times New Roman" w:cs="Times New Roman"/>
          <w:sz w:val="24"/>
          <w:szCs w:val="24"/>
          <w:lang w:val="uk-UA"/>
        </w:rPr>
        <w:t xml:space="preserve"> грн, зокрема на:</w:t>
      </w:r>
    </w:p>
    <w:p w14:paraId="1291DA01" w14:textId="77777777" w:rsidR="008A22EE" w:rsidRPr="007620A2" w:rsidRDefault="008A22EE" w:rsidP="002D545D">
      <w:pPr>
        <w:spacing w:after="0" w:line="240" w:lineRule="auto"/>
        <w:ind w:right="-6"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утримання управління – </w:t>
      </w:r>
      <w:r w:rsidR="00615FB4" w:rsidRPr="007620A2">
        <w:rPr>
          <w:rFonts w:ascii="Times New Roman" w:hAnsi="Times New Roman" w:cs="Times New Roman"/>
          <w:sz w:val="24"/>
          <w:szCs w:val="24"/>
          <w:lang w:val="uk-UA"/>
        </w:rPr>
        <w:t>5 610,3</w:t>
      </w:r>
      <w:r w:rsidRPr="007620A2">
        <w:rPr>
          <w:rFonts w:ascii="Times New Roman" w:hAnsi="Times New Roman" w:cs="Times New Roman"/>
          <w:sz w:val="24"/>
          <w:szCs w:val="24"/>
          <w:lang w:val="uk-UA"/>
        </w:rPr>
        <w:t xml:space="preserve"> тис. грн;</w:t>
      </w:r>
    </w:p>
    <w:p w14:paraId="00650660" w14:textId="77777777" w:rsidR="008A22EE" w:rsidRPr="007620A2" w:rsidRDefault="008A22EE" w:rsidP="002D545D">
      <w:pPr>
        <w:spacing w:after="0" w:line="240" w:lineRule="auto"/>
        <w:ind w:right="-6"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інша діяльність – </w:t>
      </w:r>
      <w:r w:rsidR="00615FB4" w:rsidRPr="007620A2">
        <w:rPr>
          <w:rFonts w:ascii="Times New Roman" w:hAnsi="Times New Roman" w:cs="Times New Roman"/>
          <w:sz w:val="24"/>
          <w:szCs w:val="24"/>
          <w:lang w:val="uk-UA"/>
        </w:rPr>
        <w:t>65,0</w:t>
      </w:r>
      <w:r w:rsidRPr="007620A2">
        <w:rPr>
          <w:rFonts w:ascii="Times New Roman" w:hAnsi="Times New Roman" w:cs="Times New Roman"/>
          <w:sz w:val="24"/>
          <w:szCs w:val="24"/>
          <w:lang w:val="uk-UA"/>
        </w:rPr>
        <w:t xml:space="preserve"> тис. грн;</w:t>
      </w:r>
    </w:p>
    <w:p w14:paraId="3EB23238" w14:textId="30CF4F69" w:rsidR="008A22EE" w:rsidRPr="007620A2" w:rsidRDefault="008A22EE" w:rsidP="002D545D">
      <w:pPr>
        <w:spacing w:after="0" w:line="240" w:lineRule="auto"/>
        <w:ind w:right="-6"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оплату послуг з теплопостачання за об’єкт</w:t>
      </w:r>
      <w:r w:rsidR="002D545D">
        <w:rPr>
          <w:rFonts w:ascii="Times New Roman" w:hAnsi="Times New Roman" w:cs="Times New Roman"/>
          <w:sz w:val="24"/>
          <w:szCs w:val="24"/>
          <w:lang w:val="uk-UA"/>
        </w:rPr>
        <w:t>ами</w:t>
      </w:r>
      <w:r w:rsidRPr="007620A2">
        <w:rPr>
          <w:rFonts w:ascii="Times New Roman" w:hAnsi="Times New Roman" w:cs="Times New Roman"/>
          <w:sz w:val="24"/>
          <w:szCs w:val="24"/>
          <w:lang w:val="uk-UA"/>
        </w:rPr>
        <w:t xml:space="preserve"> комунальної власності – </w:t>
      </w:r>
      <w:r w:rsidR="00615FB4" w:rsidRPr="007620A2">
        <w:rPr>
          <w:rFonts w:ascii="Times New Roman" w:hAnsi="Times New Roman" w:cs="Times New Roman"/>
          <w:sz w:val="24"/>
          <w:szCs w:val="24"/>
          <w:lang w:val="uk-UA"/>
        </w:rPr>
        <w:t>200,0</w:t>
      </w:r>
      <w:r w:rsidRPr="007620A2">
        <w:rPr>
          <w:rFonts w:ascii="Times New Roman" w:hAnsi="Times New Roman" w:cs="Times New Roman"/>
          <w:sz w:val="24"/>
          <w:szCs w:val="24"/>
          <w:lang w:val="uk-UA"/>
        </w:rPr>
        <w:t xml:space="preserve"> тис. грн;</w:t>
      </w:r>
    </w:p>
    <w:p w14:paraId="553D61AA" w14:textId="2669F21D" w:rsidR="008A22EE" w:rsidRPr="00977884" w:rsidRDefault="008A22EE" w:rsidP="002D545D">
      <w:pPr>
        <w:spacing w:after="0" w:line="240" w:lineRule="auto"/>
        <w:ind w:right="-6" w:firstLine="567"/>
        <w:jc w:val="both"/>
        <w:rPr>
          <w:rFonts w:ascii="Times New Roman" w:hAnsi="Times New Roman" w:cs="Times New Roman"/>
          <w:sz w:val="24"/>
          <w:szCs w:val="24"/>
          <w:lang w:val="uk-UA"/>
        </w:rPr>
      </w:pPr>
      <w:r w:rsidRPr="00977884">
        <w:rPr>
          <w:rFonts w:ascii="Times New Roman" w:hAnsi="Times New Roman" w:cs="Times New Roman"/>
          <w:sz w:val="24"/>
          <w:szCs w:val="24"/>
          <w:lang w:val="uk-UA"/>
        </w:rPr>
        <w:t xml:space="preserve">- </w:t>
      </w:r>
      <w:r w:rsidR="00977884" w:rsidRPr="00977884">
        <w:rPr>
          <w:rFonts w:ascii="Times New Roman" w:hAnsi="Times New Roman" w:cs="Times New Roman"/>
          <w:sz w:val="24"/>
          <w:szCs w:val="24"/>
          <w:lang w:val="uk-UA"/>
        </w:rPr>
        <w:t xml:space="preserve">1 160,0 тис. грн -  </w:t>
      </w:r>
      <w:r w:rsidRPr="00977884">
        <w:rPr>
          <w:rFonts w:ascii="Times New Roman" w:hAnsi="Times New Roman" w:cs="Times New Roman"/>
          <w:sz w:val="24"/>
          <w:szCs w:val="24"/>
          <w:lang w:val="uk-UA"/>
        </w:rPr>
        <w:t>розробка проєкту землеустрою земельних ділянок, які знаходяться на території Чорноморської міської територіальної громади</w:t>
      </w:r>
      <w:r w:rsidR="00977884" w:rsidRPr="00977884">
        <w:rPr>
          <w:rFonts w:ascii="Times New Roman" w:hAnsi="Times New Roman" w:cs="Times New Roman"/>
          <w:sz w:val="24"/>
          <w:szCs w:val="24"/>
          <w:lang w:val="uk-UA"/>
        </w:rPr>
        <w:t>,  в т. ч. проведення нормативно грошової оцінки земельних ділянок Чорноморської</w:t>
      </w:r>
      <w:r w:rsidRPr="00977884">
        <w:rPr>
          <w:rFonts w:ascii="Times New Roman" w:hAnsi="Times New Roman" w:cs="Times New Roman"/>
          <w:sz w:val="24"/>
          <w:szCs w:val="24"/>
          <w:lang w:val="uk-UA"/>
        </w:rPr>
        <w:t xml:space="preserve"> </w:t>
      </w:r>
      <w:r w:rsidR="00977884" w:rsidRPr="00977884">
        <w:rPr>
          <w:rFonts w:ascii="Times New Roman" w:hAnsi="Times New Roman" w:cs="Times New Roman"/>
          <w:sz w:val="24"/>
          <w:szCs w:val="24"/>
          <w:lang w:val="uk-UA"/>
        </w:rPr>
        <w:t>міської територіальної громади у сумі  600,0 тис. грн;</w:t>
      </w:r>
    </w:p>
    <w:p w14:paraId="2ED89E63" w14:textId="17A89516" w:rsidR="008A22EE" w:rsidRPr="007620A2" w:rsidRDefault="008A22EE" w:rsidP="002D545D">
      <w:pPr>
        <w:spacing w:line="240" w:lineRule="auto"/>
        <w:ind w:firstLine="567"/>
        <w:contextualSpacing/>
        <w:jc w:val="both"/>
        <w:rPr>
          <w:rFonts w:ascii="Times New Roman" w:hAnsi="Times New Roman" w:cs="Times New Roman"/>
          <w:sz w:val="24"/>
          <w:szCs w:val="24"/>
          <w:lang w:val="uk-UA"/>
        </w:rPr>
      </w:pPr>
      <w:r w:rsidRPr="00977884">
        <w:rPr>
          <w:rFonts w:ascii="Times New Roman" w:hAnsi="Times New Roman" w:cs="Times New Roman"/>
          <w:sz w:val="24"/>
          <w:szCs w:val="24"/>
          <w:lang w:val="uk-UA"/>
        </w:rPr>
        <w:t>- заходи Міської цільової програми проведення технічної</w:t>
      </w:r>
      <w:r w:rsidRPr="007620A2">
        <w:rPr>
          <w:rFonts w:ascii="Times New Roman" w:hAnsi="Times New Roman" w:cs="Times New Roman"/>
          <w:sz w:val="24"/>
          <w:szCs w:val="24"/>
          <w:lang w:val="uk-UA"/>
        </w:rPr>
        <w:t xml:space="preserve"> інвентаризації та виготовлення технічних паспортів багатоквартирних житлових будинків, які розташовані на території Чорноморської міської ради Одеського району Одеської області та знаходяться в управлінні комунального підприємства </w:t>
      </w:r>
      <w:r w:rsidR="00C705D4">
        <w:rPr>
          <w:rFonts w:ascii="Times New Roman" w:hAnsi="Times New Roman" w:cs="Times New Roman"/>
          <w:sz w:val="24"/>
          <w:szCs w:val="24"/>
          <w:lang w:val="uk-UA"/>
        </w:rPr>
        <w:t>«</w:t>
      </w:r>
      <w:r w:rsidRPr="007620A2">
        <w:rPr>
          <w:rFonts w:ascii="Times New Roman" w:hAnsi="Times New Roman" w:cs="Times New Roman"/>
          <w:sz w:val="24"/>
          <w:szCs w:val="24"/>
          <w:lang w:val="uk-UA"/>
        </w:rPr>
        <w:t>Міське управління житлово-комунального господарства</w:t>
      </w:r>
      <w:r w:rsidR="00C705D4">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на 2023-2025 роки", затвердженої рішенням Чорноморської міської ради Одеського району Одеської області від 19.05.2023 року №368-VIII – 1 500,0 тис. грн; </w:t>
      </w:r>
    </w:p>
    <w:p w14:paraId="4740F775" w14:textId="77777777" w:rsidR="008A22EE" w:rsidRPr="007620A2" w:rsidRDefault="008A22EE" w:rsidP="002D545D">
      <w:pPr>
        <w:spacing w:after="0" w:line="240" w:lineRule="auto"/>
        <w:ind w:right="-6" w:firstLine="567"/>
        <w:contextualSpacing/>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надання фінансової підтримки :</w:t>
      </w:r>
    </w:p>
    <w:p w14:paraId="226225E3" w14:textId="77777777" w:rsidR="008A22EE" w:rsidRPr="007620A2" w:rsidRDefault="008A22EE" w:rsidP="002D545D">
      <w:pPr>
        <w:pStyle w:val="a4"/>
        <w:numPr>
          <w:ilvl w:val="0"/>
          <w:numId w:val="24"/>
        </w:numPr>
        <w:spacing w:after="0" w:line="240" w:lineRule="auto"/>
        <w:ind w:right="-6"/>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комунальному підприємству «Палац спорту "Юність"» Чорноморської міської ради Одеського району Одеської області – 16</w:t>
      </w:r>
      <w:r w:rsidR="00615FB4" w:rsidRPr="007620A2">
        <w:rPr>
          <w:rFonts w:ascii="Times New Roman" w:hAnsi="Times New Roman" w:cs="Times New Roman"/>
          <w:sz w:val="24"/>
          <w:szCs w:val="24"/>
          <w:lang w:val="uk-UA"/>
        </w:rPr>
        <w:t> 900,0</w:t>
      </w:r>
      <w:r w:rsidRPr="007620A2">
        <w:rPr>
          <w:rFonts w:ascii="Times New Roman" w:hAnsi="Times New Roman" w:cs="Times New Roman"/>
          <w:sz w:val="24"/>
          <w:szCs w:val="24"/>
          <w:lang w:val="uk-UA"/>
        </w:rPr>
        <w:t xml:space="preserve"> тис. грн;</w:t>
      </w:r>
    </w:p>
    <w:p w14:paraId="2A543BE6" w14:textId="77777777" w:rsidR="008A22EE" w:rsidRPr="007620A2" w:rsidRDefault="008A22EE" w:rsidP="002D545D">
      <w:pPr>
        <w:pStyle w:val="a4"/>
        <w:numPr>
          <w:ilvl w:val="0"/>
          <w:numId w:val="24"/>
        </w:numPr>
        <w:spacing w:after="0" w:line="240" w:lineRule="auto"/>
        <w:ind w:right="-6"/>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комунальному підприємству  - Фірмі «Райдуга» – </w:t>
      </w:r>
      <w:r w:rsidR="00615FB4" w:rsidRPr="007620A2">
        <w:rPr>
          <w:rFonts w:ascii="Times New Roman" w:hAnsi="Times New Roman" w:cs="Times New Roman"/>
          <w:sz w:val="24"/>
          <w:szCs w:val="24"/>
          <w:lang w:val="uk-UA"/>
        </w:rPr>
        <w:t>3 121,0</w:t>
      </w:r>
      <w:r w:rsidRPr="007620A2">
        <w:rPr>
          <w:rFonts w:ascii="Times New Roman" w:hAnsi="Times New Roman" w:cs="Times New Roman"/>
          <w:sz w:val="24"/>
          <w:szCs w:val="24"/>
          <w:lang w:val="uk-UA"/>
        </w:rPr>
        <w:t xml:space="preserve"> тис. грн.</w:t>
      </w:r>
    </w:p>
    <w:p w14:paraId="7C8AB680" w14:textId="77777777" w:rsidR="008A22EE" w:rsidRPr="007620A2" w:rsidRDefault="008A22EE" w:rsidP="002D545D">
      <w:pPr>
        <w:spacing w:after="0" w:line="240" w:lineRule="auto"/>
        <w:ind w:right="-6"/>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 інші видатки – </w:t>
      </w:r>
      <w:r w:rsidR="00615FB4" w:rsidRPr="007620A2">
        <w:rPr>
          <w:rFonts w:ascii="Times New Roman" w:hAnsi="Times New Roman" w:cs="Times New Roman"/>
          <w:sz w:val="24"/>
          <w:szCs w:val="24"/>
          <w:lang w:val="uk-UA"/>
        </w:rPr>
        <w:t>145</w:t>
      </w:r>
      <w:r w:rsidRPr="007620A2">
        <w:rPr>
          <w:rFonts w:ascii="Times New Roman" w:hAnsi="Times New Roman" w:cs="Times New Roman"/>
          <w:sz w:val="24"/>
          <w:szCs w:val="24"/>
          <w:lang w:val="uk-UA"/>
        </w:rPr>
        <w:t>,0 тис. грн.</w:t>
      </w:r>
    </w:p>
    <w:p w14:paraId="7088456E" w14:textId="77777777" w:rsidR="008A22EE" w:rsidRPr="007620A2" w:rsidRDefault="008A22EE" w:rsidP="008A22EE">
      <w:pPr>
        <w:spacing w:after="0" w:line="240" w:lineRule="auto"/>
        <w:jc w:val="center"/>
        <w:rPr>
          <w:rFonts w:ascii="Times New Roman" w:hAnsi="Times New Roman" w:cs="Times New Roman"/>
          <w:b/>
          <w:sz w:val="24"/>
          <w:szCs w:val="24"/>
          <w:lang w:val="uk-UA"/>
        </w:rPr>
      </w:pPr>
    </w:p>
    <w:p w14:paraId="36DC93C2" w14:textId="77777777" w:rsidR="008A22EE" w:rsidRPr="007620A2" w:rsidRDefault="008A22EE" w:rsidP="008A22EE">
      <w:pPr>
        <w:spacing w:after="0" w:line="240" w:lineRule="auto"/>
        <w:jc w:val="center"/>
        <w:rPr>
          <w:rFonts w:ascii="Times New Roman" w:hAnsi="Times New Roman" w:cs="Times New Roman"/>
          <w:b/>
          <w:sz w:val="24"/>
          <w:szCs w:val="24"/>
          <w:lang w:val="uk-UA"/>
        </w:rPr>
      </w:pPr>
      <w:r w:rsidRPr="007620A2">
        <w:rPr>
          <w:rFonts w:ascii="Times New Roman" w:hAnsi="Times New Roman" w:cs="Times New Roman"/>
          <w:b/>
          <w:sz w:val="24"/>
          <w:szCs w:val="24"/>
          <w:lang w:val="uk-UA"/>
        </w:rPr>
        <w:t>ФІНАНСОВЕ УПРАВЛІННЯ ЧОРНОМОРСЬКОЇ МІСЬКОЇ РАДИ ОДЕСЬКОГО РАЙОНУ ОДЕСЬКОЇ ОБЛАСТІ</w:t>
      </w:r>
    </w:p>
    <w:p w14:paraId="471D4AA0" w14:textId="77777777" w:rsidR="008A22EE" w:rsidRPr="007620A2" w:rsidRDefault="008A22EE" w:rsidP="008A22EE">
      <w:pPr>
        <w:spacing w:after="0" w:line="240" w:lineRule="auto"/>
        <w:rPr>
          <w:rFonts w:ascii="Times New Roman" w:hAnsi="Times New Roman" w:cs="Times New Roman"/>
          <w:sz w:val="12"/>
          <w:szCs w:val="12"/>
          <w:lang w:val="uk-UA"/>
        </w:rPr>
      </w:pPr>
    </w:p>
    <w:p w14:paraId="49C4AB19" w14:textId="02EB731B" w:rsidR="008A22EE" w:rsidRPr="007620A2" w:rsidRDefault="008A22EE" w:rsidP="008A22EE">
      <w:pPr>
        <w:spacing w:after="0" w:line="240" w:lineRule="auto"/>
        <w:ind w:right="-5"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В проєкті бюджету Чорноморської </w:t>
      </w:r>
      <w:r w:rsidR="00C705D4">
        <w:rPr>
          <w:rFonts w:ascii="Times New Roman" w:hAnsi="Times New Roman" w:cs="Times New Roman"/>
          <w:sz w:val="24"/>
          <w:szCs w:val="24"/>
          <w:lang w:val="uk-UA"/>
        </w:rPr>
        <w:t xml:space="preserve">МТГ </w:t>
      </w:r>
      <w:r w:rsidRPr="007620A2">
        <w:rPr>
          <w:rFonts w:ascii="Times New Roman" w:hAnsi="Times New Roman" w:cs="Times New Roman"/>
          <w:sz w:val="24"/>
          <w:szCs w:val="24"/>
          <w:lang w:val="uk-UA"/>
        </w:rPr>
        <w:t xml:space="preserve"> на 202</w:t>
      </w:r>
      <w:r w:rsidR="00341D27" w:rsidRPr="007620A2">
        <w:rPr>
          <w:rFonts w:ascii="Times New Roman" w:hAnsi="Times New Roman" w:cs="Times New Roman"/>
          <w:sz w:val="24"/>
          <w:szCs w:val="24"/>
          <w:lang w:val="uk-UA"/>
        </w:rPr>
        <w:t>5</w:t>
      </w:r>
      <w:r w:rsidRPr="007620A2">
        <w:rPr>
          <w:rFonts w:ascii="Times New Roman" w:hAnsi="Times New Roman" w:cs="Times New Roman"/>
          <w:sz w:val="24"/>
          <w:szCs w:val="24"/>
          <w:lang w:val="uk-UA"/>
        </w:rPr>
        <w:t xml:space="preserve"> рік фінансовому управлінню Чорноморської міської ради Одеського району Одеської області</w:t>
      </w:r>
      <w:r w:rsidRPr="007620A2">
        <w:rPr>
          <w:rFonts w:ascii="Times New Roman" w:hAnsi="Times New Roman" w:cs="Times New Roman"/>
          <w:b/>
          <w:sz w:val="24"/>
          <w:szCs w:val="24"/>
          <w:lang w:val="uk-UA"/>
        </w:rPr>
        <w:t xml:space="preserve"> </w:t>
      </w:r>
      <w:r w:rsidRPr="007620A2">
        <w:rPr>
          <w:rFonts w:ascii="Times New Roman" w:hAnsi="Times New Roman" w:cs="Times New Roman"/>
          <w:sz w:val="24"/>
          <w:szCs w:val="24"/>
          <w:lang w:val="uk-UA"/>
        </w:rPr>
        <w:t>визначені бюджетні призначення у сумі</w:t>
      </w:r>
      <w:r w:rsidR="00C705D4">
        <w:rPr>
          <w:rFonts w:ascii="Times New Roman" w:hAnsi="Times New Roman" w:cs="Times New Roman"/>
          <w:sz w:val="24"/>
          <w:szCs w:val="24"/>
          <w:lang w:val="uk-UA"/>
        </w:rPr>
        <w:t xml:space="preserve">                       </w:t>
      </w:r>
      <w:r w:rsidRPr="007620A2">
        <w:rPr>
          <w:rFonts w:ascii="Times New Roman" w:hAnsi="Times New Roman" w:cs="Times New Roman"/>
          <w:sz w:val="24"/>
          <w:szCs w:val="24"/>
          <w:lang w:val="uk-UA"/>
        </w:rPr>
        <w:t xml:space="preserve"> </w:t>
      </w:r>
      <w:r w:rsidR="00341D27" w:rsidRPr="007620A2">
        <w:rPr>
          <w:rFonts w:ascii="Times New Roman" w:hAnsi="Times New Roman" w:cs="Times New Roman"/>
          <w:sz w:val="24"/>
          <w:szCs w:val="24"/>
          <w:lang w:val="uk-UA"/>
        </w:rPr>
        <w:t>8</w:t>
      </w:r>
      <w:r w:rsidR="00E47C09" w:rsidRPr="007620A2">
        <w:rPr>
          <w:rFonts w:ascii="Times New Roman" w:hAnsi="Times New Roman" w:cs="Times New Roman"/>
          <w:sz w:val="24"/>
          <w:szCs w:val="24"/>
          <w:lang w:val="uk-UA"/>
        </w:rPr>
        <w:t>6</w:t>
      </w:r>
      <w:r w:rsidR="00341D27" w:rsidRPr="007620A2">
        <w:rPr>
          <w:rFonts w:ascii="Times New Roman" w:hAnsi="Times New Roman" w:cs="Times New Roman"/>
          <w:sz w:val="24"/>
          <w:szCs w:val="24"/>
          <w:lang w:val="uk-UA"/>
        </w:rPr>
        <w:t> 515,1</w:t>
      </w:r>
      <w:r w:rsidRPr="007620A2">
        <w:rPr>
          <w:rFonts w:ascii="Times New Roman" w:hAnsi="Times New Roman" w:cs="Times New Roman"/>
          <w:sz w:val="24"/>
          <w:szCs w:val="24"/>
          <w:lang w:val="uk-UA"/>
        </w:rPr>
        <w:t xml:space="preserve"> тис. грн.</w:t>
      </w:r>
    </w:p>
    <w:p w14:paraId="18E4C928" w14:textId="77777777" w:rsidR="008A22EE" w:rsidRPr="007620A2" w:rsidRDefault="008A22EE" w:rsidP="008A22EE">
      <w:pPr>
        <w:spacing w:after="0" w:line="240" w:lineRule="auto"/>
        <w:ind w:right="-5"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Визначені видатки розподілені наступним чином:</w:t>
      </w:r>
    </w:p>
    <w:p w14:paraId="1C05CCAA" w14:textId="77777777" w:rsidR="008A22EE" w:rsidRPr="007620A2" w:rsidRDefault="008A22EE" w:rsidP="008A22EE">
      <w:pPr>
        <w:spacing w:after="0" w:line="240" w:lineRule="auto"/>
        <w:ind w:right="-5" w:firstLine="567"/>
        <w:jc w:val="both"/>
        <w:rPr>
          <w:rFonts w:ascii="Times New Roman" w:hAnsi="Times New Roman" w:cs="Times New Roman"/>
          <w:sz w:val="24"/>
          <w:szCs w:val="24"/>
          <w:u w:val="single"/>
          <w:lang w:val="uk-UA"/>
        </w:rPr>
      </w:pPr>
      <w:r w:rsidRPr="007620A2">
        <w:rPr>
          <w:rFonts w:ascii="Times New Roman" w:hAnsi="Times New Roman" w:cs="Times New Roman"/>
          <w:sz w:val="24"/>
          <w:szCs w:val="24"/>
          <w:lang w:val="uk-UA"/>
        </w:rPr>
        <w:t xml:space="preserve">- на утримання фінансового управління Чорноморської міської ради Одеського району Одеської області – </w:t>
      </w:r>
      <w:r w:rsidR="00E47C09" w:rsidRPr="007620A2">
        <w:rPr>
          <w:rFonts w:ascii="Times New Roman" w:hAnsi="Times New Roman" w:cs="Times New Roman"/>
          <w:sz w:val="24"/>
          <w:szCs w:val="24"/>
          <w:lang w:val="uk-UA"/>
        </w:rPr>
        <w:t>8 128,4</w:t>
      </w:r>
      <w:r w:rsidRPr="007620A2">
        <w:rPr>
          <w:rFonts w:ascii="Times New Roman" w:hAnsi="Times New Roman" w:cs="Times New Roman"/>
          <w:sz w:val="24"/>
          <w:szCs w:val="24"/>
          <w:lang w:val="uk-UA"/>
        </w:rPr>
        <w:t xml:space="preserve"> тис. грн;</w:t>
      </w:r>
    </w:p>
    <w:p w14:paraId="25895406" w14:textId="77777777" w:rsidR="008A22EE" w:rsidRPr="007620A2" w:rsidRDefault="008A22EE" w:rsidP="008A22EE">
      <w:pPr>
        <w:spacing w:after="0" w:line="240" w:lineRule="auto"/>
        <w:ind w:right="-5"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резервний фонд – </w:t>
      </w:r>
      <w:r w:rsidR="00341D27" w:rsidRPr="007620A2">
        <w:rPr>
          <w:rFonts w:ascii="Times New Roman" w:hAnsi="Times New Roman" w:cs="Times New Roman"/>
          <w:sz w:val="24"/>
          <w:szCs w:val="24"/>
          <w:lang w:val="uk-UA"/>
        </w:rPr>
        <w:t>10</w:t>
      </w:r>
      <w:r w:rsidRPr="007620A2">
        <w:rPr>
          <w:rFonts w:ascii="Times New Roman" w:hAnsi="Times New Roman" w:cs="Times New Roman"/>
          <w:sz w:val="24"/>
          <w:szCs w:val="24"/>
          <w:lang w:val="uk-UA"/>
        </w:rPr>
        <w:t> 000,0 тис. грн;</w:t>
      </w:r>
    </w:p>
    <w:p w14:paraId="206941D9" w14:textId="77777777" w:rsidR="008A22EE" w:rsidRPr="007620A2" w:rsidRDefault="008A22EE" w:rsidP="008A22EE">
      <w:pPr>
        <w:spacing w:after="0" w:line="240" w:lineRule="auto"/>
        <w:ind w:right="-5"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w:t>
      </w:r>
      <w:r w:rsidR="00341D27" w:rsidRPr="007620A2">
        <w:rPr>
          <w:rFonts w:ascii="Times New Roman" w:hAnsi="Times New Roman" w:cs="Times New Roman"/>
          <w:sz w:val="24"/>
          <w:szCs w:val="24"/>
          <w:lang w:val="uk-UA"/>
        </w:rPr>
        <w:t>реверсна дотація</w:t>
      </w:r>
      <w:r w:rsidRPr="007620A2">
        <w:rPr>
          <w:rFonts w:ascii="Times New Roman" w:hAnsi="Times New Roman" w:cs="Times New Roman"/>
          <w:sz w:val="24"/>
          <w:szCs w:val="24"/>
          <w:lang w:val="uk-UA"/>
        </w:rPr>
        <w:t xml:space="preserve"> – </w:t>
      </w:r>
      <w:r w:rsidR="00341D27" w:rsidRPr="007620A2">
        <w:rPr>
          <w:rFonts w:ascii="Times New Roman" w:hAnsi="Times New Roman" w:cs="Times New Roman"/>
          <w:sz w:val="24"/>
          <w:szCs w:val="24"/>
          <w:lang w:val="uk-UA"/>
        </w:rPr>
        <w:t>63 874,8</w:t>
      </w:r>
      <w:r w:rsidRPr="007620A2">
        <w:rPr>
          <w:rFonts w:ascii="Times New Roman" w:hAnsi="Times New Roman" w:cs="Times New Roman"/>
          <w:sz w:val="24"/>
          <w:szCs w:val="24"/>
          <w:lang w:val="uk-UA"/>
        </w:rPr>
        <w:t xml:space="preserve"> тис. грн;</w:t>
      </w:r>
    </w:p>
    <w:p w14:paraId="010FE93E" w14:textId="5987A1F7" w:rsidR="008A22EE" w:rsidRPr="007620A2" w:rsidRDefault="008A22EE" w:rsidP="008A22EE">
      <w:pPr>
        <w:spacing w:after="0" w:line="240" w:lineRule="auto"/>
        <w:ind w:right="-5"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інші субвенції </w:t>
      </w:r>
      <w:r w:rsidR="00C705D4">
        <w:rPr>
          <w:rFonts w:ascii="Times New Roman" w:hAnsi="Times New Roman" w:cs="Times New Roman"/>
          <w:sz w:val="24"/>
          <w:szCs w:val="24"/>
          <w:lang w:val="uk-UA"/>
        </w:rPr>
        <w:t>з</w:t>
      </w:r>
      <w:r w:rsidRPr="007620A2">
        <w:rPr>
          <w:rFonts w:ascii="Times New Roman" w:hAnsi="Times New Roman" w:cs="Times New Roman"/>
          <w:sz w:val="24"/>
          <w:szCs w:val="24"/>
          <w:lang w:val="uk-UA"/>
        </w:rPr>
        <w:t xml:space="preserve"> місцевого бюджету – </w:t>
      </w:r>
      <w:r w:rsidR="003D643F" w:rsidRPr="007620A2">
        <w:rPr>
          <w:rFonts w:ascii="Times New Roman" w:hAnsi="Times New Roman" w:cs="Times New Roman"/>
          <w:sz w:val="24"/>
          <w:szCs w:val="24"/>
          <w:lang w:val="uk-UA"/>
        </w:rPr>
        <w:t>4</w:t>
      </w:r>
      <w:r w:rsidR="00341D27" w:rsidRPr="007620A2">
        <w:rPr>
          <w:rFonts w:ascii="Times New Roman" w:hAnsi="Times New Roman" w:cs="Times New Roman"/>
          <w:sz w:val="24"/>
          <w:szCs w:val="24"/>
          <w:lang w:val="uk-UA"/>
        </w:rPr>
        <w:t> 511,9</w:t>
      </w:r>
      <w:r w:rsidRPr="007620A2">
        <w:rPr>
          <w:rFonts w:ascii="Times New Roman" w:hAnsi="Times New Roman" w:cs="Times New Roman"/>
          <w:sz w:val="24"/>
          <w:szCs w:val="24"/>
          <w:lang w:val="uk-UA"/>
        </w:rPr>
        <w:t xml:space="preserve"> тис. грн, у т</w:t>
      </w:r>
      <w:r w:rsidR="004D2204">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ч</w:t>
      </w:r>
      <w:r w:rsidR="004D2204">
        <w:rPr>
          <w:rFonts w:ascii="Times New Roman" w:hAnsi="Times New Roman" w:cs="Times New Roman"/>
          <w:sz w:val="24"/>
          <w:szCs w:val="24"/>
          <w:lang w:val="uk-UA"/>
        </w:rPr>
        <w:t>.</w:t>
      </w:r>
      <w:r w:rsidRPr="007620A2">
        <w:rPr>
          <w:rFonts w:ascii="Times New Roman" w:hAnsi="Times New Roman" w:cs="Times New Roman"/>
          <w:sz w:val="24"/>
          <w:szCs w:val="24"/>
          <w:lang w:val="uk-UA"/>
        </w:rPr>
        <w:t xml:space="preserve"> :</w:t>
      </w:r>
    </w:p>
    <w:p w14:paraId="5A73A6F8" w14:textId="77777777" w:rsidR="008A22EE" w:rsidRPr="007620A2" w:rsidRDefault="008A22EE" w:rsidP="008A22EE">
      <w:pPr>
        <w:spacing w:after="0" w:line="240" w:lineRule="auto"/>
        <w:ind w:right="-5" w:firstLine="567"/>
        <w:jc w:val="both"/>
        <w:rPr>
          <w:rFonts w:ascii="Times New Roman" w:hAnsi="Times New Roman" w:cs="Times New Roman"/>
          <w:sz w:val="24"/>
          <w:szCs w:val="24"/>
          <w:lang w:val="uk-UA"/>
        </w:rPr>
      </w:pPr>
      <w:r w:rsidRPr="007620A2">
        <w:rPr>
          <w:rFonts w:ascii="Times New Roman" w:hAnsi="Times New Roman" w:cs="Times New Roman"/>
          <w:sz w:val="24"/>
          <w:szCs w:val="24"/>
          <w:lang w:val="uk-UA"/>
        </w:rPr>
        <w:t xml:space="preserve">- субвенція обласному бюджету Одеської області – </w:t>
      </w:r>
      <w:r w:rsidR="00341D27" w:rsidRPr="007620A2">
        <w:rPr>
          <w:rFonts w:ascii="Times New Roman" w:hAnsi="Times New Roman" w:cs="Times New Roman"/>
          <w:sz w:val="24"/>
          <w:szCs w:val="24"/>
          <w:lang w:val="uk-UA"/>
        </w:rPr>
        <w:t>4 511,9</w:t>
      </w:r>
      <w:r w:rsidRPr="007620A2">
        <w:rPr>
          <w:rFonts w:ascii="Times New Roman" w:hAnsi="Times New Roman" w:cs="Times New Roman"/>
          <w:sz w:val="24"/>
          <w:szCs w:val="24"/>
          <w:lang w:val="uk-UA"/>
        </w:rPr>
        <w:t xml:space="preserve"> тис. грн, із них:</w:t>
      </w:r>
    </w:p>
    <w:p w14:paraId="21D961D2" w14:textId="77777777" w:rsidR="008A22EE" w:rsidRPr="007620A2" w:rsidRDefault="008A22EE" w:rsidP="00E67FF2">
      <w:pPr>
        <w:pStyle w:val="a4"/>
        <w:numPr>
          <w:ilvl w:val="0"/>
          <w:numId w:val="26"/>
        </w:numPr>
        <w:tabs>
          <w:tab w:val="left" w:pos="709"/>
          <w:tab w:val="left" w:pos="851"/>
        </w:tabs>
        <w:spacing w:after="0" w:line="240" w:lineRule="auto"/>
        <w:ind w:left="0" w:right="-5" w:firstLine="567"/>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на заходи Міської цільової програми підтримки здобуття професійної (професійно-технічної), фахової пере</w:t>
      </w:r>
      <w:r w:rsidR="000B04B1" w:rsidRPr="007620A2">
        <w:rPr>
          <w:rFonts w:ascii="Times New Roman" w:hAnsi="Times New Roman" w:cs="Times New Roman"/>
          <w:i/>
          <w:sz w:val="24"/>
          <w:szCs w:val="24"/>
          <w:lang w:val="uk-UA"/>
        </w:rPr>
        <w:t>д</w:t>
      </w:r>
      <w:r w:rsidRPr="007620A2">
        <w:rPr>
          <w:rFonts w:ascii="Times New Roman" w:hAnsi="Times New Roman" w:cs="Times New Roman"/>
          <w:i/>
          <w:sz w:val="24"/>
          <w:szCs w:val="24"/>
          <w:lang w:val="uk-UA"/>
        </w:rPr>
        <w:t xml:space="preserve">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2024 рік (Чорноморський морський фаховий коледж ОНМУ) – </w:t>
      </w:r>
      <w:r w:rsidR="00341D27" w:rsidRPr="007620A2">
        <w:rPr>
          <w:rFonts w:ascii="Times New Roman" w:hAnsi="Times New Roman" w:cs="Times New Roman"/>
          <w:i/>
          <w:sz w:val="24"/>
          <w:szCs w:val="24"/>
          <w:lang w:val="uk-UA"/>
        </w:rPr>
        <w:t>1 760,7</w:t>
      </w:r>
      <w:r w:rsidRPr="007620A2">
        <w:rPr>
          <w:rFonts w:ascii="Times New Roman" w:hAnsi="Times New Roman" w:cs="Times New Roman"/>
          <w:i/>
          <w:sz w:val="24"/>
          <w:szCs w:val="24"/>
          <w:lang w:val="uk-UA"/>
        </w:rPr>
        <w:t xml:space="preserve"> тис. грн;</w:t>
      </w:r>
    </w:p>
    <w:p w14:paraId="2B8A7F8B" w14:textId="162A340D" w:rsidR="008A22EE" w:rsidRDefault="008A22EE" w:rsidP="00E67FF2">
      <w:pPr>
        <w:pStyle w:val="a4"/>
        <w:numPr>
          <w:ilvl w:val="0"/>
          <w:numId w:val="26"/>
        </w:numPr>
        <w:tabs>
          <w:tab w:val="left" w:pos="709"/>
          <w:tab w:val="left" w:pos="851"/>
        </w:tabs>
        <w:spacing w:after="0" w:line="240" w:lineRule="auto"/>
        <w:ind w:left="0" w:right="-5" w:firstLine="567"/>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на фінансування Одеської обласної психіатричної лікарні на утримання 10 хворих мешканців громади за Міською цільовою програмою соціального захисту та надання соціальних послуг населенню Чорноморської міської тери</w:t>
      </w:r>
      <w:r w:rsidR="000B04B1" w:rsidRPr="007620A2">
        <w:rPr>
          <w:rFonts w:ascii="Times New Roman" w:hAnsi="Times New Roman" w:cs="Times New Roman"/>
          <w:i/>
          <w:sz w:val="24"/>
          <w:szCs w:val="24"/>
          <w:lang w:val="uk-UA"/>
        </w:rPr>
        <w:t>торіальної громади на 2021- 2025 </w:t>
      </w:r>
      <w:r w:rsidRPr="007620A2">
        <w:rPr>
          <w:rFonts w:ascii="Times New Roman" w:hAnsi="Times New Roman" w:cs="Times New Roman"/>
          <w:i/>
          <w:sz w:val="24"/>
          <w:szCs w:val="24"/>
          <w:lang w:val="uk-UA"/>
        </w:rPr>
        <w:t xml:space="preserve">роки – </w:t>
      </w:r>
      <w:r w:rsidR="003F1E7C" w:rsidRPr="007620A2">
        <w:rPr>
          <w:rFonts w:ascii="Times New Roman" w:hAnsi="Times New Roman" w:cs="Times New Roman"/>
          <w:i/>
          <w:sz w:val="24"/>
          <w:szCs w:val="24"/>
          <w:lang w:val="uk-UA"/>
        </w:rPr>
        <w:t>2 2</w:t>
      </w:r>
      <w:r w:rsidR="00F0025A">
        <w:rPr>
          <w:rFonts w:ascii="Times New Roman" w:hAnsi="Times New Roman" w:cs="Times New Roman"/>
          <w:i/>
          <w:sz w:val="24"/>
          <w:szCs w:val="24"/>
          <w:lang w:val="uk-UA"/>
        </w:rPr>
        <w:t>37</w:t>
      </w:r>
      <w:r w:rsidR="003F1E7C" w:rsidRPr="007620A2">
        <w:rPr>
          <w:rFonts w:ascii="Times New Roman" w:hAnsi="Times New Roman" w:cs="Times New Roman"/>
          <w:i/>
          <w:sz w:val="24"/>
          <w:szCs w:val="24"/>
          <w:lang w:val="uk-UA"/>
        </w:rPr>
        <w:t>,</w:t>
      </w:r>
      <w:r w:rsidRPr="007620A2">
        <w:rPr>
          <w:rFonts w:ascii="Times New Roman" w:hAnsi="Times New Roman" w:cs="Times New Roman"/>
          <w:i/>
          <w:sz w:val="24"/>
          <w:szCs w:val="24"/>
          <w:lang w:val="uk-UA"/>
        </w:rPr>
        <w:t>0 тис. грн;</w:t>
      </w:r>
    </w:p>
    <w:p w14:paraId="13E15D89" w14:textId="6C1BA133" w:rsidR="00F0025A" w:rsidRPr="007620A2" w:rsidRDefault="00F0025A" w:rsidP="00F0025A">
      <w:pPr>
        <w:pStyle w:val="a4"/>
        <w:numPr>
          <w:ilvl w:val="0"/>
          <w:numId w:val="26"/>
        </w:numPr>
        <w:tabs>
          <w:tab w:val="left" w:pos="709"/>
          <w:tab w:val="left" w:pos="851"/>
        </w:tabs>
        <w:spacing w:after="0" w:line="240" w:lineRule="auto"/>
        <w:ind w:left="0" w:right="-5" w:firstLine="501"/>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на </w:t>
      </w:r>
      <w:r w:rsidRPr="00F0025A">
        <w:rPr>
          <w:rFonts w:ascii="Times New Roman" w:hAnsi="Times New Roman" w:cs="Times New Roman"/>
          <w:i/>
          <w:sz w:val="24"/>
          <w:szCs w:val="24"/>
          <w:lang w:val="uk-UA"/>
        </w:rPr>
        <w:t>фінансування бланків "Посвідчення батьків багатодітної сім'ї" та "Посвідчення дитини з багатодітної сім'ї"</w:t>
      </w:r>
      <w:r>
        <w:rPr>
          <w:rFonts w:ascii="Times New Roman" w:hAnsi="Times New Roman" w:cs="Times New Roman"/>
          <w:i/>
          <w:sz w:val="24"/>
          <w:szCs w:val="24"/>
          <w:lang w:val="uk-UA"/>
        </w:rPr>
        <w:t xml:space="preserve"> -14,2 тис. грн;</w:t>
      </w:r>
    </w:p>
    <w:p w14:paraId="7B4BD18E" w14:textId="77777777" w:rsidR="00341D27" w:rsidRPr="00463074" w:rsidRDefault="00341D27" w:rsidP="00E67FF2">
      <w:pPr>
        <w:pStyle w:val="a4"/>
        <w:numPr>
          <w:ilvl w:val="0"/>
          <w:numId w:val="26"/>
        </w:numPr>
        <w:tabs>
          <w:tab w:val="left" w:pos="709"/>
          <w:tab w:val="left" w:pos="851"/>
        </w:tabs>
        <w:spacing w:after="0" w:line="240" w:lineRule="auto"/>
        <w:ind w:left="0" w:right="-5" w:firstLine="567"/>
        <w:jc w:val="both"/>
        <w:rPr>
          <w:rFonts w:ascii="Times New Roman" w:hAnsi="Times New Roman" w:cs="Times New Roman"/>
          <w:i/>
          <w:sz w:val="24"/>
          <w:szCs w:val="24"/>
          <w:lang w:val="uk-UA"/>
        </w:rPr>
      </w:pPr>
      <w:r w:rsidRPr="007620A2">
        <w:rPr>
          <w:rFonts w:ascii="Times New Roman" w:hAnsi="Times New Roman" w:cs="Times New Roman"/>
          <w:i/>
          <w:sz w:val="24"/>
          <w:szCs w:val="24"/>
          <w:lang w:val="uk-UA"/>
        </w:rPr>
        <w:t xml:space="preserve">районному бюджету Одеської області на заходи </w:t>
      </w:r>
      <w:r w:rsidRPr="007620A2">
        <w:rPr>
          <w:rFonts w:ascii="Times New Roman" w:eastAsia="Times New Roman" w:hAnsi="Times New Roman" w:cs="Times New Roman"/>
          <w:i/>
          <w:color w:val="000000"/>
          <w:sz w:val="24"/>
          <w:szCs w:val="24"/>
          <w:lang w:val="uk-UA" w:eastAsia="ru-RU"/>
        </w:rPr>
        <w:t xml:space="preserve">Міської цільової програми фінансової підтримки Одеської районної ради Одеської області на 2024 рік – </w:t>
      </w:r>
      <w:r w:rsidR="00ED2F4E" w:rsidRPr="007620A2">
        <w:rPr>
          <w:rFonts w:ascii="Times New Roman" w:eastAsia="Times New Roman" w:hAnsi="Times New Roman" w:cs="Times New Roman"/>
          <w:i/>
          <w:color w:val="000000"/>
          <w:sz w:val="24"/>
          <w:szCs w:val="24"/>
          <w:lang w:val="uk-UA" w:eastAsia="ru-RU"/>
        </w:rPr>
        <w:t>5</w:t>
      </w:r>
      <w:r w:rsidRPr="007620A2">
        <w:rPr>
          <w:rFonts w:ascii="Times New Roman" w:eastAsia="Times New Roman" w:hAnsi="Times New Roman" w:cs="Times New Roman"/>
          <w:i/>
          <w:color w:val="000000"/>
          <w:sz w:val="24"/>
          <w:szCs w:val="24"/>
          <w:lang w:val="uk-UA" w:eastAsia="ru-RU"/>
        </w:rPr>
        <w:t>00,0 тис. грн</w:t>
      </w:r>
      <w:r w:rsidR="003F1E7C" w:rsidRPr="007620A2">
        <w:rPr>
          <w:rFonts w:ascii="Times New Roman" w:eastAsia="Times New Roman" w:hAnsi="Times New Roman" w:cs="Times New Roman"/>
          <w:i/>
          <w:color w:val="000000"/>
          <w:sz w:val="24"/>
          <w:szCs w:val="24"/>
          <w:lang w:val="uk-UA" w:eastAsia="ru-RU"/>
        </w:rPr>
        <w:t>.</w:t>
      </w:r>
    </w:p>
    <w:p w14:paraId="45E5A525" w14:textId="77777777" w:rsidR="008A22EE" w:rsidRPr="007620A2" w:rsidRDefault="008A22EE" w:rsidP="008A22EE">
      <w:pPr>
        <w:pStyle w:val="aa"/>
        <w:spacing w:line="276" w:lineRule="auto"/>
        <w:ind w:right="-57" w:firstLine="567"/>
        <w:jc w:val="center"/>
        <w:rPr>
          <w:b/>
          <w:bCs/>
          <w:sz w:val="28"/>
          <w:szCs w:val="28"/>
          <w:lang w:val="uk-UA"/>
        </w:rPr>
      </w:pPr>
      <w:bookmarkStart w:id="4" w:name="_GoBack"/>
      <w:bookmarkEnd w:id="4"/>
      <w:r w:rsidRPr="007620A2">
        <w:rPr>
          <w:b/>
          <w:bCs/>
          <w:sz w:val="28"/>
          <w:szCs w:val="28"/>
          <w:lang w:val="uk-UA"/>
        </w:rPr>
        <w:t>9. Фінансування</w:t>
      </w:r>
    </w:p>
    <w:p w14:paraId="15FD52C3" w14:textId="77777777" w:rsidR="008A22EE" w:rsidRPr="007620A2" w:rsidRDefault="008A22EE" w:rsidP="008A22EE">
      <w:pPr>
        <w:pStyle w:val="western"/>
        <w:spacing w:before="0" w:beforeAutospacing="0" w:after="0"/>
        <w:ind w:firstLine="567"/>
        <w:jc w:val="both"/>
        <w:rPr>
          <w:bCs/>
          <w:lang w:val="uk-UA"/>
        </w:rPr>
      </w:pPr>
      <w:r w:rsidRPr="007620A2">
        <w:rPr>
          <w:bCs/>
          <w:lang w:val="uk-UA"/>
        </w:rPr>
        <w:t>Відповідно до частини третьої статті 14 Бюджетного кодексу України, в проєкті рішення «Про бюджет Чорноморської міської територіальної громади на 202</w:t>
      </w:r>
      <w:r w:rsidR="000B04B1" w:rsidRPr="007620A2">
        <w:rPr>
          <w:bCs/>
          <w:lang w:val="uk-UA"/>
        </w:rPr>
        <w:t>5</w:t>
      </w:r>
      <w:r w:rsidRPr="007620A2">
        <w:rPr>
          <w:bCs/>
          <w:lang w:val="uk-UA"/>
        </w:rPr>
        <w:t xml:space="preserve"> рік» передбачений оборотний залишок бюджетних коштів</w:t>
      </w:r>
      <w:r w:rsidRPr="007620A2">
        <w:rPr>
          <w:lang w:val="uk-UA"/>
        </w:rPr>
        <w:t> бюджету Чорноморської міської територіальної громади у сумі 1 0</w:t>
      </w:r>
      <w:r w:rsidR="000B04B1" w:rsidRPr="007620A2">
        <w:rPr>
          <w:lang w:val="uk-UA"/>
        </w:rPr>
        <w:t>00,0 тис. грн, що становить 0,09</w:t>
      </w:r>
      <w:r w:rsidRPr="007620A2">
        <w:rPr>
          <w:lang w:val="uk-UA"/>
        </w:rPr>
        <w:t xml:space="preserve"> відсотків видатків загального фонду бюджету громади.</w:t>
      </w:r>
    </w:p>
    <w:p w14:paraId="11DD717B" w14:textId="77777777" w:rsidR="008A22EE" w:rsidRPr="007620A2" w:rsidRDefault="008A22EE" w:rsidP="008A22EE">
      <w:pPr>
        <w:pStyle w:val="western"/>
        <w:spacing w:before="0" w:beforeAutospacing="0" w:after="0"/>
        <w:ind w:firstLine="567"/>
        <w:jc w:val="center"/>
        <w:rPr>
          <w:b/>
          <w:sz w:val="28"/>
          <w:szCs w:val="28"/>
          <w:lang w:val="uk-UA"/>
        </w:rPr>
      </w:pPr>
    </w:p>
    <w:p w14:paraId="77572D22" w14:textId="77777777" w:rsidR="008A22EE" w:rsidRPr="007620A2" w:rsidRDefault="008A22EE" w:rsidP="008A22EE">
      <w:pPr>
        <w:pStyle w:val="western"/>
        <w:spacing w:before="0" w:beforeAutospacing="0" w:after="0"/>
        <w:ind w:firstLine="567"/>
        <w:jc w:val="center"/>
        <w:rPr>
          <w:b/>
          <w:sz w:val="28"/>
          <w:szCs w:val="28"/>
          <w:lang w:val="uk-UA"/>
        </w:rPr>
      </w:pPr>
      <w:r w:rsidRPr="007620A2">
        <w:rPr>
          <w:b/>
          <w:sz w:val="28"/>
          <w:szCs w:val="28"/>
          <w:lang w:val="uk-UA"/>
        </w:rPr>
        <w:t>10. Середньострокові позики</w:t>
      </w:r>
    </w:p>
    <w:p w14:paraId="666B6D0E" w14:textId="77777777" w:rsidR="008A22EE" w:rsidRPr="007620A2" w:rsidRDefault="008A22EE" w:rsidP="008A22EE">
      <w:pPr>
        <w:pStyle w:val="western"/>
        <w:spacing w:before="0" w:beforeAutospacing="0" w:after="0"/>
        <w:ind w:firstLine="567"/>
        <w:jc w:val="both"/>
        <w:rPr>
          <w:lang w:val="uk-UA"/>
        </w:rPr>
      </w:pPr>
    </w:p>
    <w:p w14:paraId="4243AE18" w14:textId="3D9254A2" w:rsidR="008A22EE" w:rsidRPr="007620A2" w:rsidRDefault="0022769C" w:rsidP="008A22EE">
      <w:pPr>
        <w:pStyle w:val="western"/>
        <w:spacing w:before="0" w:beforeAutospacing="0" w:after="0"/>
        <w:ind w:firstLine="567"/>
        <w:jc w:val="both"/>
        <w:rPr>
          <w:color w:val="auto"/>
          <w:lang w:val="uk-UA"/>
        </w:rPr>
      </w:pPr>
      <w:r>
        <w:rPr>
          <w:lang w:val="uk-UA"/>
        </w:rPr>
        <w:t>У</w:t>
      </w:r>
      <w:r w:rsidR="008A22EE" w:rsidRPr="007620A2">
        <w:rPr>
          <w:lang w:val="uk-UA"/>
        </w:rPr>
        <w:t xml:space="preserve"> зв`язку з невиконанням у 2011 - 2013 роках </w:t>
      </w:r>
      <w:r w:rsidR="008A22EE" w:rsidRPr="007620A2">
        <w:rPr>
          <w:color w:val="auto"/>
          <w:lang w:val="uk-UA"/>
        </w:rPr>
        <w:t>розрахункових обсягів кошика доходів місцевих бюджетів, визначених у законі про Державний бюджет України на відповідні роки, Чорноморською міською радою були отримані середньострокові позики для здійснення фінансування захищених видатків в сумі 33 027,8 тис. грн.</w:t>
      </w:r>
    </w:p>
    <w:p w14:paraId="397A99CC" w14:textId="73D7D1A0" w:rsidR="008A22EE" w:rsidRPr="007620A2" w:rsidRDefault="0022769C" w:rsidP="008A22EE">
      <w:pPr>
        <w:pStyle w:val="western"/>
        <w:spacing w:before="0" w:beforeAutospacing="0" w:after="0"/>
        <w:ind w:firstLine="567"/>
        <w:jc w:val="both"/>
        <w:rPr>
          <w:lang w:val="uk-UA"/>
        </w:rPr>
      </w:pPr>
      <w:r>
        <w:rPr>
          <w:color w:val="auto"/>
          <w:lang w:val="uk-UA"/>
        </w:rPr>
        <w:t>У</w:t>
      </w:r>
      <w:r w:rsidR="008A22EE" w:rsidRPr="007620A2">
        <w:rPr>
          <w:color w:val="auto"/>
          <w:lang w:val="uk-UA"/>
        </w:rPr>
        <w:t xml:space="preserve"> 2014 році частково погашено позику в сумі 7 565,1 тис. грн, залишок непогашеної позики на 01.01.2024 року станови</w:t>
      </w:r>
      <w:r w:rsidR="00C705D4">
        <w:rPr>
          <w:color w:val="auto"/>
          <w:lang w:val="uk-UA"/>
        </w:rPr>
        <w:t>в</w:t>
      </w:r>
      <w:r w:rsidR="008A22EE" w:rsidRPr="007620A2">
        <w:rPr>
          <w:color w:val="auto"/>
          <w:lang w:val="uk-UA"/>
        </w:rPr>
        <w:t xml:space="preserve"> </w:t>
      </w:r>
      <w:r w:rsidR="008A22EE" w:rsidRPr="007620A2">
        <w:rPr>
          <w:lang w:val="uk-UA"/>
        </w:rPr>
        <w:t>25 462,7 тис. грн.</w:t>
      </w:r>
    </w:p>
    <w:p w14:paraId="2F6B0119" w14:textId="77777777" w:rsidR="008A22EE" w:rsidRPr="007620A2" w:rsidRDefault="00034510" w:rsidP="008A22EE">
      <w:pPr>
        <w:pStyle w:val="western"/>
        <w:spacing w:before="0" w:beforeAutospacing="0" w:after="0"/>
        <w:ind w:firstLine="567"/>
        <w:jc w:val="both"/>
        <w:rPr>
          <w:lang w:val="uk-UA"/>
        </w:rPr>
      </w:pPr>
      <w:r w:rsidRPr="007620A2">
        <w:rPr>
          <w:color w:val="auto"/>
          <w:lang w:val="uk-UA"/>
        </w:rPr>
        <w:t xml:space="preserve"> Протягом 2015 - 2024</w:t>
      </w:r>
      <w:r w:rsidR="008A22EE" w:rsidRPr="007620A2">
        <w:rPr>
          <w:color w:val="auto"/>
          <w:lang w:val="uk-UA"/>
        </w:rPr>
        <w:t xml:space="preserve"> років погашення позики не здійснювалось, оскільки </w:t>
      </w:r>
      <w:r w:rsidR="008A22EE" w:rsidRPr="007620A2">
        <w:rPr>
          <w:lang w:val="uk-UA"/>
        </w:rPr>
        <w:t>п.21 Прикінцевих та перехідних положень Бюджетного кодексу України установлено, що погашення заборгованості за середньостроковими позиками перед державним бюджетом, яка знаходиться на обліку в центральному органі виконавчої влади, що реалізує державну політику у сфері казначейського обслуговування бюджетних коштів, не здійснюється до законодавчого врегулювання цього питання.</w:t>
      </w:r>
    </w:p>
    <w:p w14:paraId="3715FBB1" w14:textId="77777777" w:rsidR="008A22EE" w:rsidRPr="007620A2" w:rsidRDefault="008A22EE" w:rsidP="008A22EE">
      <w:pPr>
        <w:pStyle w:val="a6"/>
        <w:ind w:firstLine="567"/>
        <w:jc w:val="right"/>
        <w:rPr>
          <w:rFonts w:ascii="Times New Roman" w:hAnsi="Times New Roman"/>
          <w:b/>
        </w:rPr>
      </w:pPr>
    </w:p>
    <w:p w14:paraId="61658672" w14:textId="77777777" w:rsidR="008A22EE" w:rsidRPr="007620A2" w:rsidRDefault="008A22EE" w:rsidP="008A22EE">
      <w:pPr>
        <w:pStyle w:val="a6"/>
        <w:ind w:firstLine="567"/>
        <w:jc w:val="right"/>
        <w:rPr>
          <w:rFonts w:ascii="Times New Roman" w:hAnsi="Times New Roman"/>
          <w:b/>
        </w:rPr>
      </w:pPr>
    </w:p>
    <w:p w14:paraId="0EE3B8C1" w14:textId="77777777" w:rsidR="008A22EE" w:rsidRPr="007620A2" w:rsidRDefault="008A22EE" w:rsidP="008A22EE">
      <w:pPr>
        <w:pStyle w:val="a6"/>
        <w:ind w:firstLine="567"/>
        <w:jc w:val="left"/>
        <w:rPr>
          <w:rFonts w:ascii="Times New Roman" w:hAnsi="Times New Roman"/>
          <w:b/>
        </w:rPr>
      </w:pPr>
      <w:r w:rsidRPr="007620A2">
        <w:rPr>
          <w:rFonts w:ascii="Times New Roman" w:hAnsi="Times New Roman"/>
          <w:b/>
        </w:rPr>
        <w:t xml:space="preserve">                                                      Фінансове управління Чорноморської міської ради</w:t>
      </w:r>
    </w:p>
    <w:p w14:paraId="513388D2" w14:textId="77777777" w:rsidR="008A22EE" w:rsidRPr="007620A2" w:rsidRDefault="008A22EE" w:rsidP="008A22EE">
      <w:pPr>
        <w:pStyle w:val="a6"/>
        <w:ind w:firstLine="567"/>
        <w:jc w:val="left"/>
        <w:rPr>
          <w:rFonts w:ascii="Times New Roman" w:hAnsi="Times New Roman"/>
          <w:b/>
        </w:rPr>
      </w:pPr>
      <w:r w:rsidRPr="007620A2">
        <w:rPr>
          <w:rFonts w:ascii="Times New Roman" w:hAnsi="Times New Roman"/>
          <w:b/>
        </w:rPr>
        <w:t xml:space="preserve">                                                      Одеського району Одеської області</w:t>
      </w:r>
    </w:p>
    <w:p w14:paraId="4114CFC8" w14:textId="77777777" w:rsidR="00A33360" w:rsidRPr="007620A2" w:rsidRDefault="00A33360" w:rsidP="000F002D">
      <w:pPr>
        <w:spacing w:after="0" w:line="240" w:lineRule="auto"/>
        <w:ind w:firstLine="567"/>
        <w:jc w:val="both"/>
        <w:rPr>
          <w:rFonts w:ascii="Times New Roman" w:hAnsi="Times New Roman" w:cs="Times New Roman"/>
          <w:sz w:val="24"/>
          <w:szCs w:val="24"/>
          <w:lang w:val="uk-UA"/>
        </w:rPr>
      </w:pPr>
    </w:p>
    <w:p w14:paraId="56741049" w14:textId="77777777" w:rsidR="00A33360" w:rsidRPr="007620A2" w:rsidRDefault="00A33360" w:rsidP="000F002D">
      <w:pPr>
        <w:spacing w:after="0" w:line="240" w:lineRule="auto"/>
        <w:ind w:firstLine="567"/>
        <w:jc w:val="both"/>
        <w:rPr>
          <w:rFonts w:ascii="Times New Roman" w:hAnsi="Times New Roman" w:cs="Times New Roman"/>
          <w:sz w:val="24"/>
          <w:szCs w:val="24"/>
          <w:lang w:val="uk-UA"/>
        </w:rPr>
      </w:pPr>
    </w:p>
    <w:p w14:paraId="3DA19830" w14:textId="77777777" w:rsidR="00A33360" w:rsidRPr="007620A2" w:rsidRDefault="00A33360" w:rsidP="000F002D">
      <w:pPr>
        <w:spacing w:after="0" w:line="240" w:lineRule="auto"/>
        <w:ind w:firstLine="567"/>
        <w:jc w:val="both"/>
        <w:rPr>
          <w:rFonts w:ascii="Times New Roman" w:hAnsi="Times New Roman" w:cs="Times New Roman"/>
          <w:sz w:val="24"/>
          <w:szCs w:val="24"/>
          <w:lang w:val="uk-UA"/>
        </w:rPr>
      </w:pPr>
    </w:p>
    <w:p w14:paraId="7B5830D7" w14:textId="77777777" w:rsidR="00F30D7D" w:rsidRPr="007620A2" w:rsidRDefault="00F30D7D" w:rsidP="002C40A2">
      <w:pPr>
        <w:spacing w:after="0" w:line="240" w:lineRule="auto"/>
        <w:ind w:right="-5" w:firstLine="567"/>
        <w:jc w:val="center"/>
        <w:rPr>
          <w:rFonts w:ascii="Times New Roman" w:hAnsi="Times New Roman" w:cs="Times New Roman"/>
          <w:b/>
          <w:sz w:val="28"/>
          <w:szCs w:val="28"/>
          <w:lang w:val="uk-UA"/>
        </w:rPr>
      </w:pPr>
    </w:p>
    <w:p w14:paraId="0156AC48" w14:textId="77777777" w:rsidR="00F30D7D" w:rsidRPr="007620A2" w:rsidRDefault="00F30D7D" w:rsidP="002C40A2">
      <w:pPr>
        <w:spacing w:after="0" w:line="240" w:lineRule="auto"/>
        <w:ind w:right="-5" w:firstLine="567"/>
        <w:jc w:val="center"/>
        <w:rPr>
          <w:rFonts w:ascii="Times New Roman" w:hAnsi="Times New Roman" w:cs="Times New Roman"/>
          <w:b/>
          <w:sz w:val="28"/>
          <w:szCs w:val="28"/>
          <w:lang w:val="uk-UA"/>
        </w:rPr>
      </w:pPr>
    </w:p>
    <w:p w14:paraId="751C0984" w14:textId="77777777" w:rsidR="00F30D7D" w:rsidRPr="007620A2" w:rsidRDefault="00F30D7D" w:rsidP="002C40A2">
      <w:pPr>
        <w:spacing w:after="0" w:line="240" w:lineRule="auto"/>
        <w:ind w:right="-5" w:firstLine="567"/>
        <w:jc w:val="center"/>
        <w:rPr>
          <w:rFonts w:ascii="Times New Roman" w:hAnsi="Times New Roman" w:cs="Times New Roman"/>
          <w:b/>
          <w:sz w:val="28"/>
          <w:szCs w:val="28"/>
          <w:lang w:val="uk-UA"/>
        </w:rPr>
      </w:pPr>
    </w:p>
    <w:sectPr w:rsidR="00F30D7D" w:rsidRPr="007620A2" w:rsidSect="00774F1D">
      <w:pgSz w:w="11906" w:h="16838"/>
      <w:pgMar w:top="709" w:right="851" w:bottom="567" w:left="851" w:header="709" w:footer="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2B56D" w14:textId="77777777" w:rsidR="00F757B8" w:rsidRDefault="00F757B8" w:rsidP="000B07E2">
      <w:pPr>
        <w:spacing w:after="0" w:line="240" w:lineRule="auto"/>
      </w:pPr>
      <w:r>
        <w:separator/>
      </w:r>
    </w:p>
  </w:endnote>
  <w:endnote w:type="continuationSeparator" w:id="0">
    <w:p w14:paraId="4DD7BCDA" w14:textId="77777777" w:rsidR="00F757B8" w:rsidRDefault="00F757B8" w:rsidP="000B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20A4" w14:textId="1033D22A" w:rsidR="00463074" w:rsidRDefault="00463074">
    <w:pPr>
      <w:pStyle w:val="ae"/>
      <w:jc w:val="right"/>
    </w:pPr>
  </w:p>
  <w:p w14:paraId="705824CB" w14:textId="77777777" w:rsidR="00463074" w:rsidRDefault="0046307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637310"/>
      <w:docPartObj>
        <w:docPartGallery w:val="Page Numbers (Bottom of Page)"/>
        <w:docPartUnique/>
      </w:docPartObj>
    </w:sdtPr>
    <w:sdtContent>
      <w:p w14:paraId="0C8522ED" w14:textId="77777777" w:rsidR="00463074" w:rsidRDefault="00463074">
        <w:pPr>
          <w:pStyle w:val="ae"/>
          <w:jc w:val="right"/>
        </w:pPr>
      </w:p>
    </w:sdtContent>
  </w:sdt>
  <w:p w14:paraId="6A9995B1" w14:textId="77777777" w:rsidR="00463074" w:rsidRDefault="0046307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BD853" w14:textId="77777777" w:rsidR="00F757B8" w:rsidRDefault="00F757B8" w:rsidP="000B07E2">
      <w:pPr>
        <w:spacing w:after="0" w:line="240" w:lineRule="auto"/>
      </w:pPr>
      <w:r>
        <w:separator/>
      </w:r>
    </w:p>
  </w:footnote>
  <w:footnote w:type="continuationSeparator" w:id="0">
    <w:p w14:paraId="042FC831" w14:textId="77777777" w:rsidR="00F757B8" w:rsidRDefault="00F757B8" w:rsidP="000B0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E6F"/>
    <w:multiLevelType w:val="hybridMultilevel"/>
    <w:tmpl w:val="8E0CE3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536389"/>
    <w:multiLevelType w:val="hybridMultilevel"/>
    <w:tmpl w:val="75F8152C"/>
    <w:lvl w:ilvl="0" w:tplc="0419000B">
      <w:start w:val="1"/>
      <w:numFmt w:val="bullet"/>
      <w:lvlText w:val=""/>
      <w:lvlJc w:val="left"/>
      <w:pPr>
        <w:ind w:left="759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587C70"/>
    <w:multiLevelType w:val="hybridMultilevel"/>
    <w:tmpl w:val="3CF4CEDA"/>
    <w:lvl w:ilvl="0" w:tplc="0419000B">
      <w:start w:val="1"/>
      <w:numFmt w:val="bullet"/>
      <w:lvlText w:val=""/>
      <w:lvlJc w:val="left"/>
      <w:pPr>
        <w:ind w:left="1301" w:hanging="360"/>
      </w:pPr>
      <w:rPr>
        <w:rFonts w:ascii="Wingdings" w:hAnsi="Wingdings"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3" w15:restartNumberingAfterBreak="0">
    <w:nsid w:val="081D61C8"/>
    <w:multiLevelType w:val="hybridMultilevel"/>
    <w:tmpl w:val="E9BA1EF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08501AA4"/>
    <w:multiLevelType w:val="hybridMultilevel"/>
    <w:tmpl w:val="9968CBF2"/>
    <w:lvl w:ilvl="0" w:tplc="0419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5" w15:restartNumberingAfterBreak="0">
    <w:nsid w:val="0DDF5B69"/>
    <w:multiLevelType w:val="hybridMultilevel"/>
    <w:tmpl w:val="5B8EE246"/>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352EF3"/>
    <w:multiLevelType w:val="hybridMultilevel"/>
    <w:tmpl w:val="D108D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448AE"/>
    <w:multiLevelType w:val="hybridMultilevel"/>
    <w:tmpl w:val="1248B9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5643F98"/>
    <w:multiLevelType w:val="hybridMultilevel"/>
    <w:tmpl w:val="F0A6A90E"/>
    <w:lvl w:ilvl="0" w:tplc="341C948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3073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3905"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C15A7D"/>
    <w:multiLevelType w:val="hybridMultilevel"/>
    <w:tmpl w:val="183AB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CC025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AC17DC"/>
    <w:multiLevelType w:val="hybridMultilevel"/>
    <w:tmpl w:val="F0A47B9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F85822"/>
    <w:multiLevelType w:val="hybridMultilevel"/>
    <w:tmpl w:val="8E48F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5620C9"/>
    <w:multiLevelType w:val="hybridMultilevel"/>
    <w:tmpl w:val="2042F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542FDD"/>
    <w:multiLevelType w:val="hybridMultilevel"/>
    <w:tmpl w:val="BA386C5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3F2700BC"/>
    <w:multiLevelType w:val="hybridMultilevel"/>
    <w:tmpl w:val="0264223A"/>
    <w:lvl w:ilvl="0" w:tplc="B8B21E06">
      <w:start w:val="2"/>
      <w:numFmt w:val="bullet"/>
      <w:lvlText w:val="-"/>
      <w:lvlJc w:val="left"/>
      <w:pPr>
        <w:ind w:left="379" w:hanging="360"/>
      </w:pPr>
      <w:rPr>
        <w:rFonts w:ascii="Times New Roman" w:eastAsia="Times New Roman" w:hAnsi="Times New Roman" w:cs="Times New Roman" w:hint="default"/>
        <w:color w:val="000000"/>
      </w:rPr>
    </w:lvl>
    <w:lvl w:ilvl="1" w:tplc="04190003" w:tentative="1">
      <w:start w:val="1"/>
      <w:numFmt w:val="bullet"/>
      <w:lvlText w:val="o"/>
      <w:lvlJc w:val="left"/>
      <w:pPr>
        <w:ind w:left="1099" w:hanging="360"/>
      </w:pPr>
      <w:rPr>
        <w:rFonts w:ascii="Courier New" w:hAnsi="Courier New" w:cs="Courier New" w:hint="default"/>
      </w:rPr>
    </w:lvl>
    <w:lvl w:ilvl="2" w:tplc="04190005" w:tentative="1">
      <w:start w:val="1"/>
      <w:numFmt w:val="bullet"/>
      <w:lvlText w:val=""/>
      <w:lvlJc w:val="left"/>
      <w:pPr>
        <w:ind w:left="1819" w:hanging="360"/>
      </w:pPr>
      <w:rPr>
        <w:rFonts w:ascii="Wingdings" w:hAnsi="Wingdings" w:hint="default"/>
      </w:rPr>
    </w:lvl>
    <w:lvl w:ilvl="3" w:tplc="04190001" w:tentative="1">
      <w:start w:val="1"/>
      <w:numFmt w:val="bullet"/>
      <w:lvlText w:val=""/>
      <w:lvlJc w:val="left"/>
      <w:pPr>
        <w:ind w:left="2539" w:hanging="360"/>
      </w:pPr>
      <w:rPr>
        <w:rFonts w:ascii="Symbol" w:hAnsi="Symbol" w:hint="default"/>
      </w:rPr>
    </w:lvl>
    <w:lvl w:ilvl="4" w:tplc="04190003" w:tentative="1">
      <w:start w:val="1"/>
      <w:numFmt w:val="bullet"/>
      <w:lvlText w:val="o"/>
      <w:lvlJc w:val="left"/>
      <w:pPr>
        <w:ind w:left="3259" w:hanging="360"/>
      </w:pPr>
      <w:rPr>
        <w:rFonts w:ascii="Courier New" w:hAnsi="Courier New" w:cs="Courier New" w:hint="default"/>
      </w:rPr>
    </w:lvl>
    <w:lvl w:ilvl="5" w:tplc="04190005" w:tentative="1">
      <w:start w:val="1"/>
      <w:numFmt w:val="bullet"/>
      <w:lvlText w:val=""/>
      <w:lvlJc w:val="left"/>
      <w:pPr>
        <w:ind w:left="3979" w:hanging="360"/>
      </w:pPr>
      <w:rPr>
        <w:rFonts w:ascii="Wingdings" w:hAnsi="Wingdings" w:hint="default"/>
      </w:rPr>
    </w:lvl>
    <w:lvl w:ilvl="6" w:tplc="04190001" w:tentative="1">
      <w:start w:val="1"/>
      <w:numFmt w:val="bullet"/>
      <w:lvlText w:val=""/>
      <w:lvlJc w:val="left"/>
      <w:pPr>
        <w:ind w:left="4699" w:hanging="360"/>
      </w:pPr>
      <w:rPr>
        <w:rFonts w:ascii="Symbol" w:hAnsi="Symbol" w:hint="default"/>
      </w:rPr>
    </w:lvl>
    <w:lvl w:ilvl="7" w:tplc="04190003" w:tentative="1">
      <w:start w:val="1"/>
      <w:numFmt w:val="bullet"/>
      <w:lvlText w:val="o"/>
      <w:lvlJc w:val="left"/>
      <w:pPr>
        <w:ind w:left="5419" w:hanging="360"/>
      </w:pPr>
      <w:rPr>
        <w:rFonts w:ascii="Courier New" w:hAnsi="Courier New" w:cs="Courier New" w:hint="default"/>
      </w:rPr>
    </w:lvl>
    <w:lvl w:ilvl="8" w:tplc="04190005" w:tentative="1">
      <w:start w:val="1"/>
      <w:numFmt w:val="bullet"/>
      <w:lvlText w:val=""/>
      <w:lvlJc w:val="left"/>
      <w:pPr>
        <w:ind w:left="6139" w:hanging="360"/>
      </w:pPr>
      <w:rPr>
        <w:rFonts w:ascii="Wingdings" w:hAnsi="Wingdings" w:hint="default"/>
      </w:rPr>
    </w:lvl>
  </w:abstractNum>
  <w:abstractNum w:abstractNumId="17" w15:restartNumberingAfterBreak="0">
    <w:nsid w:val="448F7487"/>
    <w:multiLevelType w:val="hybridMultilevel"/>
    <w:tmpl w:val="40708B6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4C1570B"/>
    <w:multiLevelType w:val="hybridMultilevel"/>
    <w:tmpl w:val="007E2F52"/>
    <w:lvl w:ilvl="0" w:tplc="0419000D">
      <w:start w:val="1"/>
      <w:numFmt w:val="bullet"/>
      <w:lvlText w:val=""/>
      <w:lvlJc w:val="left"/>
      <w:pPr>
        <w:ind w:left="946" w:hanging="360"/>
      </w:pPr>
      <w:rPr>
        <w:rFonts w:ascii="Wingdings" w:hAnsi="Wingdings"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AFA1634"/>
    <w:multiLevelType w:val="hybridMultilevel"/>
    <w:tmpl w:val="FFFFFFFF"/>
    <w:lvl w:ilvl="0" w:tplc="5CEC4154">
      <w:start w:val="2"/>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20" w15:restartNumberingAfterBreak="0">
    <w:nsid w:val="4BB92CB9"/>
    <w:multiLevelType w:val="hybridMultilevel"/>
    <w:tmpl w:val="C26C5A38"/>
    <w:lvl w:ilvl="0" w:tplc="AB681E62">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0121512"/>
    <w:multiLevelType w:val="hybridMultilevel"/>
    <w:tmpl w:val="3F82CD3A"/>
    <w:lvl w:ilvl="0" w:tplc="8F3C653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55F85812"/>
    <w:multiLevelType w:val="hybridMultilevel"/>
    <w:tmpl w:val="134479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3E1E9E"/>
    <w:multiLevelType w:val="hybridMultilevel"/>
    <w:tmpl w:val="0144F676"/>
    <w:lvl w:ilvl="0" w:tplc="041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eastAsia="Times New Roman" w:hAnsi="Courier New"/>
      </w:rPr>
    </w:lvl>
    <w:lvl w:ilvl="2" w:tplc="FFFFFFFF">
      <w:start w:val="1"/>
      <w:numFmt w:val="bullet"/>
      <w:lvlText w:val="o"/>
      <w:lvlJc w:val="left"/>
      <w:pPr>
        <w:tabs>
          <w:tab w:val="num" w:pos="2160"/>
        </w:tabs>
        <w:ind w:left="2160" w:hanging="360"/>
      </w:pPr>
      <w:rPr>
        <w:rFonts w:ascii="Courier New" w:eastAsia="Times New Roman" w:hAnsi="Courier New"/>
      </w:rPr>
    </w:lvl>
    <w:lvl w:ilvl="3" w:tplc="FFFFFFFF">
      <w:start w:val="1"/>
      <w:numFmt w:val="bullet"/>
      <w:lvlText w:val="o"/>
      <w:lvlJc w:val="left"/>
      <w:pPr>
        <w:tabs>
          <w:tab w:val="num" w:pos="2880"/>
        </w:tabs>
        <w:ind w:left="2880" w:hanging="360"/>
      </w:pPr>
      <w:rPr>
        <w:rFonts w:ascii="Courier New" w:eastAsia="Times New Roman" w:hAnsi="Courier New"/>
      </w:rPr>
    </w:lvl>
    <w:lvl w:ilvl="4" w:tplc="FFFFFFFF">
      <w:start w:val="1"/>
      <w:numFmt w:val="bullet"/>
      <w:lvlText w:val="o"/>
      <w:lvlJc w:val="left"/>
      <w:pPr>
        <w:tabs>
          <w:tab w:val="num" w:pos="3600"/>
        </w:tabs>
        <w:ind w:left="3600" w:hanging="360"/>
      </w:pPr>
      <w:rPr>
        <w:rFonts w:ascii="Courier New" w:eastAsia="Times New Roman" w:hAnsi="Courier New"/>
      </w:rPr>
    </w:lvl>
    <w:lvl w:ilvl="5" w:tplc="FFFFFFFF">
      <w:start w:val="1"/>
      <w:numFmt w:val="bullet"/>
      <w:lvlText w:val="o"/>
      <w:lvlJc w:val="left"/>
      <w:pPr>
        <w:tabs>
          <w:tab w:val="num" w:pos="4320"/>
        </w:tabs>
        <w:ind w:left="4320" w:hanging="360"/>
      </w:pPr>
      <w:rPr>
        <w:rFonts w:ascii="Courier New" w:eastAsia="Times New Roman" w:hAnsi="Courier New"/>
      </w:rPr>
    </w:lvl>
    <w:lvl w:ilvl="6" w:tplc="FFFFFFFF">
      <w:start w:val="1"/>
      <w:numFmt w:val="bullet"/>
      <w:lvlText w:val="o"/>
      <w:lvlJc w:val="left"/>
      <w:pPr>
        <w:tabs>
          <w:tab w:val="num" w:pos="5040"/>
        </w:tabs>
        <w:ind w:left="5040" w:hanging="360"/>
      </w:pPr>
      <w:rPr>
        <w:rFonts w:ascii="Courier New" w:eastAsia="Times New Roman" w:hAnsi="Courier New"/>
      </w:rPr>
    </w:lvl>
    <w:lvl w:ilvl="7" w:tplc="FFFFFFFF">
      <w:start w:val="1"/>
      <w:numFmt w:val="bullet"/>
      <w:lvlText w:val="o"/>
      <w:lvlJc w:val="left"/>
      <w:pPr>
        <w:tabs>
          <w:tab w:val="num" w:pos="5760"/>
        </w:tabs>
        <w:ind w:left="5760" w:hanging="360"/>
      </w:pPr>
      <w:rPr>
        <w:rFonts w:ascii="Courier New" w:eastAsia="Times New Roman" w:hAnsi="Courier New"/>
      </w:rPr>
    </w:lvl>
    <w:lvl w:ilvl="8" w:tplc="FFFFFFFF">
      <w:start w:val="1"/>
      <w:numFmt w:val="bullet"/>
      <w:lvlText w:val="o"/>
      <w:lvlJc w:val="left"/>
      <w:pPr>
        <w:tabs>
          <w:tab w:val="num" w:pos="6480"/>
        </w:tabs>
        <w:ind w:left="6480" w:hanging="360"/>
      </w:pPr>
      <w:rPr>
        <w:rFonts w:ascii="Courier New" w:eastAsia="Times New Roman" w:hAnsi="Courier New"/>
      </w:rPr>
    </w:lvl>
  </w:abstractNum>
  <w:abstractNum w:abstractNumId="24" w15:restartNumberingAfterBreak="0">
    <w:nsid w:val="68C46344"/>
    <w:multiLevelType w:val="hybridMultilevel"/>
    <w:tmpl w:val="6B923D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C8B4E6F"/>
    <w:multiLevelType w:val="hybridMultilevel"/>
    <w:tmpl w:val="ABB82512"/>
    <w:lvl w:ilvl="0" w:tplc="29A27136">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44B217E"/>
    <w:multiLevelType w:val="hybridMultilevel"/>
    <w:tmpl w:val="442EEB82"/>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A9B52E1"/>
    <w:multiLevelType w:val="hybridMultilevel"/>
    <w:tmpl w:val="900EF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5"/>
  </w:num>
  <w:num w:numId="4">
    <w:abstractNumId w:val="27"/>
  </w:num>
  <w:num w:numId="5">
    <w:abstractNumId w:val="14"/>
  </w:num>
  <w:num w:numId="6">
    <w:abstractNumId w:val="15"/>
  </w:num>
  <w:num w:numId="7">
    <w:abstractNumId w:val="24"/>
  </w:num>
  <w:num w:numId="8">
    <w:abstractNumId w:val="13"/>
  </w:num>
  <w:num w:numId="9">
    <w:abstractNumId w:val="6"/>
  </w:num>
  <w:num w:numId="10">
    <w:abstractNumId w:val="25"/>
  </w:num>
  <w:num w:numId="11">
    <w:abstractNumId w:val="23"/>
  </w:num>
  <w:num w:numId="12">
    <w:abstractNumId w:val="21"/>
  </w:num>
  <w:num w:numId="13">
    <w:abstractNumId w:val="16"/>
  </w:num>
  <w:num w:numId="14">
    <w:abstractNumId w:val="8"/>
  </w:num>
  <w:num w:numId="15">
    <w:abstractNumId w:val="12"/>
  </w:num>
  <w:num w:numId="16">
    <w:abstractNumId w:val="9"/>
  </w:num>
  <w:num w:numId="17">
    <w:abstractNumId w:val="11"/>
  </w:num>
  <w:num w:numId="18">
    <w:abstractNumId w:val="2"/>
  </w:num>
  <w:num w:numId="19">
    <w:abstractNumId w:val="0"/>
  </w:num>
  <w:num w:numId="20">
    <w:abstractNumId w:val="3"/>
  </w:num>
  <w:num w:numId="21">
    <w:abstractNumId w:val="18"/>
  </w:num>
  <w:num w:numId="22">
    <w:abstractNumId w:val="26"/>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0"/>
  </w:num>
  <w:num w:numId="26">
    <w:abstractNumId w:val="7"/>
  </w:num>
  <w:num w:numId="27">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47"/>
    <w:rsid w:val="0000003C"/>
    <w:rsid w:val="00000119"/>
    <w:rsid w:val="00000166"/>
    <w:rsid w:val="0000042E"/>
    <w:rsid w:val="00000473"/>
    <w:rsid w:val="0000065D"/>
    <w:rsid w:val="00000D12"/>
    <w:rsid w:val="00000EB8"/>
    <w:rsid w:val="000011E4"/>
    <w:rsid w:val="00001E5E"/>
    <w:rsid w:val="00002020"/>
    <w:rsid w:val="0000209B"/>
    <w:rsid w:val="00002963"/>
    <w:rsid w:val="000029F8"/>
    <w:rsid w:val="00002FEF"/>
    <w:rsid w:val="00003212"/>
    <w:rsid w:val="00003247"/>
    <w:rsid w:val="000044AF"/>
    <w:rsid w:val="00004819"/>
    <w:rsid w:val="00004BC9"/>
    <w:rsid w:val="00004BF1"/>
    <w:rsid w:val="00005678"/>
    <w:rsid w:val="00005E57"/>
    <w:rsid w:val="00005EB0"/>
    <w:rsid w:val="000061EA"/>
    <w:rsid w:val="00006297"/>
    <w:rsid w:val="00006402"/>
    <w:rsid w:val="00006540"/>
    <w:rsid w:val="00006A56"/>
    <w:rsid w:val="00006A67"/>
    <w:rsid w:val="00006F0A"/>
    <w:rsid w:val="000076F0"/>
    <w:rsid w:val="00007C65"/>
    <w:rsid w:val="00010439"/>
    <w:rsid w:val="00010BC5"/>
    <w:rsid w:val="00010E72"/>
    <w:rsid w:val="00010ED3"/>
    <w:rsid w:val="00011188"/>
    <w:rsid w:val="00011609"/>
    <w:rsid w:val="0001161C"/>
    <w:rsid w:val="00011CED"/>
    <w:rsid w:val="0001243C"/>
    <w:rsid w:val="000128EC"/>
    <w:rsid w:val="00013264"/>
    <w:rsid w:val="00013300"/>
    <w:rsid w:val="000138CD"/>
    <w:rsid w:val="00013BA2"/>
    <w:rsid w:val="00013D23"/>
    <w:rsid w:val="00013D30"/>
    <w:rsid w:val="00013F0A"/>
    <w:rsid w:val="000144E9"/>
    <w:rsid w:val="0001570C"/>
    <w:rsid w:val="00015811"/>
    <w:rsid w:val="00015878"/>
    <w:rsid w:val="00015BB2"/>
    <w:rsid w:val="00015F32"/>
    <w:rsid w:val="0001656F"/>
    <w:rsid w:val="00016732"/>
    <w:rsid w:val="00016CB7"/>
    <w:rsid w:val="00017863"/>
    <w:rsid w:val="000178EB"/>
    <w:rsid w:val="0002011D"/>
    <w:rsid w:val="00020B22"/>
    <w:rsid w:val="00020E32"/>
    <w:rsid w:val="00020FB0"/>
    <w:rsid w:val="000213D6"/>
    <w:rsid w:val="000218B5"/>
    <w:rsid w:val="00022420"/>
    <w:rsid w:val="00022431"/>
    <w:rsid w:val="00022A0D"/>
    <w:rsid w:val="000238F3"/>
    <w:rsid w:val="0002422A"/>
    <w:rsid w:val="0002467A"/>
    <w:rsid w:val="0002470D"/>
    <w:rsid w:val="000247B8"/>
    <w:rsid w:val="00024893"/>
    <w:rsid w:val="000252E3"/>
    <w:rsid w:val="00025327"/>
    <w:rsid w:val="00025A26"/>
    <w:rsid w:val="00025A3C"/>
    <w:rsid w:val="00025BA2"/>
    <w:rsid w:val="000262D4"/>
    <w:rsid w:val="000263A1"/>
    <w:rsid w:val="00026630"/>
    <w:rsid w:val="000271A4"/>
    <w:rsid w:val="00027AEC"/>
    <w:rsid w:val="000307FD"/>
    <w:rsid w:val="00030F3C"/>
    <w:rsid w:val="0003163C"/>
    <w:rsid w:val="00031763"/>
    <w:rsid w:val="00031BED"/>
    <w:rsid w:val="00032225"/>
    <w:rsid w:val="0003289F"/>
    <w:rsid w:val="0003305E"/>
    <w:rsid w:val="000332D0"/>
    <w:rsid w:val="00033335"/>
    <w:rsid w:val="00033723"/>
    <w:rsid w:val="00033CE0"/>
    <w:rsid w:val="000341D6"/>
    <w:rsid w:val="00034510"/>
    <w:rsid w:val="00034D61"/>
    <w:rsid w:val="00035D77"/>
    <w:rsid w:val="00035E75"/>
    <w:rsid w:val="00036508"/>
    <w:rsid w:val="00036C0B"/>
    <w:rsid w:val="00036E7E"/>
    <w:rsid w:val="000377DE"/>
    <w:rsid w:val="0004049F"/>
    <w:rsid w:val="000409A0"/>
    <w:rsid w:val="000409FD"/>
    <w:rsid w:val="00040A08"/>
    <w:rsid w:val="00040E16"/>
    <w:rsid w:val="0004100B"/>
    <w:rsid w:val="00041297"/>
    <w:rsid w:val="0004174E"/>
    <w:rsid w:val="000418C6"/>
    <w:rsid w:val="00041E37"/>
    <w:rsid w:val="00042577"/>
    <w:rsid w:val="000429D6"/>
    <w:rsid w:val="0004312C"/>
    <w:rsid w:val="00043B52"/>
    <w:rsid w:val="000445A6"/>
    <w:rsid w:val="00044667"/>
    <w:rsid w:val="000449FB"/>
    <w:rsid w:val="00044A57"/>
    <w:rsid w:val="00044E61"/>
    <w:rsid w:val="000457BE"/>
    <w:rsid w:val="000476EE"/>
    <w:rsid w:val="000479C7"/>
    <w:rsid w:val="00047B6A"/>
    <w:rsid w:val="00050405"/>
    <w:rsid w:val="000511C4"/>
    <w:rsid w:val="00051A32"/>
    <w:rsid w:val="000522FF"/>
    <w:rsid w:val="00052654"/>
    <w:rsid w:val="00054467"/>
    <w:rsid w:val="0005482A"/>
    <w:rsid w:val="00054F64"/>
    <w:rsid w:val="000550F3"/>
    <w:rsid w:val="00055788"/>
    <w:rsid w:val="000561CB"/>
    <w:rsid w:val="00057247"/>
    <w:rsid w:val="0005770A"/>
    <w:rsid w:val="00057EE7"/>
    <w:rsid w:val="00060105"/>
    <w:rsid w:val="0006093B"/>
    <w:rsid w:val="00060CCA"/>
    <w:rsid w:val="0006103F"/>
    <w:rsid w:val="00061B93"/>
    <w:rsid w:val="00061D35"/>
    <w:rsid w:val="00061DA0"/>
    <w:rsid w:val="00062116"/>
    <w:rsid w:val="00062175"/>
    <w:rsid w:val="000623A0"/>
    <w:rsid w:val="00062562"/>
    <w:rsid w:val="000626AC"/>
    <w:rsid w:val="000627E5"/>
    <w:rsid w:val="000628AC"/>
    <w:rsid w:val="00063C81"/>
    <w:rsid w:val="00065222"/>
    <w:rsid w:val="00066093"/>
    <w:rsid w:val="00066938"/>
    <w:rsid w:val="00070473"/>
    <w:rsid w:val="00070EA9"/>
    <w:rsid w:val="000711FF"/>
    <w:rsid w:val="0007122D"/>
    <w:rsid w:val="000719B0"/>
    <w:rsid w:val="00071AAA"/>
    <w:rsid w:val="00072073"/>
    <w:rsid w:val="000720C7"/>
    <w:rsid w:val="000722E1"/>
    <w:rsid w:val="0007345D"/>
    <w:rsid w:val="00074232"/>
    <w:rsid w:val="00074B29"/>
    <w:rsid w:val="00074BD1"/>
    <w:rsid w:val="0007521E"/>
    <w:rsid w:val="00075560"/>
    <w:rsid w:val="0007581D"/>
    <w:rsid w:val="00075DB7"/>
    <w:rsid w:val="00076D0B"/>
    <w:rsid w:val="00077753"/>
    <w:rsid w:val="00077EA4"/>
    <w:rsid w:val="000800A0"/>
    <w:rsid w:val="000804B7"/>
    <w:rsid w:val="00080F2D"/>
    <w:rsid w:val="0008111E"/>
    <w:rsid w:val="0008179B"/>
    <w:rsid w:val="00081EF7"/>
    <w:rsid w:val="00082153"/>
    <w:rsid w:val="00082785"/>
    <w:rsid w:val="0008288D"/>
    <w:rsid w:val="00082C66"/>
    <w:rsid w:val="00083DBC"/>
    <w:rsid w:val="00084199"/>
    <w:rsid w:val="0008465B"/>
    <w:rsid w:val="00085733"/>
    <w:rsid w:val="000858C8"/>
    <w:rsid w:val="00085B22"/>
    <w:rsid w:val="00085D96"/>
    <w:rsid w:val="00086C04"/>
    <w:rsid w:val="00086E1E"/>
    <w:rsid w:val="00087029"/>
    <w:rsid w:val="000874F3"/>
    <w:rsid w:val="000877CE"/>
    <w:rsid w:val="00090F54"/>
    <w:rsid w:val="00091AE0"/>
    <w:rsid w:val="00091C32"/>
    <w:rsid w:val="0009294A"/>
    <w:rsid w:val="00092ED6"/>
    <w:rsid w:val="000933F3"/>
    <w:rsid w:val="0009447E"/>
    <w:rsid w:val="00094B29"/>
    <w:rsid w:val="00094EED"/>
    <w:rsid w:val="000952F3"/>
    <w:rsid w:val="00095DDA"/>
    <w:rsid w:val="000965A3"/>
    <w:rsid w:val="00097234"/>
    <w:rsid w:val="0009781E"/>
    <w:rsid w:val="00097994"/>
    <w:rsid w:val="000A060C"/>
    <w:rsid w:val="000A0A07"/>
    <w:rsid w:val="000A0A4A"/>
    <w:rsid w:val="000A153F"/>
    <w:rsid w:val="000A1633"/>
    <w:rsid w:val="000A1763"/>
    <w:rsid w:val="000A1B0E"/>
    <w:rsid w:val="000A2028"/>
    <w:rsid w:val="000A214C"/>
    <w:rsid w:val="000A24C9"/>
    <w:rsid w:val="000A2716"/>
    <w:rsid w:val="000A2A26"/>
    <w:rsid w:val="000A316A"/>
    <w:rsid w:val="000A3912"/>
    <w:rsid w:val="000A3F3F"/>
    <w:rsid w:val="000A401A"/>
    <w:rsid w:val="000A42DC"/>
    <w:rsid w:val="000A42F6"/>
    <w:rsid w:val="000A44A0"/>
    <w:rsid w:val="000A45B0"/>
    <w:rsid w:val="000A45CD"/>
    <w:rsid w:val="000A5D8F"/>
    <w:rsid w:val="000A5DE8"/>
    <w:rsid w:val="000A6110"/>
    <w:rsid w:val="000A6675"/>
    <w:rsid w:val="000A6F08"/>
    <w:rsid w:val="000B04B1"/>
    <w:rsid w:val="000B066C"/>
    <w:rsid w:val="000B07E2"/>
    <w:rsid w:val="000B12B3"/>
    <w:rsid w:val="000B1661"/>
    <w:rsid w:val="000B1A18"/>
    <w:rsid w:val="000B1F70"/>
    <w:rsid w:val="000B3101"/>
    <w:rsid w:val="000B33EB"/>
    <w:rsid w:val="000B4261"/>
    <w:rsid w:val="000B4DBF"/>
    <w:rsid w:val="000B5220"/>
    <w:rsid w:val="000B529C"/>
    <w:rsid w:val="000B6326"/>
    <w:rsid w:val="000B6604"/>
    <w:rsid w:val="000B744E"/>
    <w:rsid w:val="000B7500"/>
    <w:rsid w:val="000B7A56"/>
    <w:rsid w:val="000B7CDD"/>
    <w:rsid w:val="000B7D65"/>
    <w:rsid w:val="000B7EA6"/>
    <w:rsid w:val="000C0102"/>
    <w:rsid w:val="000C0919"/>
    <w:rsid w:val="000C0C49"/>
    <w:rsid w:val="000C1052"/>
    <w:rsid w:val="000C2C70"/>
    <w:rsid w:val="000C31D9"/>
    <w:rsid w:val="000C3220"/>
    <w:rsid w:val="000C3BE2"/>
    <w:rsid w:val="000C4033"/>
    <w:rsid w:val="000C459D"/>
    <w:rsid w:val="000C47C3"/>
    <w:rsid w:val="000C483B"/>
    <w:rsid w:val="000C4A00"/>
    <w:rsid w:val="000C5B8E"/>
    <w:rsid w:val="000C6127"/>
    <w:rsid w:val="000C76BC"/>
    <w:rsid w:val="000C7734"/>
    <w:rsid w:val="000D080B"/>
    <w:rsid w:val="000D11ED"/>
    <w:rsid w:val="000D12DD"/>
    <w:rsid w:val="000D1A5E"/>
    <w:rsid w:val="000D1D4A"/>
    <w:rsid w:val="000D1D7C"/>
    <w:rsid w:val="000D2A4C"/>
    <w:rsid w:val="000D348E"/>
    <w:rsid w:val="000D35ED"/>
    <w:rsid w:val="000D3E1A"/>
    <w:rsid w:val="000D4045"/>
    <w:rsid w:val="000D44A4"/>
    <w:rsid w:val="000D5118"/>
    <w:rsid w:val="000D5601"/>
    <w:rsid w:val="000D5840"/>
    <w:rsid w:val="000D633F"/>
    <w:rsid w:val="000D667C"/>
    <w:rsid w:val="000D6BF5"/>
    <w:rsid w:val="000D7012"/>
    <w:rsid w:val="000D7783"/>
    <w:rsid w:val="000D7AC8"/>
    <w:rsid w:val="000D7C7E"/>
    <w:rsid w:val="000D7CE9"/>
    <w:rsid w:val="000E114B"/>
    <w:rsid w:val="000E250A"/>
    <w:rsid w:val="000E2C33"/>
    <w:rsid w:val="000E3F53"/>
    <w:rsid w:val="000E4261"/>
    <w:rsid w:val="000E444E"/>
    <w:rsid w:val="000E4654"/>
    <w:rsid w:val="000E489D"/>
    <w:rsid w:val="000E50D2"/>
    <w:rsid w:val="000E5629"/>
    <w:rsid w:val="000E64FB"/>
    <w:rsid w:val="000E7FEB"/>
    <w:rsid w:val="000F002D"/>
    <w:rsid w:val="000F0347"/>
    <w:rsid w:val="000F0572"/>
    <w:rsid w:val="000F0773"/>
    <w:rsid w:val="000F0A2C"/>
    <w:rsid w:val="000F1168"/>
    <w:rsid w:val="000F1E38"/>
    <w:rsid w:val="000F271B"/>
    <w:rsid w:val="000F2D70"/>
    <w:rsid w:val="000F3CEF"/>
    <w:rsid w:val="000F3E1D"/>
    <w:rsid w:val="000F3F88"/>
    <w:rsid w:val="000F469F"/>
    <w:rsid w:val="000F4D3E"/>
    <w:rsid w:val="000F56EE"/>
    <w:rsid w:val="000F58EC"/>
    <w:rsid w:val="000F5E00"/>
    <w:rsid w:val="000F5EDA"/>
    <w:rsid w:val="000F6145"/>
    <w:rsid w:val="000F661E"/>
    <w:rsid w:val="000F69CD"/>
    <w:rsid w:val="000F7318"/>
    <w:rsid w:val="000F74C1"/>
    <w:rsid w:val="00100069"/>
    <w:rsid w:val="001004F6"/>
    <w:rsid w:val="00100507"/>
    <w:rsid w:val="00100BB9"/>
    <w:rsid w:val="0010162C"/>
    <w:rsid w:val="001017D4"/>
    <w:rsid w:val="001020E9"/>
    <w:rsid w:val="00102908"/>
    <w:rsid w:val="00102A1C"/>
    <w:rsid w:val="00102C16"/>
    <w:rsid w:val="0010344B"/>
    <w:rsid w:val="00103813"/>
    <w:rsid w:val="0010383B"/>
    <w:rsid w:val="00103E7B"/>
    <w:rsid w:val="001042D6"/>
    <w:rsid w:val="001044B3"/>
    <w:rsid w:val="00104B25"/>
    <w:rsid w:val="00104B8A"/>
    <w:rsid w:val="00104CF3"/>
    <w:rsid w:val="00105AEC"/>
    <w:rsid w:val="00107165"/>
    <w:rsid w:val="0010754B"/>
    <w:rsid w:val="0010767C"/>
    <w:rsid w:val="001108AE"/>
    <w:rsid w:val="00111201"/>
    <w:rsid w:val="00111899"/>
    <w:rsid w:val="00111A25"/>
    <w:rsid w:val="0011288A"/>
    <w:rsid w:val="001138D0"/>
    <w:rsid w:val="00113A48"/>
    <w:rsid w:val="0011405C"/>
    <w:rsid w:val="00114FDB"/>
    <w:rsid w:val="0011558D"/>
    <w:rsid w:val="00116C92"/>
    <w:rsid w:val="00116E8E"/>
    <w:rsid w:val="00117327"/>
    <w:rsid w:val="001175E6"/>
    <w:rsid w:val="00120A33"/>
    <w:rsid w:val="00120ED7"/>
    <w:rsid w:val="001215C6"/>
    <w:rsid w:val="00121C57"/>
    <w:rsid w:val="00121F9B"/>
    <w:rsid w:val="00122052"/>
    <w:rsid w:val="00122138"/>
    <w:rsid w:val="001228CD"/>
    <w:rsid w:val="00122BA2"/>
    <w:rsid w:val="00122FDF"/>
    <w:rsid w:val="001235DF"/>
    <w:rsid w:val="001239DB"/>
    <w:rsid w:val="00123FC2"/>
    <w:rsid w:val="0012446C"/>
    <w:rsid w:val="001244D3"/>
    <w:rsid w:val="00124E72"/>
    <w:rsid w:val="001250E2"/>
    <w:rsid w:val="001251DF"/>
    <w:rsid w:val="001267A7"/>
    <w:rsid w:val="001269A9"/>
    <w:rsid w:val="00127B46"/>
    <w:rsid w:val="00127E6C"/>
    <w:rsid w:val="00127FFD"/>
    <w:rsid w:val="00130354"/>
    <w:rsid w:val="00130919"/>
    <w:rsid w:val="00131FB3"/>
    <w:rsid w:val="00132BF9"/>
    <w:rsid w:val="00133A1E"/>
    <w:rsid w:val="00133D79"/>
    <w:rsid w:val="00133E11"/>
    <w:rsid w:val="00133EF7"/>
    <w:rsid w:val="00134725"/>
    <w:rsid w:val="00134929"/>
    <w:rsid w:val="00134C34"/>
    <w:rsid w:val="00135156"/>
    <w:rsid w:val="00135DBB"/>
    <w:rsid w:val="001365BF"/>
    <w:rsid w:val="00137018"/>
    <w:rsid w:val="00137595"/>
    <w:rsid w:val="00137660"/>
    <w:rsid w:val="001401C9"/>
    <w:rsid w:val="001405F1"/>
    <w:rsid w:val="0014155D"/>
    <w:rsid w:val="001419B1"/>
    <w:rsid w:val="00141A4A"/>
    <w:rsid w:val="00141CBE"/>
    <w:rsid w:val="00141DB6"/>
    <w:rsid w:val="00142591"/>
    <w:rsid w:val="001432B5"/>
    <w:rsid w:val="0014356D"/>
    <w:rsid w:val="00143C1C"/>
    <w:rsid w:val="00143D22"/>
    <w:rsid w:val="00143E0A"/>
    <w:rsid w:val="00143F2A"/>
    <w:rsid w:val="001441F1"/>
    <w:rsid w:val="00144A35"/>
    <w:rsid w:val="00144C86"/>
    <w:rsid w:val="00146BDE"/>
    <w:rsid w:val="00146CC2"/>
    <w:rsid w:val="0014767D"/>
    <w:rsid w:val="00147935"/>
    <w:rsid w:val="0015005D"/>
    <w:rsid w:val="00150225"/>
    <w:rsid w:val="00151621"/>
    <w:rsid w:val="001516C3"/>
    <w:rsid w:val="00151A71"/>
    <w:rsid w:val="00151BF1"/>
    <w:rsid w:val="00152624"/>
    <w:rsid w:val="00152AE5"/>
    <w:rsid w:val="00153358"/>
    <w:rsid w:val="00153409"/>
    <w:rsid w:val="00153BE6"/>
    <w:rsid w:val="0015408B"/>
    <w:rsid w:val="00154A44"/>
    <w:rsid w:val="001553FE"/>
    <w:rsid w:val="00155BA3"/>
    <w:rsid w:val="00156F71"/>
    <w:rsid w:val="00156F87"/>
    <w:rsid w:val="00157773"/>
    <w:rsid w:val="00157BD1"/>
    <w:rsid w:val="00157F4F"/>
    <w:rsid w:val="00161666"/>
    <w:rsid w:val="001624B5"/>
    <w:rsid w:val="001626BD"/>
    <w:rsid w:val="00162809"/>
    <w:rsid w:val="00162D90"/>
    <w:rsid w:val="00163B67"/>
    <w:rsid w:val="001647F7"/>
    <w:rsid w:val="00164D99"/>
    <w:rsid w:val="00165F14"/>
    <w:rsid w:val="001663E0"/>
    <w:rsid w:val="00166A2D"/>
    <w:rsid w:val="00166BB2"/>
    <w:rsid w:val="00166D7F"/>
    <w:rsid w:val="0016761A"/>
    <w:rsid w:val="00170979"/>
    <w:rsid w:val="00170F79"/>
    <w:rsid w:val="00171323"/>
    <w:rsid w:val="001713CE"/>
    <w:rsid w:val="0017163E"/>
    <w:rsid w:val="0017166E"/>
    <w:rsid w:val="001717BB"/>
    <w:rsid w:val="00171F61"/>
    <w:rsid w:val="0017206C"/>
    <w:rsid w:val="00172F24"/>
    <w:rsid w:val="00173209"/>
    <w:rsid w:val="001735CF"/>
    <w:rsid w:val="00173C10"/>
    <w:rsid w:val="00174018"/>
    <w:rsid w:val="00174422"/>
    <w:rsid w:val="0017526D"/>
    <w:rsid w:val="001756C1"/>
    <w:rsid w:val="0017675A"/>
    <w:rsid w:val="00176EF2"/>
    <w:rsid w:val="001771F7"/>
    <w:rsid w:val="00177698"/>
    <w:rsid w:val="0017798D"/>
    <w:rsid w:val="00177AAD"/>
    <w:rsid w:val="00177C49"/>
    <w:rsid w:val="001801E6"/>
    <w:rsid w:val="00180786"/>
    <w:rsid w:val="00180895"/>
    <w:rsid w:val="00180A14"/>
    <w:rsid w:val="00180CFB"/>
    <w:rsid w:val="001811C2"/>
    <w:rsid w:val="00181DEB"/>
    <w:rsid w:val="00181FB2"/>
    <w:rsid w:val="0018273F"/>
    <w:rsid w:val="001829FF"/>
    <w:rsid w:val="00182F43"/>
    <w:rsid w:val="00183110"/>
    <w:rsid w:val="001836FD"/>
    <w:rsid w:val="00183F3D"/>
    <w:rsid w:val="001840B6"/>
    <w:rsid w:val="001845C9"/>
    <w:rsid w:val="001857C2"/>
    <w:rsid w:val="00185A9A"/>
    <w:rsid w:val="00186065"/>
    <w:rsid w:val="00186209"/>
    <w:rsid w:val="00186BAB"/>
    <w:rsid w:val="00186FDD"/>
    <w:rsid w:val="0019043C"/>
    <w:rsid w:val="00190575"/>
    <w:rsid w:val="001905DC"/>
    <w:rsid w:val="001905F3"/>
    <w:rsid w:val="00190E44"/>
    <w:rsid w:val="00190FBB"/>
    <w:rsid w:val="00191944"/>
    <w:rsid w:val="00192360"/>
    <w:rsid w:val="00193CF4"/>
    <w:rsid w:val="00193D93"/>
    <w:rsid w:val="00193E20"/>
    <w:rsid w:val="001948F7"/>
    <w:rsid w:val="00194942"/>
    <w:rsid w:val="00194D53"/>
    <w:rsid w:val="00195005"/>
    <w:rsid w:val="0019536B"/>
    <w:rsid w:val="001955D5"/>
    <w:rsid w:val="00195847"/>
    <w:rsid w:val="00195DE6"/>
    <w:rsid w:val="00196468"/>
    <w:rsid w:val="001964E8"/>
    <w:rsid w:val="001967A6"/>
    <w:rsid w:val="00196E76"/>
    <w:rsid w:val="00197657"/>
    <w:rsid w:val="00197934"/>
    <w:rsid w:val="00197AF9"/>
    <w:rsid w:val="00197AFA"/>
    <w:rsid w:val="00197B2F"/>
    <w:rsid w:val="00197F91"/>
    <w:rsid w:val="001A0181"/>
    <w:rsid w:val="001A05C7"/>
    <w:rsid w:val="001A0670"/>
    <w:rsid w:val="001A0860"/>
    <w:rsid w:val="001A09D8"/>
    <w:rsid w:val="001A0C12"/>
    <w:rsid w:val="001A1A43"/>
    <w:rsid w:val="001A2267"/>
    <w:rsid w:val="001A2570"/>
    <w:rsid w:val="001A277C"/>
    <w:rsid w:val="001A2C75"/>
    <w:rsid w:val="001A31F4"/>
    <w:rsid w:val="001A36F2"/>
    <w:rsid w:val="001A3771"/>
    <w:rsid w:val="001A3813"/>
    <w:rsid w:val="001A3DED"/>
    <w:rsid w:val="001A43FA"/>
    <w:rsid w:val="001A45D4"/>
    <w:rsid w:val="001A6113"/>
    <w:rsid w:val="001A649C"/>
    <w:rsid w:val="001A65DB"/>
    <w:rsid w:val="001A6618"/>
    <w:rsid w:val="001A77C2"/>
    <w:rsid w:val="001B061A"/>
    <w:rsid w:val="001B0947"/>
    <w:rsid w:val="001B0EF2"/>
    <w:rsid w:val="001B1349"/>
    <w:rsid w:val="001B1A3B"/>
    <w:rsid w:val="001B1AC6"/>
    <w:rsid w:val="001B1D27"/>
    <w:rsid w:val="001B1FBF"/>
    <w:rsid w:val="001B2724"/>
    <w:rsid w:val="001B31F4"/>
    <w:rsid w:val="001B32D8"/>
    <w:rsid w:val="001B374D"/>
    <w:rsid w:val="001B40CF"/>
    <w:rsid w:val="001B4263"/>
    <w:rsid w:val="001B4B64"/>
    <w:rsid w:val="001B4E0D"/>
    <w:rsid w:val="001B5468"/>
    <w:rsid w:val="001B586F"/>
    <w:rsid w:val="001B5E68"/>
    <w:rsid w:val="001B603D"/>
    <w:rsid w:val="001B63BA"/>
    <w:rsid w:val="001B664C"/>
    <w:rsid w:val="001B73D5"/>
    <w:rsid w:val="001B7834"/>
    <w:rsid w:val="001B7865"/>
    <w:rsid w:val="001B7BB8"/>
    <w:rsid w:val="001B7C98"/>
    <w:rsid w:val="001B7CE4"/>
    <w:rsid w:val="001B7E6C"/>
    <w:rsid w:val="001C030A"/>
    <w:rsid w:val="001C03A5"/>
    <w:rsid w:val="001C0C00"/>
    <w:rsid w:val="001C118B"/>
    <w:rsid w:val="001C1192"/>
    <w:rsid w:val="001C1441"/>
    <w:rsid w:val="001C14B0"/>
    <w:rsid w:val="001C1CD4"/>
    <w:rsid w:val="001C31A3"/>
    <w:rsid w:val="001C3325"/>
    <w:rsid w:val="001C3A26"/>
    <w:rsid w:val="001C3EBF"/>
    <w:rsid w:val="001C4501"/>
    <w:rsid w:val="001C4D89"/>
    <w:rsid w:val="001C4EBC"/>
    <w:rsid w:val="001C5341"/>
    <w:rsid w:val="001C5A9D"/>
    <w:rsid w:val="001C6BC6"/>
    <w:rsid w:val="001C6DF4"/>
    <w:rsid w:val="001C6E48"/>
    <w:rsid w:val="001C71A7"/>
    <w:rsid w:val="001C79A4"/>
    <w:rsid w:val="001C7C4D"/>
    <w:rsid w:val="001C7D48"/>
    <w:rsid w:val="001C7F07"/>
    <w:rsid w:val="001D0188"/>
    <w:rsid w:val="001D069A"/>
    <w:rsid w:val="001D06AB"/>
    <w:rsid w:val="001D0AB4"/>
    <w:rsid w:val="001D2395"/>
    <w:rsid w:val="001D26FB"/>
    <w:rsid w:val="001D2944"/>
    <w:rsid w:val="001D2996"/>
    <w:rsid w:val="001D379B"/>
    <w:rsid w:val="001D4778"/>
    <w:rsid w:val="001D47E0"/>
    <w:rsid w:val="001D4BB6"/>
    <w:rsid w:val="001D5272"/>
    <w:rsid w:val="001D5739"/>
    <w:rsid w:val="001D5812"/>
    <w:rsid w:val="001D5CEE"/>
    <w:rsid w:val="001D5D8C"/>
    <w:rsid w:val="001D5F20"/>
    <w:rsid w:val="001D6207"/>
    <w:rsid w:val="001D698F"/>
    <w:rsid w:val="001D6CBC"/>
    <w:rsid w:val="001D722D"/>
    <w:rsid w:val="001D72B0"/>
    <w:rsid w:val="001E04D5"/>
    <w:rsid w:val="001E07AF"/>
    <w:rsid w:val="001E0A75"/>
    <w:rsid w:val="001E1322"/>
    <w:rsid w:val="001E1CA1"/>
    <w:rsid w:val="001E203A"/>
    <w:rsid w:val="001E238F"/>
    <w:rsid w:val="001E2672"/>
    <w:rsid w:val="001E2AD7"/>
    <w:rsid w:val="001E2B11"/>
    <w:rsid w:val="001E2C72"/>
    <w:rsid w:val="001E365E"/>
    <w:rsid w:val="001E3AEE"/>
    <w:rsid w:val="001E448E"/>
    <w:rsid w:val="001E4891"/>
    <w:rsid w:val="001E5BF7"/>
    <w:rsid w:val="001E5E37"/>
    <w:rsid w:val="001E61F4"/>
    <w:rsid w:val="001E64D5"/>
    <w:rsid w:val="001E6593"/>
    <w:rsid w:val="001E67F4"/>
    <w:rsid w:val="001E6E81"/>
    <w:rsid w:val="001E72EA"/>
    <w:rsid w:val="001E7820"/>
    <w:rsid w:val="001E7DDC"/>
    <w:rsid w:val="001F0495"/>
    <w:rsid w:val="001F099F"/>
    <w:rsid w:val="001F13F9"/>
    <w:rsid w:val="001F183B"/>
    <w:rsid w:val="001F26DF"/>
    <w:rsid w:val="001F2E96"/>
    <w:rsid w:val="001F2FFD"/>
    <w:rsid w:val="001F373C"/>
    <w:rsid w:val="001F3B71"/>
    <w:rsid w:val="001F465C"/>
    <w:rsid w:val="001F533C"/>
    <w:rsid w:val="001F5524"/>
    <w:rsid w:val="001F5706"/>
    <w:rsid w:val="001F692A"/>
    <w:rsid w:val="001F765B"/>
    <w:rsid w:val="001F7A9B"/>
    <w:rsid w:val="001F7F38"/>
    <w:rsid w:val="00200DBE"/>
    <w:rsid w:val="00200EDD"/>
    <w:rsid w:val="002010D5"/>
    <w:rsid w:val="00201ABF"/>
    <w:rsid w:val="00201D16"/>
    <w:rsid w:val="00201E28"/>
    <w:rsid w:val="00201EAF"/>
    <w:rsid w:val="0020244C"/>
    <w:rsid w:val="002027A1"/>
    <w:rsid w:val="00202BF8"/>
    <w:rsid w:val="00202F0D"/>
    <w:rsid w:val="002033E9"/>
    <w:rsid w:val="00203A9E"/>
    <w:rsid w:val="0020500E"/>
    <w:rsid w:val="002054B4"/>
    <w:rsid w:val="00205680"/>
    <w:rsid w:val="00205A06"/>
    <w:rsid w:val="002066F1"/>
    <w:rsid w:val="00206AAB"/>
    <w:rsid w:val="00207CAD"/>
    <w:rsid w:val="00207D50"/>
    <w:rsid w:val="00210002"/>
    <w:rsid w:val="00210435"/>
    <w:rsid w:val="00210498"/>
    <w:rsid w:val="00211546"/>
    <w:rsid w:val="0021159A"/>
    <w:rsid w:val="00211AEA"/>
    <w:rsid w:val="00211E8D"/>
    <w:rsid w:val="0021253D"/>
    <w:rsid w:val="0021274E"/>
    <w:rsid w:val="00214157"/>
    <w:rsid w:val="00214627"/>
    <w:rsid w:val="002158EF"/>
    <w:rsid w:val="0021592F"/>
    <w:rsid w:val="00215D89"/>
    <w:rsid w:val="00217893"/>
    <w:rsid w:val="002179E4"/>
    <w:rsid w:val="00220350"/>
    <w:rsid w:val="00220667"/>
    <w:rsid w:val="00220A76"/>
    <w:rsid w:val="00220EE5"/>
    <w:rsid w:val="00220F89"/>
    <w:rsid w:val="0022124E"/>
    <w:rsid w:val="002223AA"/>
    <w:rsid w:val="00222D11"/>
    <w:rsid w:val="00222DBD"/>
    <w:rsid w:val="002231E2"/>
    <w:rsid w:val="00223CBB"/>
    <w:rsid w:val="002240A4"/>
    <w:rsid w:val="00224306"/>
    <w:rsid w:val="00224526"/>
    <w:rsid w:val="00224A1E"/>
    <w:rsid w:val="0022510D"/>
    <w:rsid w:val="00225723"/>
    <w:rsid w:val="00226431"/>
    <w:rsid w:val="002265A2"/>
    <w:rsid w:val="002265CF"/>
    <w:rsid w:val="00226874"/>
    <w:rsid w:val="00226DF9"/>
    <w:rsid w:val="0022769C"/>
    <w:rsid w:val="00227C42"/>
    <w:rsid w:val="00227E7E"/>
    <w:rsid w:val="0023085A"/>
    <w:rsid w:val="00230A12"/>
    <w:rsid w:val="00230FF9"/>
    <w:rsid w:val="00231149"/>
    <w:rsid w:val="00231809"/>
    <w:rsid w:val="00231EC7"/>
    <w:rsid w:val="0023213E"/>
    <w:rsid w:val="0023299C"/>
    <w:rsid w:val="00232D7A"/>
    <w:rsid w:val="00232EDF"/>
    <w:rsid w:val="0023353E"/>
    <w:rsid w:val="002336A2"/>
    <w:rsid w:val="00233DAD"/>
    <w:rsid w:val="00233F66"/>
    <w:rsid w:val="002353C5"/>
    <w:rsid w:val="00235539"/>
    <w:rsid w:val="00235764"/>
    <w:rsid w:val="00235835"/>
    <w:rsid w:val="00235DA3"/>
    <w:rsid w:val="0023625F"/>
    <w:rsid w:val="00237069"/>
    <w:rsid w:val="00237788"/>
    <w:rsid w:val="00237EE0"/>
    <w:rsid w:val="00237FD5"/>
    <w:rsid w:val="002403EF"/>
    <w:rsid w:val="00240816"/>
    <w:rsid w:val="00240EB2"/>
    <w:rsid w:val="00241A97"/>
    <w:rsid w:val="00241CB2"/>
    <w:rsid w:val="0024306B"/>
    <w:rsid w:val="00245308"/>
    <w:rsid w:val="00245833"/>
    <w:rsid w:val="00245BC1"/>
    <w:rsid w:val="00245D6B"/>
    <w:rsid w:val="002460F8"/>
    <w:rsid w:val="00246519"/>
    <w:rsid w:val="00246B58"/>
    <w:rsid w:val="00246EA6"/>
    <w:rsid w:val="00247388"/>
    <w:rsid w:val="00247501"/>
    <w:rsid w:val="00247DA5"/>
    <w:rsid w:val="002501D5"/>
    <w:rsid w:val="002502E6"/>
    <w:rsid w:val="00250AFA"/>
    <w:rsid w:val="00250F5A"/>
    <w:rsid w:val="00251277"/>
    <w:rsid w:val="00251602"/>
    <w:rsid w:val="00251962"/>
    <w:rsid w:val="00251A57"/>
    <w:rsid w:val="002520A3"/>
    <w:rsid w:val="00252424"/>
    <w:rsid w:val="00252550"/>
    <w:rsid w:val="0025441B"/>
    <w:rsid w:val="00254938"/>
    <w:rsid w:val="00254A82"/>
    <w:rsid w:val="00254DA2"/>
    <w:rsid w:val="00254E43"/>
    <w:rsid w:val="00254ED5"/>
    <w:rsid w:val="00255025"/>
    <w:rsid w:val="00255E46"/>
    <w:rsid w:val="0025719F"/>
    <w:rsid w:val="002571A1"/>
    <w:rsid w:val="0025726B"/>
    <w:rsid w:val="00257E9D"/>
    <w:rsid w:val="00260A15"/>
    <w:rsid w:val="00260B2D"/>
    <w:rsid w:val="00262349"/>
    <w:rsid w:val="002628A1"/>
    <w:rsid w:val="00262AB0"/>
    <w:rsid w:val="002630AE"/>
    <w:rsid w:val="00263401"/>
    <w:rsid w:val="0026346D"/>
    <w:rsid w:val="00264CA7"/>
    <w:rsid w:val="002650BD"/>
    <w:rsid w:val="00265CEB"/>
    <w:rsid w:val="00265ED8"/>
    <w:rsid w:val="00266591"/>
    <w:rsid w:val="0026671B"/>
    <w:rsid w:val="00266A53"/>
    <w:rsid w:val="00266B05"/>
    <w:rsid w:val="00266ED5"/>
    <w:rsid w:val="0026718D"/>
    <w:rsid w:val="00267C35"/>
    <w:rsid w:val="00270340"/>
    <w:rsid w:val="0027041A"/>
    <w:rsid w:val="00270F34"/>
    <w:rsid w:val="00271CCF"/>
    <w:rsid w:val="002726C5"/>
    <w:rsid w:val="00272D89"/>
    <w:rsid w:val="00272E70"/>
    <w:rsid w:val="00273040"/>
    <w:rsid w:val="0027345A"/>
    <w:rsid w:val="00273DF4"/>
    <w:rsid w:val="0027405F"/>
    <w:rsid w:val="00274385"/>
    <w:rsid w:val="00274B42"/>
    <w:rsid w:val="00274EC0"/>
    <w:rsid w:val="00274F80"/>
    <w:rsid w:val="00275508"/>
    <w:rsid w:val="0027566C"/>
    <w:rsid w:val="00276670"/>
    <w:rsid w:val="0027694B"/>
    <w:rsid w:val="00276CB4"/>
    <w:rsid w:val="00276D61"/>
    <w:rsid w:val="0027776F"/>
    <w:rsid w:val="002777EA"/>
    <w:rsid w:val="002777ED"/>
    <w:rsid w:val="00277D77"/>
    <w:rsid w:val="0028089D"/>
    <w:rsid w:val="00280B3D"/>
    <w:rsid w:val="00281CD6"/>
    <w:rsid w:val="0028214F"/>
    <w:rsid w:val="0028370A"/>
    <w:rsid w:val="00284785"/>
    <w:rsid w:val="0028479A"/>
    <w:rsid w:val="00284CB1"/>
    <w:rsid w:val="00284F8A"/>
    <w:rsid w:val="002852D7"/>
    <w:rsid w:val="00285F68"/>
    <w:rsid w:val="002864CA"/>
    <w:rsid w:val="0028745A"/>
    <w:rsid w:val="0029024D"/>
    <w:rsid w:val="00290672"/>
    <w:rsid w:val="00291187"/>
    <w:rsid w:val="0029127F"/>
    <w:rsid w:val="002912BE"/>
    <w:rsid w:val="002917E0"/>
    <w:rsid w:val="00291CB2"/>
    <w:rsid w:val="00291D3F"/>
    <w:rsid w:val="00291E23"/>
    <w:rsid w:val="00292009"/>
    <w:rsid w:val="0029377F"/>
    <w:rsid w:val="00293E24"/>
    <w:rsid w:val="00294010"/>
    <w:rsid w:val="0029448C"/>
    <w:rsid w:val="00294629"/>
    <w:rsid w:val="00295103"/>
    <w:rsid w:val="0029539A"/>
    <w:rsid w:val="00295C37"/>
    <w:rsid w:val="002960A2"/>
    <w:rsid w:val="00296435"/>
    <w:rsid w:val="00296A94"/>
    <w:rsid w:val="002A0116"/>
    <w:rsid w:val="002A0381"/>
    <w:rsid w:val="002A06DA"/>
    <w:rsid w:val="002A08F8"/>
    <w:rsid w:val="002A0ABD"/>
    <w:rsid w:val="002A15A8"/>
    <w:rsid w:val="002A1DA9"/>
    <w:rsid w:val="002A235D"/>
    <w:rsid w:val="002A2900"/>
    <w:rsid w:val="002A3323"/>
    <w:rsid w:val="002A3A40"/>
    <w:rsid w:val="002A3A89"/>
    <w:rsid w:val="002A4246"/>
    <w:rsid w:val="002A4DB4"/>
    <w:rsid w:val="002A5069"/>
    <w:rsid w:val="002A514E"/>
    <w:rsid w:val="002A55A2"/>
    <w:rsid w:val="002A6908"/>
    <w:rsid w:val="002A6961"/>
    <w:rsid w:val="002A69A2"/>
    <w:rsid w:val="002A69A8"/>
    <w:rsid w:val="002A6B89"/>
    <w:rsid w:val="002A7198"/>
    <w:rsid w:val="002A7334"/>
    <w:rsid w:val="002A7946"/>
    <w:rsid w:val="002B0549"/>
    <w:rsid w:val="002B0818"/>
    <w:rsid w:val="002B10EC"/>
    <w:rsid w:val="002B185B"/>
    <w:rsid w:val="002B1F3B"/>
    <w:rsid w:val="002B2134"/>
    <w:rsid w:val="002B22C9"/>
    <w:rsid w:val="002B2B7A"/>
    <w:rsid w:val="002B2F47"/>
    <w:rsid w:val="002B30D0"/>
    <w:rsid w:val="002B3269"/>
    <w:rsid w:val="002B3CBE"/>
    <w:rsid w:val="002B3DD0"/>
    <w:rsid w:val="002B4309"/>
    <w:rsid w:val="002B4337"/>
    <w:rsid w:val="002B4606"/>
    <w:rsid w:val="002B4648"/>
    <w:rsid w:val="002B4938"/>
    <w:rsid w:val="002B4C69"/>
    <w:rsid w:val="002B50C1"/>
    <w:rsid w:val="002B55D4"/>
    <w:rsid w:val="002B5A35"/>
    <w:rsid w:val="002B6327"/>
    <w:rsid w:val="002B68E0"/>
    <w:rsid w:val="002B6B88"/>
    <w:rsid w:val="002B70C7"/>
    <w:rsid w:val="002B7A60"/>
    <w:rsid w:val="002C0705"/>
    <w:rsid w:val="002C13DB"/>
    <w:rsid w:val="002C1909"/>
    <w:rsid w:val="002C193D"/>
    <w:rsid w:val="002C2351"/>
    <w:rsid w:val="002C24F6"/>
    <w:rsid w:val="002C2777"/>
    <w:rsid w:val="002C27CC"/>
    <w:rsid w:val="002C40A2"/>
    <w:rsid w:val="002C419D"/>
    <w:rsid w:val="002C4BB9"/>
    <w:rsid w:val="002C5E89"/>
    <w:rsid w:val="002C602C"/>
    <w:rsid w:val="002C60AC"/>
    <w:rsid w:val="002C6742"/>
    <w:rsid w:val="002C7C32"/>
    <w:rsid w:val="002C7C40"/>
    <w:rsid w:val="002C7C57"/>
    <w:rsid w:val="002D01A6"/>
    <w:rsid w:val="002D099B"/>
    <w:rsid w:val="002D0F8C"/>
    <w:rsid w:val="002D12A9"/>
    <w:rsid w:val="002D1781"/>
    <w:rsid w:val="002D2398"/>
    <w:rsid w:val="002D272C"/>
    <w:rsid w:val="002D2933"/>
    <w:rsid w:val="002D3B12"/>
    <w:rsid w:val="002D40FC"/>
    <w:rsid w:val="002D45ED"/>
    <w:rsid w:val="002D4700"/>
    <w:rsid w:val="002D4D29"/>
    <w:rsid w:val="002D4E23"/>
    <w:rsid w:val="002D545D"/>
    <w:rsid w:val="002D54B9"/>
    <w:rsid w:val="002D68C1"/>
    <w:rsid w:val="002D730A"/>
    <w:rsid w:val="002D7F91"/>
    <w:rsid w:val="002E0FFE"/>
    <w:rsid w:val="002E10F7"/>
    <w:rsid w:val="002E137D"/>
    <w:rsid w:val="002E17EB"/>
    <w:rsid w:val="002E227F"/>
    <w:rsid w:val="002E240D"/>
    <w:rsid w:val="002E260E"/>
    <w:rsid w:val="002E387D"/>
    <w:rsid w:val="002E41F8"/>
    <w:rsid w:val="002E4776"/>
    <w:rsid w:val="002E502F"/>
    <w:rsid w:val="002E5F1B"/>
    <w:rsid w:val="002E62C4"/>
    <w:rsid w:val="002E64A1"/>
    <w:rsid w:val="002E69BA"/>
    <w:rsid w:val="002E6D4E"/>
    <w:rsid w:val="002E6F1F"/>
    <w:rsid w:val="002F0C93"/>
    <w:rsid w:val="002F11C7"/>
    <w:rsid w:val="002F1311"/>
    <w:rsid w:val="002F1BD3"/>
    <w:rsid w:val="002F1F64"/>
    <w:rsid w:val="002F1FFC"/>
    <w:rsid w:val="002F20A2"/>
    <w:rsid w:val="002F2BF9"/>
    <w:rsid w:val="002F2C8B"/>
    <w:rsid w:val="002F37FE"/>
    <w:rsid w:val="002F435F"/>
    <w:rsid w:val="002F4892"/>
    <w:rsid w:val="002F4999"/>
    <w:rsid w:val="002F4B62"/>
    <w:rsid w:val="002F4D93"/>
    <w:rsid w:val="002F69CE"/>
    <w:rsid w:val="002F6C41"/>
    <w:rsid w:val="002F6D6A"/>
    <w:rsid w:val="002F785A"/>
    <w:rsid w:val="002F7A36"/>
    <w:rsid w:val="002F7CAC"/>
    <w:rsid w:val="0030055D"/>
    <w:rsid w:val="003006AE"/>
    <w:rsid w:val="00300876"/>
    <w:rsid w:val="003013DB"/>
    <w:rsid w:val="00301A8F"/>
    <w:rsid w:val="003021C3"/>
    <w:rsid w:val="00302716"/>
    <w:rsid w:val="00302FB1"/>
    <w:rsid w:val="00303DB5"/>
    <w:rsid w:val="00303F4A"/>
    <w:rsid w:val="00304500"/>
    <w:rsid w:val="00304AB7"/>
    <w:rsid w:val="00304F67"/>
    <w:rsid w:val="003056A1"/>
    <w:rsid w:val="003057E4"/>
    <w:rsid w:val="00305A6E"/>
    <w:rsid w:val="0030619C"/>
    <w:rsid w:val="003064DE"/>
    <w:rsid w:val="00306DBD"/>
    <w:rsid w:val="0030756A"/>
    <w:rsid w:val="003102B1"/>
    <w:rsid w:val="00310539"/>
    <w:rsid w:val="00311035"/>
    <w:rsid w:val="003112A9"/>
    <w:rsid w:val="003117D7"/>
    <w:rsid w:val="00311A05"/>
    <w:rsid w:val="0031204B"/>
    <w:rsid w:val="003123CA"/>
    <w:rsid w:val="003125A9"/>
    <w:rsid w:val="00313299"/>
    <w:rsid w:val="003134AD"/>
    <w:rsid w:val="0031366F"/>
    <w:rsid w:val="00313C97"/>
    <w:rsid w:val="00313D6C"/>
    <w:rsid w:val="00314ABC"/>
    <w:rsid w:val="00314D57"/>
    <w:rsid w:val="003151A0"/>
    <w:rsid w:val="0031567F"/>
    <w:rsid w:val="00315B5D"/>
    <w:rsid w:val="00315F03"/>
    <w:rsid w:val="00316051"/>
    <w:rsid w:val="00316B09"/>
    <w:rsid w:val="00316ED3"/>
    <w:rsid w:val="003170C8"/>
    <w:rsid w:val="00321182"/>
    <w:rsid w:val="003214E1"/>
    <w:rsid w:val="00321985"/>
    <w:rsid w:val="003224D0"/>
    <w:rsid w:val="00322AD6"/>
    <w:rsid w:val="00322C57"/>
    <w:rsid w:val="00322CB8"/>
    <w:rsid w:val="00322D96"/>
    <w:rsid w:val="00322ED4"/>
    <w:rsid w:val="00323089"/>
    <w:rsid w:val="00323BBD"/>
    <w:rsid w:val="00323C88"/>
    <w:rsid w:val="00323FFB"/>
    <w:rsid w:val="0032426C"/>
    <w:rsid w:val="00324C76"/>
    <w:rsid w:val="003252C1"/>
    <w:rsid w:val="00325982"/>
    <w:rsid w:val="00325E98"/>
    <w:rsid w:val="00325FD3"/>
    <w:rsid w:val="00326274"/>
    <w:rsid w:val="0032628A"/>
    <w:rsid w:val="00326362"/>
    <w:rsid w:val="003269D8"/>
    <w:rsid w:val="00327824"/>
    <w:rsid w:val="00327D00"/>
    <w:rsid w:val="00330072"/>
    <w:rsid w:val="0033060C"/>
    <w:rsid w:val="00330752"/>
    <w:rsid w:val="00330B56"/>
    <w:rsid w:val="00330E82"/>
    <w:rsid w:val="0033164F"/>
    <w:rsid w:val="00331DA2"/>
    <w:rsid w:val="0033211C"/>
    <w:rsid w:val="003328BF"/>
    <w:rsid w:val="003329C1"/>
    <w:rsid w:val="00332E2D"/>
    <w:rsid w:val="003337F6"/>
    <w:rsid w:val="00333DA7"/>
    <w:rsid w:val="003345DF"/>
    <w:rsid w:val="00334A5B"/>
    <w:rsid w:val="003359C7"/>
    <w:rsid w:val="00335E24"/>
    <w:rsid w:val="00335F98"/>
    <w:rsid w:val="003363C2"/>
    <w:rsid w:val="00336AFC"/>
    <w:rsid w:val="00336BD5"/>
    <w:rsid w:val="00336FE6"/>
    <w:rsid w:val="003374E3"/>
    <w:rsid w:val="00337738"/>
    <w:rsid w:val="0033777C"/>
    <w:rsid w:val="00337C70"/>
    <w:rsid w:val="00337F9D"/>
    <w:rsid w:val="003403CD"/>
    <w:rsid w:val="0034041D"/>
    <w:rsid w:val="00340425"/>
    <w:rsid w:val="00340605"/>
    <w:rsid w:val="00340C1C"/>
    <w:rsid w:val="00340D9A"/>
    <w:rsid w:val="003416B3"/>
    <w:rsid w:val="00341D27"/>
    <w:rsid w:val="00341E4D"/>
    <w:rsid w:val="00343014"/>
    <w:rsid w:val="003439B4"/>
    <w:rsid w:val="00343B93"/>
    <w:rsid w:val="003444AD"/>
    <w:rsid w:val="003444B5"/>
    <w:rsid w:val="003445A4"/>
    <w:rsid w:val="003451B7"/>
    <w:rsid w:val="003453D1"/>
    <w:rsid w:val="00345496"/>
    <w:rsid w:val="00345A0F"/>
    <w:rsid w:val="00345ADC"/>
    <w:rsid w:val="003464AF"/>
    <w:rsid w:val="0034679E"/>
    <w:rsid w:val="0035002B"/>
    <w:rsid w:val="00350311"/>
    <w:rsid w:val="003506E7"/>
    <w:rsid w:val="00350E53"/>
    <w:rsid w:val="003511B3"/>
    <w:rsid w:val="003518FF"/>
    <w:rsid w:val="003520CB"/>
    <w:rsid w:val="0035250B"/>
    <w:rsid w:val="00353148"/>
    <w:rsid w:val="0035353E"/>
    <w:rsid w:val="00353649"/>
    <w:rsid w:val="00353DF5"/>
    <w:rsid w:val="00353E85"/>
    <w:rsid w:val="00354AD6"/>
    <w:rsid w:val="00354D7C"/>
    <w:rsid w:val="0035601F"/>
    <w:rsid w:val="0035673D"/>
    <w:rsid w:val="00356AB4"/>
    <w:rsid w:val="00356D23"/>
    <w:rsid w:val="00357227"/>
    <w:rsid w:val="003572DE"/>
    <w:rsid w:val="003573CD"/>
    <w:rsid w:val="003575C3"/>
    <w:rsid w:val="00357785"/>
    <w:rsid w:val="00357CAB"/>
    <w:rsid w:val="00360415"/>
    <w:rsid w:val="00360B99"/>
    <w:rsid w:val="00361577"/>
    <w:rsid w:val="0036207A"/>
    <w:rsid w:val="003621B6"/>
    <w:rsid w:val="003622B3"/>
    <w:rsid w:val="00362443"/>
    <w:rsid w:val="0036266C"/>
    <w:rsid w:val="00362B6F"/>
    <w:rsid w:val="00362F1B"/>
    <w:rsid w:val="0036309F"/>
    <w:rsid w:val="0036358D"/>
    <w:rsid w:val="00363C5A"/>
    <w:rsid w:val="00364475"/>
    <w:rsid w:val="00364A95"/>
    <w:rsid w:val="00365B6A"/>
    <w:rsid w:val="00365D44"/>
    <w:rsid w:val="003661A7"/>
    <w:rsid w:val="00366F64"/>
    <w:rsid w:val="0036726D"/>
    <w:rsid w:val="003702C1"/>
    <w:rsid w:val="003705DC"/>
    <w:rsid w:val="00370905"/>
    <w:rsid w:val="0037091C"/>
    <w:rsid w:val="00370E04"/>
    <w:rsid w:val="00371392"/>
    <w:rsid w:val="00371CC5"/>
    <w:rsid w:val="003726EE"/>
    <w:rsid w:val="00372EBF"/>
    <w:rsid w:val="00372FBE"/>
    <w:rsid w:val="00373554"/>
    <w:rsid w:val="0037425C"/>
    <w:rsid w:val="00374342"/>
    <w:rsid w:val="003746FC"/>
    <w:rsid w:val="00374C34"/>
    <w:rsid w:val="00374EA8"/>
    <w:rsid w:val="00374FFF"/>
    <w:rsid w:val="0037578B"/>
    <w:rsid w:val="00375D50"/>
    <w:rsid w:val="00375E39"/>
    <w:rsid w:val="00376453"/>
    <w:rsid w:val="00376A51"/>
    <w:rsid w:val="00376FA9"/>
    <w:rsid w:val="0037719D"/>
    <w:rsid w:val="00377C9B"/>
    <w:rsid w:val="00377CFE"/>
    <w:rsid w:val="00380505"/>
    <w:rsid w:val="003817F7"/>
    <w:rsid w:val="00381958"/>
    <w:rsid w:val="00383565"/>
    <w:rsid w:val="00384250"/>
    <w:rsid w:val="0038461D"/>
    <w:rsid w:val="003855AB"/>
    <w:rsid w:val="00385694"/>
    <w:rsid w:val="00385B5E"/>
    <w:rsid w:val="00385ED0"/>
    <w:rsid w:val="00387ABA"/>
    <w:rsid w:val="00387B6B"/>
    <w:rsid w:val="00387B74"/>
    <w:rsid w:val="00387F62"/>
    <w:rsid w:val="00390759"/>
    <w:rsid w:val="00390D8A"/>
    <w:rsid w:val="00391B3B"/>
    <w:rsid w:val="00391EB4"/>
    <w:rsid w:val="00392053"/>
    <w:rsid w:val="0039213D"/>
    <w:rsid w:val="0039234C"/>
    <w:rsid w:val="003923B4"/>
    <w:rsid w:val="00392541"/>
    <w:rsid w:val="00392751"/>
    <w:rsid w:val="00392D4A"/>
    <w:rsid w:val="00392F7C"/>
    <w:rsid w:val="003938D8"/>
    <w:rsid w:val="00393EB4"/>
    <w:rsid w:val="00394FE1"/>
    <w:rsid w:val="0039615A"/>
    <w:rsid w:val="00396E41"/>
    <w:rsid w:val="003A0439"/>
    <w:rsid w:val="003A1326"/>
    <w:rsid w:val="003A14BE"/>
    <w:rsid w:val="003A1786"/>
    <w:rsid w:val="003A1D87"/>
    <w:rsid w:val="003A1E12"/>
    <w:rsid w:val="003A21D5"/>
    <w:rsid w:val="003A261D"/>
    <w:rsid w:val="003A38E7"/>
    <w:rsid w:val="003A3A43"/>
    <w:rsid w:val="003A3AB4"/>
    <w:rsid w:val="003A3D65"/>
    <w:rsid w:val="003A3E18"/>
    <w:rsid w:val="003A4406"/>
    <w:rsid w:val="003A49D2"/>
    <w:rsid w:val="003A4D89"/>
    <w:rsid w:val="003A5502"/>
    <w:rsid w:val="003A5CC3"/>
    <w:rsid w:val="003A5E3C"/>
    <w:rsid w:val="003A73AF"/>
    <w:rsid w:val="003B0DA2"/>
    <w:rsid w:val="003B0FAD"/>
    <w:rsid w:val="003B1164"/>
    <w:rsid w:val="003B12E4"/>
    <w:rsid w:val="003B1341"/>
    <w:rsid w:val="003B1442"/>
    <w:rsid w:val="003B148E"/>
    <w:rsid w:val="003B224A"/>
    <w:rsid w:val="003B25EB"/>
    <w:rsid w:val="003B2BE8"/>
    <w:rsid w:val="003B2DF9"/>
    <w:rsid w:val="003B35FF"/>
    <w:rsid w:val="003B3DC1"/>
    <w:rsid w:val="003B475F"/>
    <w:rsid w:val="003B4B88"/>
    <w:rsid w:val="003B4D07"/>
    <w:rsid w:val="003B53EF"/>
    <w:rsid w:val="003B549E"/>
    <w:rsid w:val="003B5848"/>
    <w:rsid w:val="003B5DC1"/>
    <w:rsid w:val="003B617F"/>
    <w:rsid w:val="003B6253"/>
    <w:rsid w:val="003B64BD"/>
    <w:rsid w:val="003B7365"/>
    <w:rsid w:val="003B788F"/>
    <w:rsid w:val="003C012D"/>
    <w:rsid w:val="003C0C96"/>
    <w:rsid w:val="003C1972"/>
    <w:rsid w:val="003C1D55"/>
    <w:rsid w:val="003C2903"/>
    <w:rsid w:val="003C2B8D"/>
    <w:rsid w:val="003C337E"/>
    <w:rsid w:val="003C3E3C"/>
    <w:rsid w:val="003C3E4C"/>
    <w:rsid w:val="003C423E"/>
    <w:rsid w:val="003C4419"/>
    <w:rsid w:val="003C478D"/>
    <w:rsid w:val="003C4B13"/>
    <w:rsid w:val="003C4CEE"/>
    <w:rsid w:val="003C4D00"/>
    <w:rsid w:val="003C541D"/>
    <w:rsid w:val="003C5863"/>
    <w:rsid w:val="003C5DE9"/>
    <w:rsid w:val="003C5E64"/>
    <w:rsid w:val="003C70B5"/>
    <w:rsid w:val="003C7D9A"/>
    <w:rsid w:val="003D018C"/>
    <w:rsid w:val="003D02EE"/>
    <w:rsid w:val="003D0391"/>
    <w:rsid w:val="003D0749"/>
    <w:rsid w:val="003D0781"/>
    <w:rsid w:val="003D0B6D"/>
    <w:rsid w:val="003D0CB9"/>
    <w:rsid w:val="003D0E3C"/>
    <w:rsid w:val="003D139D"/>
    <w:rsid w:val="003D2C83"/>
    <w:rsid w:val="003D2F6E"/>
    <w:rsid w:val="003D3A64"/>
    <w:rsid w:val="003D3EF8"/>
    <w:rsid w:val="003D420C"/>
    <w:rsid w:val="003D4222"/>
    <w:rsid w:val="003D472B"/>
    <w:rsid w:val="003D5656"/>
    <w:rsid w:val="003D5E0C"/>
    <w:rsid w:val="003D63E1"/>
    <w:rsid w:val="003D643F"/>
    <w:rsid w:val="003D66E1"/>
    <w:rsid w:val="003D79CB"/>
    <w:rsid w:val="003D7E54"/>
    <w:rsid w:val="003E045B"/>
    <w:rsid w:val="003E0460"/>
    <w:rsid w:val="003E0B15"/>
    <w:rsid w:val="003E12A8"/>
    <w:rsid w:val="003E134C"/>
    <w:rsid w:val="003E20FE"/>
    <w:rsid w:val="003E2550"/>
    <w:rsid w:val="003E261A"/>
    <w:rsid w:val="003E2793"/>
    <w:rsid w:val="003E2963"/>
    <w:rsid w:val="003E34FA"/>
    <w:rsid w:val="003E3628"/>
    <w:rsid w:val="003E37F2"/>
    <w:rsid w:val="003E3936"/>
    <w:rsid w:val="003E3C83"/>
    <w:rsid w:val="003E3D61"/>
    <w:rsid w:val="003E4331"/>
    <w:rsid w:val="003E4B81"/>
    <w:rsid w:val="003E5E4B"/>
    <w:rsid w:val="003E67CF"/>
    <w:rsid w:val="003E73F1"/>
    <w:rsid w:val="003E7419"/>
    <w:rsid w:val="003E7A42"/>
    <w:rsid w:val="003E7FB2"/>
    <w:rsid w:val="003F18AE"/>
    <w:rsid w:val="003F18EF"/>
    <w:rsid w:val="003F1DF3"/>
    <w:rsid w:val="003F1E7C"/>
    <w:rsid w:val="003F2545"/>
    <w:rsid w:val="003F2933"/>
    <w:rsid w:val="003F2CE2"/>
    <w:rsid w:val="003F3743"/>
    <w:rsid w:val="003F39F6"/>
    <w:rsid w:val="003F3C1C"/>
    <w:rsid w:val="003F4641"/>
    <w:rsid w:val="003F4AF7"/>
    <w:rsid w:val="003F4ED6"/>
    <w:rsid w:val="003F5133"/>
    <w:rsid w:val="003F52AA"/>
    <w:rsid w:val="003F559E"/>
    <w:rsid w:val="003F5CCF"/>
    <w:rsid w:val="003F5E33"/>
    <w:rsid w:val="003F5F50"/>
    <w:rsid w:val="003F603D"/>
    <w:rsid w:val="003F6C47"/>
    <w:rsid w:val="003F7140"/>
    <w:rsid w:val="003F749B"/>
    <w:rsid w:val="003F754B"/>
    <w:rsid w:val="003F77A9"/>
    <w:rsid w:val="003F7BC7"/>
    <w:rsid w:val="003F7D3B"/>
    <w:rsid w:val="00400A50"/>
    <w:rsid w:val="00400D91"/>
    <w:rsid w:val="00401E38"/>
    <w:rsid w:val="00402DC9"/>
    <w:rsid w:val="00402E0E"/>
    <w:rsid w:val="00403853"/>
    <w:rsid w:val="004040CE"/>
    <w:rsid w:val="004058E3"/>
    <w:rsid w:val="00405A0B"/>
    <w:rsid w:val="00405F2D"/>
    <w:rsid w:val="00406180"/>
    <w:rsid w:val="004061F7"/>
    <w:rsid w:val="00406779"/>
    <w:rsid w:val="00406E01"/>
    <w:rsid w:val="00407254"/>
    <w:rsid w:val="00407D8E"/>
    <w:rsid w:val="00410084"/>
    <w:rsid w:val="004101AE"/>
    <w:rsid w:val="00410267"/>
    <w:rsid w:val="00411CE0"/>
    <w:rsid w:val="00412902"/>
    <w:rsid w:val="00412977"/>
    <w:rsid w:val="00412C34"/>
    <w:rsid w:val="00412DCA"/>
    <w:rsid w:val="004139DD"/>
    <w:rsid w:val="00415D3C"/>
    <w:rsid w:val="00415D74"/>
    <w:rsid w:val="00415F8D"/>
    <w:rsid w:val="00416322"/>
    <w:rsid w:val="004163B3"/>
    <w:rsid w:val="004164C4"/>
    <w:rsid w:val="004173F2"/>
    <w:rsid w:val="004179EB"/>
    <w:rsid w:val="00417A96"/>
    <w:rsid w:val="00420112"/>
    <w:rsid w:val="004201E9"/>
    <w:rsid w:val="0042044B"/>
    <w:rsid w:val="00420A9F"/>
    <w:rsid w:val="00420AF7"/>
    <w:rsid w:val="00420C24"/>
    <w:rsid w:val="004210AB"/>
    <w:rsid w:val="00421303"/>
    <w:rsid w:val="004218E1"/>
    <w:rsid w:val="00422308"/>
    <w:rsid w:val="004223C3"/>
    <w:rsid w:val="004228BF"/>
    <w:rsid w:val="00422C71"/>
    <w:rsid w:val="00422E74"/>
    <w:rsid w:val="004244C6"/>
    <w:rsid w:val="00424CD4"/>
    <w:rsid w:val="00425413"/>
    <w:rsid w:val="0042585C"/>
    <w:rsid w:val="004258A9"/>
    <w:rsid w:val="00425BDB"/>
    <w:rsid w:val="00425EBD"/>
    <w:rsid w:val="004263C0"/>
    <w:rsid w:val="004267B1"/>
    <w:rsid w:val="00427266"/>
    <w:rsid w:val="004274A8"/>
    <w:rsid w:val="00427F03"/>
    <w:rsid w:val="00430983"/>
    <w:rsid w:val="00430BA5"/>
    <w:rsid w:val="00431061"/>
    <w:rsid w:val="004319CF"/>
    <w:rsid w:val="004322F9"/>
    <w:rsid w:val="00432A64"/>
    <w:rsid w:val="00433059"/>
    <w:rsid w:val="00433090"/>
    <w:rsid w:val="00433968"/>
    <w:rsid w:val="00433B59"/>
    <w:rsid w:val="004341C6"/>
    <w:rsid w:val="0043487F"/>
    <w:rsid w:val="00434961"/>
    <w:rsid w:val="004351E0"/>
    <w:rsid w:val="00435EFD"/>
    <w:rsid w:val="00435F67"/>
    <w:rsid w:val="00436491"/>
    <w:rsid w:val="00436955"/>
    <w:rsid w:val="00436A1C"/>
    <w:rsid w:val="00437061"/>
    <w:rsid w:val="004371E8"/>
    <w:rsid w:val="00437383"/>
    <w:rsid w:val="004402CA"/>
    <w:rsid w:val="004416F1"/>
    <w:rsid w:val="00441A36"/>
    <w:rsid w:val="00443073"/>
    <w:rsid w:val="00443F54"/>
    <w:rsid w:val="00444230"/>
    <w:rsid w:val="004445AC"/>
    <w:rsid w:val="0044460A"/>
    <w:rsid w:val="004446EB"/>
    <w:rsid w:val="00444969"/>
    <w:rsid w:val="004454DE"/>
    <w:rsid w:val="0044554C"/>
    <w:rsid w:val="00445FF8"/>
    <w:rsid w:val="004461E0"/>
    <w:rsid w:val="00447367"/>
    <w:rsid w:val="00450239"/>
    <w:rsid w:val="0045060D"/>
    <w:rsid w:val="00450C9D"/>
    <w:rsid w:val="004517A4"/>
    <w:rsid w:val="00451F71"/>
    <w:rsid w:val="004524CC"/>
    <w:rsid w:val="00452DD6"/>
    <w:rsid w:val="004531A3"/>
    <w:rsid w:val="0045350B"/>
    <w:rsid w:val="004535C4"/>
    <w:rsid w:val="00454412"/>
    <w:rsid w:val="00455368"/>
    <w:rsid w:val="0045542C"/>
    <w:rsid w:val="00455D89"/>
    <w:rsid w:val="00456C02"/>
    <w:rsid w:val="00456CAC"/>
    <w:rsid w:val="0045718E"/>
    <w:rsid w:val="00457A3D"/>
    <w:rsid w:val="004605B5"/>
    <w:rsid w:val="0046095C"/>
    <w:rsid w:val="0046179A"/>
    <w:rsid w:val="004617D2"/>
    <w:rsid w:val="004624D2"/>
    <w:rsid w:val="00462BD2"/>
    <w:rsid w:val="00462F4F"/>
    <w:rsid w:val="00463074"/>
    <w:rsid w:val="0046366B"/>
    <w:rsid w:val="004637AC"/>
    <w:rsid w:val="00463880"/>
    <w:rsid w:val="00464071"/>
    <w:rsid w:val="00464577"/>
    <w:rsid w:val="00464D8E"/>
    <w:rsid w:val="00465966"/>
    <w:rsid w:val="00467C80"/>
    <w:rsid w:val="00467CBF"/>
    <w:rsid w:val="0047041F"/>
    <w:rsid w:val="004713CE"/>
    <w:rsid w:val="0047141D"/>
    <w:rsid w:val="004714A7"/>
    <w:rsid w:val="004717E2"/>
    <w:rsid w:val="0047180A"/>
    <w:rsid w:val="004718D3"/>
    <w:rsid w:val="00471B49"/>
    <w:rsid w:val="004724B7"/>
    <w:rsid w:val="004727A7"/>
    <w:rsid w:val="00473331"/>
    <w:rsid w:val="00473517"/>
    <w:rsid w:val="00473A02"/>
    <w:rsid w:val="00473D59"/>
    <w:rsid w:val="00474330"/>
    <w:rsid w:val="00474DDF"/>
    <w:rsid w:val="0047519A"/>
    <w:rsid w:val="004754B3"/>
    <w:rsid w:val="00475A30"/>
    <w:rsid w:val="00475E51"/>
    <w:rsid w:val="00476631"/>
    <w:rsid w:val="00476A88"/>
    <w:rsid w:val="00476B86"/>
    <w:rsid w:val="004772BD"/>
    <w:rsid w:val="00477381"/>
    <w:rsid w:val="004773AE"/>
    <w:rsid w:val="004800D9"/>
    <w:rsid w:val="00480612"/>
    <w:rsid w:val="00480B0E"/>
    <w:rsid w:val="004810E3"/>
    <w:rsid w:val="00482BC1"/>
    <w:rsid w:val="00482FD5"/>
    <w:rsid w:val="00483137"/>
    <w:rsid w:val="0048369A"/>
    <w:rsid w:val="00483A0A"/>
    <w:rsid w:val="00483D61"/>
    <w:rsid w:val="004849B2"/>
    <w:rsid w:val="00484A09"/>
    <w:rsid w:val="00484A8B"/>
    <w:rsid w:val="0048525A"/>
    <w:rsid w:val="00485617"/>
    <w:rsid w:val="00485704"/>
    <w:rsid w:val="00485D13"/>
    <w:rsid w:val="00485D18"/>
    <w:rsid w:val="0048646B"/>
    <w:rsid w:val="004869CF"/>
    <w:rsid w:val="00487604"/>
    <w:rsid w:val="004876EA"/>
    <w:rsid w:val="004879DB"/>
    <w:rsid w:val="00487CB6"/>
    <w:rsid w:val="00490B62"/>
    <w:rsid w:val="00490D21"/>
    <w:rsid w:val="00490D25"/>
    <w:rsid w:val="00490D45"/>
    <w:rsid w:val="00490FB8"/>
    <w:rsid w:val="00491549"/>
    <w:rsid w:val="00492060"/>
    <w:rsid w:val="0049223F"/>
    <w:rsid w:val="0049249E"/>
    <w:rsid w:val="00492669"/>
    <w:rsid w:val="0049395E"/>
    <w:rsid w:val="00493B61"/>
    <w:rsid w:val="00494708"/>
    <w:rsid w:val="00494A1C"/>
    <w:rsid w:val="00494E25"/>
    <w:rsid w:val="00494F02"/>
    <w:rsid w:val="0049507F"/>
    <w:rsid w:val="004955AE"/>
    <w:rsid w:val="004955BC"/>
    <w:rsid w:val="00495804"/>
    <w:rsid w:val="00495886"/>
    <w:rsid w:val="00495BF5"/>
    <w:rsid w:val="00495ECB"/>
    <w:rsid w:val="004961AB"/>
    <w:rsid w:val="00496534"/>
    <w:rsid w:val="00496720"/>
    <w:rsid w:val="00496C45"/>
    <w:rsid w:val="00497E49"/>
    <w:rsid w:val="004A0354"/>
    <w:rsid w:val="004A036D"/>
    <w:rsid w:val="004A03B1"/>
    <w:rsid w:val="004A0BB5"/>
    <w:rsid w:val="004A1232"/>
    <w:rsid w:val="004A17D3"/>
    <w:rsid w:val="004A2164"/>
    <w:rsid w:val="004A2573"/>
    <w:rsid w:val="004A28B9"/>
    <w:rsid w:val="004A2AA3"/>
    <w:rsid w:val="004A2B77"/>
    <w:rsid w:val="004A2D54"/>
    <w:rsid w:val="004A2DF7"/>
    <w:rsid w:val="004A2E4F"/>
    <w:rsid w:val="004A35B7"/>
    <w:rsid w:val="004A392F"/>
    <w:rsid w:val="004A3963"/>
    <w:rsid w:val="004A451E"/>
    <w:rsid w:val="004A45BB"/>
    <w:rsid w:val="004A4E84"/>
    <w:rsid w:val="004A4E94"/>
    <w:rsid w:val="004A5565"/>
    <w:rsid w:val="004A562B"/>
    <w:rsid w:val="004A5EEA"/>
    <w:rsid w:val="004A5F77"/>
    <w:rsid w:val="004A6709"/>
    <w:rsid w:val="004A694A"/>
    <w:rsid w:val="004A6B29"/>
    <w:rsid w:val="004A7177"/>
    <w:rsid w:val="004A741A"/>
    <w:rsid w:val="004A7555"/>
    <w:rsid w:val="004A79EB"/>
    <w:rsid w:val="004B05AB"/>
    <w:rsid w:val="004B0A40"/>
    <w:rsid w:val="004B13CC"/>
    <w:rsid w:val="004B1AE2"/>
    <w:rsid w:val="004B1D52"/>
    <w:rsid w:val="004B2681"/>
    <w:rsid w:val="004B3AC0"/>
    <w:rsid w:val="004B3AE3"/>
    <w:rsid w:val="004B3BD9"/>
    <w:rsid w:val="004B4D88"/>
    <w:rsid w:val="004B4FA6"/>
    <w:rsid w:val="004B5D7E"/>
    <w:rsid w:val="004B5E4A"/>
    <w:rsid w:val="004B66ED"/>
    <w:rsid w:val="004B69AD"/>
    <w:rsid w:val="004B7AAE"/>
    <w:rsid w:val="004B7C93"/>
    <w:rsid w:val="004C01A9"/>
    <w:rsid w:val="004C0CA4"/>
    <w:rsid w:val="004C0F98"/>
    <w:rsid w:val="004C1519"/>
    <w:rsid w:val="004C1703"/>
    <w:rsid w:val="004C1CD5"/>
    <w:rsid w:val="004C2720"/>
    <w:rsid w:val="004C3329"/>
    <w:rsid w:val="004C364B"/>
    <w:rsid w:val="004C36F8"/>
    <w:rsid w:val="004C384F"/>
    <w:rsid w:val="004C3F49"/>
    <w:rsid w:val="004C465C"/>
    <w:rsid w:val="004C4B7E"/>
    <w:rsid w:val="004C5481"/>
    <w:rsid w:val="004C5A2E"/>
    <w:rsid w:val="004C6420"/>
    <w:rsid w:val="004C6886"/>
    <w:rsid w:val="004C68FC"/>
    <w:rsid w:val="004C6D6C"/>
    <w:rsid w:val="004C7CB9"/>
    <w:rsid w:val="004D01D4"/>
    <w:rsid w:val="004D19C7"/>
    <w:rsid w:val="004D2204"/>
    <w:rsid w:val="004D2822"/>
    <w:rsid w:val="004D2FE3"/>
    <w:rsid w:val="004D3106"/>
    <w:rsid w:val="004D3BC2"/>
    <w:rsid w:val="004D3C3B"/>
    <w:rsid w:val="004D3C78"/>
    <w:rsid w:val="004D4866"/>
    <w:rsid w:val="004D52EF"/>
    <w:rsid w:val="004D5A15"/>
    <w:rsid w:val="004D6454"/>
    <w:rsid w:val="004D71A5"/>
    <w:rsid w:val="004D7621"/>
    <w:rsid w:val="004D7A82"/>
    <w:rsid w:val="004E026A"/>
    <w:rsid w:val="004E02DC"/>
    <w:rsid w:val="004E09DB"/>
    <w:rsid w:val="004E1911"/>
    <w:rsid w:val="004E2EEE"/>
    <w:rsid w:val="004E3084"/>
    <w:rsid w:val="004E351A"/>
    <w:rsid w:val="004E3B5E"/>
    <w:rsid w:val="004E3D53"/>
    <w:rsid w:val="004E42D3"/>
    <w:rsid w:val="004E42F8"/>
    <w:rsid w:val="004E4F24"/>
    <w:rsid w:val="004E517E"/>
    <w:rsid w:val="004E59C9"/>
    <w:rsid w:val="004E5A00"/>
    <w:rsid w:val="004E5FF5"/>
    <w:rsid w:val="004E65CF"/>
    <w:rsid w:val="004E6A3E"/>
    <w:rsid w:val="004E6C4F"/>
    <w:rsid w:val="004E6D43"/>
    <w:rsid w:val="004E6F0C"/>
    <w:rsid w:val="004E747F"/>
    <w:rsid w:val="004E7A92"/>
    <w:rsid w:val="004E7CC9"/>
    <w:rsid w:val="004F0181"/>
    <w:rsid w:val="004F082F"/>
    <w:rsid w:val="004F0B9A"/>
    <w:rsid w:val="004F0DBC"/>
    <w:rsid w:val="004F153F"/>
    <w:rsid w:val="004F15E8"/>
    <w:rsid w:val="004F16BF"/>
    <w:rsid w:val="004F196C"/>
    <w:rsid w:val="004F19A9"/>
    <w:rsid w:val="004F2562"/>
    <w:rsid w:val="004F3ED9"/>
    <w:rsid w:val="004F454E"/>
    <w:rsid w:val="004F512D"/>
    <w:rsid w:val="004F539C"/>
    <w:rsid w:val="004F618B"/>
    <w:rsid w:val="004F6205"/>
    <w:rsid w:val="004F6F69"/>
    <w:rsid w:val="004F716C"/>
    <w:rsid w:val="004F787B"/>
    <w:rsid w:val="004F7893"/>
    <w:rsid w:val="004F7C25"/>
    <w:rsid w:val="0050026F"/>
    <w:rsid w:val="005002F7"/>
    <w:rsid w:val="005005C4"/>
    <w:rsid w:val="00501168"/>
    <w:rsid w:val="00501176"/>
    <w:rsid w:val="0050162E"/>
    <w:rsid w:val="005018DE"/>
    <w:rsid w:val="00501991"/>
    <w:rsid w:val="00501D82"/>
    <w:rsid w:val="00503130"/>
    <w:rsid w:val="00503AC2"/>
    <w:rsid w:val="0050461F"/>
    <w:rsid w:val="00505334"/>
    <w:rsid w:val="00505A0A"/>
    <w:rsid w:val="00505C0E"/>
    <w:rsid w:val="00505CFF"/>
    <w:rsid w:val="00505F18"/>
    <w:rsid w:val="00506081"/>
    <w:rsid w:val="005067CA"/>
    <w:rsid w:val="00506983"/>
    <w:rsid w:val="00507393"/>
    <w:rsid w:val="00507470"/>
    <w:rsid w:val="005074A4"/>
    <w:rsid w:val="00507D07"/>
    <w:rsid w:val="00510B1A"/>
    <w:rsid w:val="00510C50"/>
    <w:rsid w:val="00510EC2"/>
    <w:rsid w:val="0051100B"/>
    <w:rsid w:val="005110F4"/>
    <w:rsid w:val="005114C8"/>
    <w:rsid w:val="0051154E"/>
    <w:rsid w:val="005116AF"/>
    <w:rsid w:val="00511CA2"/>
    <w:rsid w:val="00512147"/>
    <w:rsid w:val="00512623"/>
    <w:rsid w:val="0051267C"/>
    <w:rsid w:val="00512BDB"/>
    <w:rsid w:val="00512F10"/>
    <w:rsid w:val="005134AB"/>
    <w:rsid w:val="005142F5"/>
    <w:rsid w:val="0051457F"/>
    <w:rsid w:val="00514E5C"/>
    <w:rsid w:val="005157C1"/>
    <w:rsid w:val="00516319"/>
    <w:rsid w:val="005166D4"/>
    <w:rsid w:val="005171D2"/>
    <w:rsid w:val="00517A4B"/>
    <w:rsid w:val="00517AC6"/>
    <w:rsid w:val="00520BC1"/>
    <w:rsid w:val="00521167"/>
    <w:rsid w:val="00521360"/>
    <w:rsid w:val="0052136C"/>
    <w:rsid w:val="00521472"/>
    <w:rsid w:val="005214D4"/>
    <w:rsid w:val="0052172F"/>
    <w:rsid w:val="005217DB"/>
    <w:rsid w:val="005217E6"/>
    <w:rsid w:val="005217EC"/>
    <w:rsid w:val="005224D7"/>
    <w:rsid w:val="00522B6B"/>
    <w:rsid w:val="00523532"/>
    <w:rsid w:val="005235A7"/>
    <w:rsid w:val="005236C1"/>
    <w:rsid w:val="005238BE"/>
    <w:rsid w:val="00523FF2"/>
    <w:rsid w:val="00524044"/>
    <w:rsid w:val="005240D9"/>
    <w:rsid w:val="00524781"/>
    <w:rsid w:val="00524B7A"/>
    <w:rsid w:val="00524E67"/>
    <w:rsid w:val="00525794"/>
    <w:rsid w:val="00525839"/>
    <w:rsid w:val="00525A9A"/>
    <w:rsid w:val="00526136"/>
    <w:rsid w:val="00526746"/>
    <w:rsid w:val="00527216"/>
    <w:rsid w:val="00527D25"/>
    <w:rsid w:val="005303E8"/>
    <w:rsid w:val="005305D7"/>
    <w:rsid w:val="00530797"/>
    <w:rsid w:val="00530CFD"/>
    <w:rsid w:val="00530E19"/>
    <w:rsid w:val="00530F80"/>
    <w:rsid w:val="0053116B"/>
    <w:rsid w:val="005313F8"/>
    <w:rsid w:val="00532184"/>
    <w:rsid w:val="005326CD"/>
    <w:rsid w:val="005329CE"/>
    <w:rsid w:val="0053300A"/>
    <w:rsid w:val="005334D8"/>
    <w:rsid w:val="00533831"/>
    <w:rsid w:val="005343D8"/>
    <w:rsid w:val="00534476"/>
    <w:rsid w:val="00534927"/>
    <w:rsid w:val="00534F8F"/>
    <w:rsid w:val="00534F94"/>
    <w:rsid w:val="005351FB"/>
    <w:rsid w:val="00535655"/>
    <w:rsid w:val="00535908"/>
    <w:rsid w:val="00535B8C"/>
    <w:rsid w:val="00535C6F"/>
    <w:rsid w:val="00535D27"/>
    <w:rsid w:val="00535E62"/>
    <w:rsid w:val="005364AF"/>
    <w:rsid w:val="0053676B"/>
    <w:rsid w:val="0054013B"/>
    <w:rsid w:val="005401A3"/>
    <w:rsid w:val="005406D7"/>
    <w:rsid w:val="005414D3"/>
    <w:rsid w:val="005415F8"/>
    <w:rsid w:val="00541670"/>
    <w:rsid w:val="00541CBC"/>
    <w:rsid w:val="005423E9"/>
    <w:rsid w:val="005424B6"/>
    <w:rsid w:val="00542A66"/>
    <w:rsid w:val="00542DD9"/>
    <w:rsid w:val="00543812"/>
    <w:rsid w:val="0054392A"/>
    <w:rsid w:val="00543F1C"/>
    <w:rsid w:val="005443B1"/>
    <w:rsid w:val="00544D69"/>
    <w:rsid w:val="00544F58"/>
    <w:rsid w:val="00545127"/>
    <w:rsid w:val="0054653F"/>
    <w:rsid w:val="00546F1C"/>
    <w:rsid w:val="00547A7A"/>
    <w:rsid w:val="00547CEA"/>
    <w:rsid w:val="00547E83"/>
    <w:rsid w:val="00547ECA"/>
    <w:rsid w:val="00547F13"/>
    <w:rsid w:val="00550150"/>
    <w:rsid w:val="005508CB"/>
    <w:rsid w:val="00551093"/>
    <w:rsid w:val="005511EF"/>
    <w:rsid w:val="0055221A"/>
    <w:rsid w:val="005522E1"/>
    <w:rsid w:val="0055294A"/>
    <w:rsid w:val="00552AE7"/>
    <w:rsid w:val="00552E8F"/>
    <w:rsid w:val="005536B8"/>
    <w:rsid w:val="00553F99"/>
    <w:rsid w:val="005548F1"/>
    <w:rsid w:val="00555736"/>
    <w:rsid w:val="005562E4"/>
    <w:rsid w:val="00556E49"/>
    <w:rsid w:val="005579A6"/>
    <w:rsid w:val="00557CE9"/>
    <w:rsid w:val="00557E93"/>
    <w:rsid w:val="005604B0"/>
    <w:rsid w:val="00560B34"/>
    <w:rsid w:val="00560EF5"/>
    <w:rsid w:val="00561013"/>
    <w:rsid w:val="0056151D"/>
    <w:rsid w:val="0056178E"/>
    <w:rsid w:val="00561A30"/>
    <w:rsid w:val="00561AA2"/>
    <w:rsid w:val="00562507"/>
    <w:rsid w:val="005628BF"/>
    <w:rsid w:val="00562EFB"/>
    <w:rsid w:val="005644EE"/>
    <w:rsid w:val="00564A7E"/>
    <w:rsid w:val="00564B2C"/>
    <w:rsid w:val="00565566"/>
    <w:rsid w:val="0056564A"/>
    <w:rsid w:val="005658FE"/>
    <w:rsid w:val="005660EC"/>
    <w:rsid w:val="0056663A"/>
    <w:rsid w:val="00567F7C"/>
    <w:rsid w:val="005701AF"/>
    <w:rsid w:val="00570B5F"/>
    <w:rsid w:val="005712B2"/>
    <w:rsid w:val="0057180A"/>
    <w:rsid w:val="0057184D"/>
    <w:rsid w:val="00572864"/>
    <w:rsid w:val="005736E6"/>
    <w:rsid w:val="00573818"/>
    <w:rsid w:val="005739B0"/>
    <w:rsid w:val="0057502F"/>
    <w:rsid w:val="005754EE"/>
    <w:rsid w:val="0057571D"/>
    <w:rsid w:val="00575F52"/>
    <w:rsid w:val="0057657D"/>
    <w:rsid w:val="00576C25"/>
    <w:rsid w:val="00576F2D"/>
    <w:rsid w:val="00576F80"/>
    <w:rsid w:val="00577228"/>
    <w:rsid w:val="005774A3"/>
    <w:rsid w:val="005776B5"/>
    <w:rsid w:val="00577AC6"/>
    <w:rsid w:val="00580C45"/>
    <w:rsid w:val="00581056"/>
    <w:rsid w:val="0058109F"/>
    <w:rsid w:val="005812DB"/>
    <w:rsid w:val="00581911"/>
    <w:rsid w:val="00581C93"/>
    <w:rsid w:val="00581CA3"/>
    <w:rsid w:val="00582A1B"/>
    <w:rsid w:val="00582AD2"/>
    <w:rsid w:val="00582D07"/>
    <w:rsid w:val="005831DD"/>
    <w:rsid w:val="005832D7"/>
    <w:rsid w:val="005833A0"/>
    <w:rsid w:val="005834EB"/>
    <w:rsid w:val="0058357F"/>
    <w:rsid w:val="005838B2"/>
    <w:rsid w:val="00583B4F"/>
    <w:rsid w:val="00583B7D"/>
    <w:rsid w:val="00583CD4"/>
    <w:rsid w:val="005845BD"/>
    <w:rsid w:val="00584CF7"/>
    <w:rsid w:val="00586372"/>
    <w:rsid w:val="00587213"/>
    <w:rsid w:val="0058735B"/>
    <w:rsid w:val="0058739F"/>
    <w:rsid w:val="00587556"/>
    <w:rsid w:val="00587566"/>
    <w:rsid w:val="0058792E"/>
    <w:rsid w:val="0059066E"/>
    <w:rsid w:val="00590DFF"/>
    <w:rsid w:val="005913FD"/>
    <w:rsid w:val="0059370B"/>
    <w:rsid w:val="005938E1"/>
    <w:rsid w:val="00593A45"/>
    <w:rsid w:val="00593AFA"/>
    <w:rsid w:val="00594430"/>
    <w:rsid w:val="00594924"/>
    <w:rsid w:val="0059551A"/>
    <w:rsid w:val="00595562"/>
    <w:rsid w:val="00595D25"/>
    <w:rsid w:val="00595F71"/>
    <w:rsid w:val="00595FDE"/>
    <w:rsid w:val="0059656B"/>
    <w:rsid w:val="00596624"/>
    <w:rsid w:val="00597AEE"/>
    <w:rsid w:val="005A0785"/>
    <w:rsid w:val="005A14E2"/>
    <w:rsid w:val="005A2529"/>
    <w:rsid w:val="005A2D2B"/>
    <w:rsid w:val="005A33A0"/>
    <w:rsid w:val="005A3835"/>
    <w:rsid w:val="005A4D4A"/>
    <w:rsid w:val="005A4F1C"/>
    <w:rsid w:val="005A5F6F"/>
    <w:rsid w:val="005A6189"/>
    <w:rsid w:val="005A67C8"/>
    <w:rsid w:val="005A790E"/>
    <w:rsid w:val="005A7F8C"/>
    <w:rsid w:val="005B0606"/>
    <w:rsid w:val="005B0746"/>
    <w:rsid w:val="005B1D0A"/>
    <w:rsid w:val="005B2369"/>
    <w:rsid w:val="005B2A9A"/>
    <w:rsid w:val="005B3DD9"/>
    <w:rsid w:val="005B422C"/>
    <w:rsid w:val="005B4372"/>
    <w:rsid w:val="005B47A0"/>
    <w:rsid w:val="005B48BE"/>
    <w:rsid w:val="005B5023"/>
    <w:rsid w:val="005B507E"/>
    <w:rsid w:val="005B536B"/>
    <w:rsid w:val="005B613E"/>
    <w:rsid w:val="005B724A"/>
    <w:rsid w:val="005B780C"/>
    <w:rsid w:val="005B7FE0"/>
    <w:rsid w:val="005C0226"/>
    <w:rsid w:val="005C0389"/>
    <w:rsid w:val="005C0692"/>
    <w:rsid w:val="005C1184"/>
    <w:rsid w:val="005C1531"/>
    <w:rsid w:val="005C1884"/>
    <w:rsid w:val="005C2447"/>
    <w:rsid w:val="005C275B"/>
    <w:rsid w:val="005C2999"/>
    <w:rsid w:val="005C2EDC"/>
    <w:rsid w:val="005C3489"/>
    <w:rsid w:val="005C3D4E"/>
    <w:rsid w:val="005C46A4"/>
    <w:rsid w:val="005C562B"/>
    <w:rsid w:val="005C57E8"/>
    <w:rsid w:val="005C5D44"/>
    <w:rsid w:val="005C5F6A"/>
    <w:rsid w:val="005C642C"/>
    <w:rsid w:val="005C653D"/>
    <w:rsid w:val="005C6790"/>
    <w:rsid w:val="005C695A"/>
    <w:rsid w:val="005C6DEB"/>
    <w:rsid w:val="005C72FF"/>
    <w:rsid w:val="005C77AD"/>
    <w:rsid w:val="005C7A58"/>
    <w:rsid w:val="005C7B98"/>
    <w:rsid w:val="005D09BB"/>
    <w:rsid w:val="005D0B56"/>
    <w:rsid w:val="005D0F99"/>
    <w:rsid w:val="005D1300"/>
    <w:rsid w:val="005D30DA"/>
    <w:rsid w:val="005D3126"/>
    <w:rsid w:val="005D3480"/>
    <w:rsid w:val="005D374E"/>
    <w:rsid w:val="005D392B"/>
    <w:rsid w:val="005D43F2"/>
    <w:rsid w:val="005D4ADE"/>
    <w:rsid w:val="005D5269"/>
    <w:rsid w:val="005D5366"/>
    <w:rsid w:val="005D598E"/>
    <w:rsid w:val="005D6C74"/>
    <w:rsid w:val="005D6FD9"/>
    <w:rsid w:val="005D7067"/>
    <w:rsid w:val="005D7C86"/>
    <w:rsid w:val="005E0029"/>
    <w:rsid w:val="005E04AE"/>
    <w:rsid w:val="005E07B2"/>
    <w:rsid w:val="005E141F"/>
    <w:rsid w:val="005E1F9F"/>
    <w:rsid w:val="005E228E"/>
    <w:rsid w:val="005E2920"/>
    <w:rsid w:val="005E3B18"/>
    <w:rsid w:val="005E3DA1"/>
    <w:rsid w:val="005E3ED0"/>
    <w:rsid w:val="005E4155"/>
    <w:rsid w:val="005E729C"/>
    <w:rsid w:val="005E74D0"/>
    <w:rsid w:val="005F0C5A"/>
    <w:rsid w:val="005F1597"/>
    <w:rsid w:val="005F16AC"/>
    <w:rsid w:val="005F3079"/>
    <w:rsid w:val="005F3A9F"/>
    <w:rsid w:val="005F3B84"/>
    <w:rsid w:val="005F3DDB"/>
    <w:rsid w:val="005F3E82"/>
    <w:rsid w:val="005F3EE5"/>
    <w:rsid w:val="005F4483"/>
    <w:rsid w:val="005F490B"/>
    <w:rsid w:val="005F4C06"/>
    <w:rsid w:val="005F4DF9"/>
    <w:rsid w:val="005F516B"/>
    <w:rsid w:val="005F6150"/>
    <w:rsid w:val="005F6178"/>
    <w:rsid w:val="005F6D26"/>
    <w:rsid w:val="005F719D"/>
    <w:rsid w:val="005F76E1"/>
    <w:rsid w:val="005F78DD"/>
    <w:rsid w:val="005F7CB6"/>
    <w:rsid w:val="005F7FBB"/>
    <w:rsid w:val="0060144C"/>
    <w:rsid w:val="00601946"/>
    <w:rsid w:val="00602BD9"/>
    <w:rsid w:val="00602E5B"/>
    <w:rsid w:val="0060338F"/>
    <w:rsid w:val="00604174"/>
    <w:rsid w:val="00604498"/>
    <w:rsid w:val="006044BE"/>
    <w:rsid w:val="006044CF"/>
    <w:rsid w:val="006048AC"/>
    <w:rsid w:val="006053F2"/>
    <w:rsid w:val="006055D2"/>
    <w:rsid w:val="00605725"/>
    <w:rsid w:val="006066C6"/>
    <w:rsid w:val="00606A71"/>
    <w:rsid w:val="00606DDC"/>
    <w:rsid w:val="006071C2"/>
    <w:rsid w:val="00607987"/>
    <w:rsid w:val="00607CE1"/>
    <w:rsid w:val="00610352"/>
    <w:rsid w:val="00610417"/>
    <w:rsid w:val="0061048A"/>
    <w:rsid w:val="00611504"/>
    <w:rsid w:val="006118B1"/>
    <w:rsid w:val="00611ACE"/>
    <w:rsid w:val="00611ECF"/>
    <w:rsid w:val="006126F9"/>
    <w:rsid w:val="00612CA2"/>
    <w:rsid w:val="006137D1"/>
    <w:rsid w:val="006138A9"/>
    <w:rsid w:val="00613935"/>
    <w:rsid w:val="00613B50"/>
    <w:rsid w:val="00613BD4"/>
    <w:rsid w:val="00613BDE"/>
    <w:rsid w:val="0061481C"/>
    <w:rsid w:val="00614BBF"/>
    <w:rsid w:val="006159F3"/>
    <w:rsid w:val="00615A05"/>
    <w:rsid w:val="00615FB4"/>
    <w:rsid w:val="00616206"/>
    <w:rsid w:val="00616F51"/>
    <w:rsid w:val="00617393"/>
    <w:rsid w:val="006177D8"/>
    <w:rsid w:val="00617A8F"/>
    <w:rsid w:val="00620263"/>
    <w:rsid w:val="0062092B"/>
    <w:rsid w:val="006213CF"/>
    <w:rsid w:val="0062142C"/>
    <w:rsid w:val="00622597"/>
    <w:rsid w:val="006225DC"/>
    <w:rsid w:val="00622DB6"/>
    <w:rsid w:val="00623380"/>
    <w:rsid w:val="00623D56"/>
    <w:rsid w:val="00623FB2"/>
    <w:rsid w:val="0062435B"/>
    <w:rsid w:val="006252DE"/>
    <w:rsid w:val="00625B39"/>
    <w:rsid w:val="00626AD3"/>
    <w:rsid w:val="00626F46"/>
    <w:rsid w:val="00626F6F"/>
    <w:rsid w:val="006274FA"/>
    <w:rsid w:val="0062759A"/>
    <w:rsid w:val="00627A6F"/>
    <w:rsid w:val="00627B08"/>
    <w:rsid w:val="00627CE4"/>
    <w:rsid w:val="00627DDC"/>
    <w:rsid w:val="00627E64"/>
    <w:rsid w:val="00630719"/>
    <w:rsid w:val="006308E8"/>
    <w:rsid w:val="00630FB6"/>
    <w:rsid w:val="00631096"/>
    <w:rsid w:val="00631D1B"/>
    <w:rsid w:val="0063297E"/>
    <w:rsid w:val="00632A31"/>
    <w:rsid w:val="006331BF"/>
    <w:rsid w:val="006334EE"/>
    <w:rsid w:val="006335D3"/>
    <w:rsid w:val="0063453E"/>
    <w:rsid w:val="006350C0"/>
    <w:rsid w:val="0063562C"/>
    <w:rsid w:val="0063586A"/>
    <w:rsid w:val="0063617F"/>
    <w:rsid w:val="00636522"/>
    <w:rsid w:val="00637842"/>
    <w:rsid w:val="006410F0"/>
    <w:rsid w:val="00641160"/>
    <w:rsid w:val="006419F5"/>
    <w:rsid w:val="00641C31"/>
    <w:rsid w:val="00641EF5"/>
    <w:rsid w:val="00642032"/>
    <w:rsid w:val="00642766"/>
    <w:rsid w:val="0064282C"/>
    <w:rsid w:val="006429CD"/>
    <w:rsid w:val="006433B2"/>
    <w:rsid w:val="006441F3"/>
    <w:rsid w:val="00644429"/>
    <w:rsid w:val="00644587"/>
    <w:rsid w:val="00644974"/>
    <w:rsid w:val="006449D0"/>
    <w:rsid w:val="00644BBE"/>
    <w:rsid w:val="00644C9E"/>
    <w:rsid w:val="00644F03"/>
    <w:rsid w:val="00645773"/>
    <w:rsid w:val="00645A9A"/>
    <w:rsid w:val="00645D09"/>
    <w:rsid w:val="00646185"/>
    <w:rsid w:val="00646617"/>
    <w:rsid w:val="006466E7"/>
    <w:rsid w:val="006468FC"/>
    <w:rsid w:val="006469E1"/>
    <w:rsid w:val="00647068"/>
    <w:rsid w:val="00647D5E"/>
    <w:rsid w:val="00647E07"/>
    <w:rsid w:val="00647EDB"/>
    <w:rsid w:val="00647FEC"/>
    <w:rsid w:val="00650041"/>
    <w:rsid w:val="00650063"/>
    <w:rsid w:val="006500B0"/>
    <w:rsid w:val="0065027F"/>
    <w:rsid w:val="0065034C"/>
    <w:rsid w:val="00650534"/>
    <w:rsid w:val="006513EE"/>
    <w:rsid w:val="00651458"/>
    <w:rsid w:val="006514E6"/>
    <w:rsid w:val="00651CA0"/>
    <w:rsid w:val="006521B6"/>
    <w:rsid w:val="00652620"/>
    <w:rsid w:val="00652BBB"/>
    <w:rsid w:val="0065323C"/>
    <w:rsid w:val="006535A0"/>
    <w:rsid w:val="00653709"/>
    <w:rsid w:val="00653A9C"/>
    <w:rsid w:val="00653DF2"/>
    <w:rsid w:val="00654DDB"/>
    <w:rsid w:val="006550EF"/>
    <w:rsid w:val="00655814"/>
    <w:rsid w:val="00655CFC"/>
    <w:rsid w:val="00656899"/>
    <w:rsid w:val="00656992"/>
    <w:rsid w:val="00656AB6"/>
    <w:rsid w:val="00656ABC"/>
    <w:rsid w:val="006572C4"/>
    <w:rsid w:val="0065759E"/>
    <w:rsid w:val="00657611"/>
    <w:rsid w:val="0065763F"/>
    <w:rsid w:val="00657F2B"/>
    <w:rsid w:val="00660030"/>
    <w:rsid w:val="006606A9"/>
    <w:rsid w:val="00660705"/>
    <w:rsid w:val="00660C94"/>
    <w:rsid w:val="00660D5A"/>
    <w:rsid w:val="00662214"/>
    <w:rsid w:val="006622B7"/>
    <w:rsid w:val="00662DB1"/>
    <w:rsid w:val="006630AC"/>
    <w:rsid w:val="00663BEF"/>
    <w:rsid w:val="00663C1C"/>
    <w:rsid w:val="006643CE"/>
    <w:rsid w:val="00664C43"/>
    <w:rsid w:val="00664CFD"/>
    <w:rsid w:val="00664FE0"/>
    <w:rsid w:val="00665012"/>
    <w:rsid w:val="00665288"/>
    <w:rsid w:val="006659B9"/>
    <w:rsid w:val="00665C1E"/>
    <w:rsid w:val="00666105"/>
    <w:rsid w:val="00666D81"/>
    <w:rsid w:val="00667112"/>
    <w:rsid w:val="00667163"/>
    <w:rsid w:val="006675B7"/>
    <w:rsid w:val="00667B27"/>
    <w:rsid w:val="00667D41"/>
    <w:rsid w:val="00667FB2"/>
    <w:rsid w:val="00670147"/>
    <w:rsid w:val="00670494"/>
    <w:rsid w:val="006704A5"/>
    <w:rsid w:val="00670840"/>
    <w:rsid w:val="00670BE4"/>
    <w:rsid w:val="006720E4"/>
    <w:rsid w:val="0067248A"/>
    <w:rsid w:val="006726BB"/>
    <w:rsid w:val="00672C21"/>
    <w:rsid w:val="00672E76"/>
    <w:rsid w:val="00674252"/>
    <w:rsid w:val="006744A7"/>
    <w:rsid w:val="00674E84"/>
    <w:rsid w:val="0067500F"/>
    <w:rsid w:val="006752AB"/>
    <w:rsid w:val="00675C9B"/>
    <w:rsid w:val="00676160"/>
    <w:rsid w:val="00676504"/>
    <w:rsid w:val="0067693E"/>
    <w:rsid w:val="00676965"/>
    <w:rsid w:val="0067775B"/>
    <w:rsid w:val="0068024F"/>
    <w:rsid w:val="00680294"/>
    <w:rsid w:val="00680422"/>
    <w:rsid w:val="00680ADB"/>
    <w:rsid w:val="00680F2B"/>
    <w:rsid w:val="006816ED"/>
    <w:rsid w:val="0068171A"/>
    <w:rsid w:val="00681F1E"/>
    <w:rsid w:val="006823BA"/>
    <w:rsid w:val="006823E5"/>
    <w:rsid w:val="00682464"/>
    <w:rsid w:val="006827EA"/>
    <w:rsid w:val="0068294D"/>
    <w:rsid w:val="00682BC2"/>
    <w:rsid w:val="00682C0F"/>
    <w:rsid w:val="006830A0"/>
    <w:rsid w:val="0068333D"/>
    <w:rsid w:val="006835E3"/>
    <w:rsid w:val="00683644"/>
    <w:rsid w:val="0068387B"/>
    <w:rsid w:val="0068391D"/>
    <w:rsid w:val="00684234"/>
    <w:rsid w:val="006847BC"/>
    <w:rsid w:val="00684DC2"/>
    <w:rsid w:val="006853FA"/>
    <w:rsid w:val="00685677"/>
    <w:rsid w:val="00685722"/>
    <w:rsid w:val="00685AD4"/>
    <w:rsid w:val="00685B90"/>
    <w:rsid w:val="00685E62"/>
    <w:rsid w:val="00686556"/>
    <w:rsid w:val="006879A6"/>
    <w:rsid w:val="006906F8"/>
    <w:rsid w:val="00690C8C"/>
    <w:rsid w:val="00690D40"/>
    <w:rsid w:val="00691988"/>
    <w:rsid w:val="00691BB7"/>
    <w:rsid w:val="00691F27"/>
    <w:rsid w:val="0069244D"/>
    <w:rsid w:val="0069258A"/>
    <w:rsid w:val="006927C9"/>
    <w:rsid w:val="00692DD5"/>
    <w:rsid w:val="00692DEA"/>
    <w:rsid w:val="00692F7E"/>
    <w:rsid w:val="0069369A"/>
    <w:rsid w:val="00693887"/>
    <w:rsid w:val="00693931"/>
    <w:rsid w:val="00693D27"/>
    <w:rsid w:val="00694133"/>
    <w:rsid w:val="0069448F"/>
    <w:rsid w:val="00694B32"/>
    <w:rsid w:val="00695FCE"/>
    <w:rsid w:val="0069722A"/>
    <w:rsid w:val="00697385"/>
    <w:rsid w:val="00697A82"/>
    <w:rsid w:val="006A06A4"/>
    <w:rsid w:val="006A08DC"/>
    <w:rsid w:val="006A10BF"/>
    <w:rsid w:val="006A1852"/>
    <w:rsid w:val="006A1D3D"/>
    <w:rsid w:val="006A1F9A"/>
    <w:rsid w:val="006A2124"/>
    <w:rsid w:val="006A33BC"/>
    <w:rsid w:val="006A3586"/>
    <w:rsid w:val="006A4476"/>
    <w:rsid w:val="006A4BD4"/>
    <w:rsid w:val="006A4D99"/>
    <w:rsid w:val="006A5062"/>
    <w:rsid w:val="006A535E"/>
    <w:rsid w:val="006A5A6C"/>
    <w:rsid w:val="006A5E7E"/>
    <w:rsid w:val="006A6B8F"/>
    <w:rsid w:val="006A6D9C"/>
    <w:rsid w:val="006B02EA"/>
    <w:rsid w:val="006B05E4"/>
    <w:rsid w:val="006B0621"/>
    <w:rsid w:val="006B09B7"/>
    <w:rsid w:val="006B0AFA"/>
    <w:rsid w:val="006B1CD9"/>
    <w:rsid w:val="006B2131"/>
    <w:rsid w:val="006B23C1"/>
    <w:rsid w:val="006B279F"/>
    <w:rsid w:val="006B448C"/>
    <w:rsid w:val="006B4493"/>
    <w:rsid w:val="006B48C3"/>
    <w:rsid w:val="006B5584"/>
    <w:rsid w:val="006B5676"/>
    <w:rsid w:val="006B5794"/>
    <w:rsid w:val="006B62A6"/>
    <w:rsid w:val="006B62BD"/>
    <w:rsid w:val="006B6937"/>
    <w:rsid w:val="006B6DCA"/>
    <w:rsid w:val="006B72AD"/>
    <w:rsid w:val="006B736A"/>
    <w:rsid w:val="006B785F"/>
    <w:rsid w:val="006C139A"/>
    <w:rsid w:val="006C1EA6"/>
    <w:rsid w:val="006C2214"/>
    <w:rsid w:val="006C2262"/>
    <w:rsid w:val="006C283E"/>
    <w:rsid w:val="006C2B29"/>
    <w:rsid w:val="006C2C26"/>
    <w:rsid w:val="006C2E11"/>
    <w:rsid w:val="006C3001"/>
    <w:rsid w:val="006C315E"/>
    <w:rsid w:val="006C3481"/>
    <w:rsid w:val="006C35BD"/>
    <w:rsid w:val="006C399A"/>
    <w:rsid w:val="006C3A6E"/>
    <w:rsid w:val="006C467C"/>
    <w:rsid w:val="006C4887"/>
    <w:rsid w:val="006C49C7"/>
    <w:rsid w:val="006C5397"/>
    <w:rsid w:val="006C55B1"/>
    <w:rsid w:val="006C573C"/>
    <w:rsid w:val="006C5A3D"/>
    <w:rsid w:val="006C5AC6"/>
    <w:rsid w:val="006C5BAD"/>
    <w:rsid w:val="006C5E55"/>
    <w:rsid w:val="006C5F5B"/>
    <w:rsid w:val="006C6141"/>
    <w:rsid w:val="006C6458"/>
    <w:rsid w:val="006C684A"/>
    <w:rsid w:val="006C6974"/>
    <w:rsid w:val="006C76FF"/>
    <w:rsid w:val="006C7A01"/>
    <w:rsid w:val="006C7AB6"/>
    <w:rsid w:val="006C7AD3"/>
    <w:rsid w:val="006C7B30"/>
    <w:rsid w:val="006C7C9F"/>
    <w:rsid w:val="006D05EE"/>
    <w:rsid w:val="006D0868"/>
    <w:rsid w:val="006D08A0"/>
    <w:rsid w:val="006D15F5"/>
    <w:rsid w:val="006D173E"/>
    <w:rsid w:val="006D18F1"/>
    <w:rsid w:val="006D2542"/>
    <w:rsid w:val="006D2671"/>
    <w:rsid w:val="006D2B2E"/>
    <w:rsid w:val="006D2BAD"/>
    <w:rsid w:val="006D37C8"/>
    <w:rsid w:val="006D3BC0"/>
    <w:rsid w:val="006D421E"/>
    <w:rsid w:val="006D4E2F"/>
    <w:rsid w:val="006D4F9A"/>
    <w:rsid w:val="006D5615"/>
    <w:rsid w:val="006D5951"/>
    <w:rsid w:val="006D5EE2"/>
    <w:rsid w:val="006D5F2F"/>
    <w:rsid w:val="006D6750"/>
    <w:rsid w:val="006D68A3"/>
    <w:rsid w:val="006D6F97"/>
    <w:rsid w:val="006D75A2"/>
    <w:rsid w:val="006E0C2E"/>
    <w:rsid w:val="006E0C4E"/>
    <w:rsid w:val="006E0CD7"/>
    <w:rsid w:val="006E1CD4"/>
    <w:rsid w:val="006E1FB6"/>
    <w:rsid w:val="006E2590"/>
    <w:rsid w:val="006E2A87"/>
    <w:rsid w:val="006E2EBA"/>
    <w:rsid w:val="006E3072"/>
    <w:rsid w:val="006E353D"/>
    <w:rsid w:val="006E3636"/>
    <w:rsid w:val="006E3CBE"/>
    <w:rsid w:val="006E3F03"/>
    <w:rsid w:val="006E41F4"/>
    <w:rsid w:val="006E4318"/>
    <w:rsid w:val="006E45E5"/>
    <w:rsid w:val="006E48D1"/>
    <w:rsid w:val="006E48D3"/>
    <w:rsid w:val="006E4AB5"/>
    <w:rsid w:val="006E4E44"/>
    <w:rsid w:val="006E4E99"/>
    <w:rsid w:val="006E52D4"/>
    <w:rsid w:val="006E534D"/>
    <w:rsid w:val="006E59BB"/>
    <w:rsid w:val="006E5C8B"/>
    <w:rsid w:val="006E5F63"/>
    <w:rsid w:val="006E6020"/>
    <w:rsid w:val="006E6C6D"/>
    <w:rsid w:val="006E6E66"/>
    <w:rsid w:val="006E7402"/>
    <w:rsid w:val="006E7583"/>
    <w:rsid w:val="006E793A"/>
    <w:rsid w:val="006E7B6B"/>
    <w:rsid w:val="006E7D91"/>
    <w:rsid w:val="006F04AA"/>
    <w:rsid w:val="006F05A9"/>
    <w:rsid w:val="006F0C18"/>
    <w:rsid w:val="006F0DDD"/>
    <w:rsid w:val="006F0E5F"/>
    <w:rsid w:val="006F16EC"/>
    <w:rsid w:val="006F1B9E"/>
    <w:rsid w:val="006F23DC"/>
    <w:rsid w:val="006F2A6A"/>
    <w:rsid w:val="006F3ABE"/>
    <w:rsid w:val="006F3DFD"/>
    <w:rsid w:val="006F40FF"/>
    <w:rsid w:val="006F4C7A"/>
    <w:rsid w:val="006F6460"/>
    <w:rsid w:val="006F66DD"/>
    <w:rsid w:val="006F738C"/>
    <w:rsid w:val="006F7ACC"/>
    <w:rsid w:val="006F7C83"/>
    <w:rsid w:val="00700D09"/>
    <w:rsid w:val="007010D3"/>
    <w:rsid w:val="00701848"/>
    <w:rsid w:val="00702271"/>
    <w:rsid w:val="007029A6"/>
    <w:rsid w:val="00702D6B"/>
    <w:rsid w:val="00702DC9"/>
    <w:rsid w:val="007056A8"/>
    <w:rsid w:val="00705DBE"/>
    <w:rsid w:val="00705FA0"/>
    <w:rsid w:val="007063F3"/>
    <w:rsid w:val="007070BD"/>
    <w:rsid w:val="00707204"/>
    <w:rsid w:val="0070757E"/>
    <w:rsid w:val="007078AF"/>
    <w:rsid w:val="00707A2D"/>
    <w:rsid w:val="00707FAC"/>
    <w:rsid w:val="007100E2"/>
    <w:rsid w:val="0071044E"/>
    <w:rsid w:val="00710593"/>
    <w:rsid w:val="00710931"/>
    <w:rsid w:val="00711066"/>
    <w:rsid w:val="00711B8C"/>
    <w:rsid w:val="00711EB9"/>
    <w:rsid w:val="00713254"/>
    <w:rsid w:val="007134A7"/>
    <w:rsid w:val="0071357E"/>
    <w:rsid w:val="007138F8"/>
    <w:rsid w:val="00713951"/>
    <w:rsid w:val="00713D11"/>
    <w:rsid w:val="00713D21"/>
    <w:rsid w:val="00713D95"/>
    <w:rsid w:val="00713EE0"/>
    <w:rsid w:val="00714B35"/>
    <w:rsid w:val="00714D26"/>
    <w:rsid w:val="00715083"/>
    <w:rsid w:val="0071554E"/>
    <w:rsid w:val="0071568C"/>
    <w:rsid w:val="0071594F"/>
    <w:rsid w:val="00715D74"/>
    <w:rsid w:val="00715EDD"/>
    <w:rsid w:val="0071601F"/>
    <w:rsid w:val="007162B3"/>
    <w:rsid w:val="007164D5"/>
    <w:rsid w:val="007165F6"/>
    <w:rsid w:val="007166CD"/>
    <w:rsid w:val="00716F8C"/>
    <w:rsid w:val="00717485"/>
    <w:rsid w:val="00717637"/>
    <w:rsid w:val="00717A36"/>
    <w:rsid w:val="00717EF3"/>
    <w:rsid w:val="00717FFE"/>
    <w:rsid w:val="007204FA"/>
    <w:rsid w:val="00720A89"/>
    <w:rsid w:val="00720D7E"/>
    <w:rsid w:val="00721CB5"/>
    <w:rsid w:val="00721D77"/>
    <w:rsid w:val="007223A7"/>
    <w:rsid w:val="00722B05"/>
    <w:rsid w:val="00723133"/>
    <w:rsid w:val="007233F9"/>
    <w:rsid w:val="00724658"/>
    <w:rsid w:val="00724AFE"/>
    <w:rsid w:val="00724FC8"/>
    <w:rsid w:val="0072505A"/>
    <w:rsid w:val="0072613D"/>
    <w:rsid w:val="00726846"/>
    <w:rsid w:val="00727CF7"/>
    <w:rsid w:val="0073055C"/>
    <w:rsid w:val="00730608"/>
    <w:rsid w:val="007308E2"/>
    <w:rsid w:val="00730D4E"/>
    <w:rsid w:val="00730F3A"/>
    <w:rsid w:val="00731730"/>
    <w:rsid w:val="0073225F"/>
    <w:rsid w:val="00732554"/>
    <w:rsid w:val="00732ACF"/>
    <w:rsid w:val="00734C8E"/>
    <w:rsid w:val="00734EF4"/>
    <w:rsid w:val="00735140"/>
    <w:rsid w:val="00735248"/>
    <w:rsid w:val="0073546C"/>
    <w:rsid w:val="00736808"/>
    <w:rsid w:val="007371AF"/>
    <w:rsid w:val="00737519"/>
    <w:rsid w:val="007377FF"/>
    <w:rsid w:val="007378A9"/>
    <w:rsid w:val="00737A4D"/>
    <w:rsid w:val="00737DE1"/>
    <w:rsid w:val="00740061"/>
    <w:rsid w:val="007400EE"/>
    <w:rsid w:val="00741329"/>
    <w:rsid w:val="00741838"/>
    <w:rsid w:val="00741AA9"/>
    <w:rsid w:val="00742225"/>
    <w:rsid w:val="007422FF"/>
    <w:rsid w:val="00743960"/>
    <w:rsid w:val="00743C34"/>
    <w:rsid w:val="00744243"/>
    <w:rsid w:val="007449BD"/>
    <w:rsid w:val="00744B73"/>
    <w:rsid w:val="00744EDE"/>
    <w:rsid w:val="007454A7"/>
    <w:rsid w:val="007459FB"/>
    <w:rsid w:val="007467F0"/>
    <w:rsid w:val="00746E1E"/>
    <w:rsid w:val="00750040"/>
    <w:rsid w:val="0075063B"/>
    <w:rsid w:val="00750697"/>
    <w:rsid w:val="00750B61"/>
    <w:rsid w:val="00751433"/>
    <w:rsid w:val="0075150D"/>
    <w:rsid w:val="007517AA"/>
    <w:rsid w:val="00752934"/>
    <w:rsid w:val="00752B74"/>
    <w:rsid w:val="00752C2B"/>
    <w:rsid w:val="00752EC9"/>
    <w:rsid w:val="00753279"/>
    <w:rsid w:val="007538E3"/>
    <w:rsid w:val="00753ABC"/>
    <w:rsid w:val="00754533"/>
    <w:rsid w:val="00754B03"/>
    <w:rsid w:val="00754ED8"/>
    <w:rsid w:val="007555A5"/>
    <w:rsid w:val="00756121"/>
    <w:rsid w:val="00756150"/>
    <w:rsid w:val="007561C6"/>
    <w:rsid w:val="00756AF2"/>
    <w:rsid w:val="007573DE"/>
    <w:rsid w:val="00757898"/>
    <w:rsid w:val="00757CE9"/>
    <w:rsid w:val="007611DC"/>
    <w:rsid w:val="0076161B"/>
    <w:rsid w:val="00761A0C"/>
    <w:rsid w:val="007620A2"/>
    <w:rsid w:val="00762680"/>
    <w:rsid w:val="00762B97"/>
    <w:rsid w:val="00762CB3"/>
    <w:rsid w:val="00762DD2"/>
    <w:rsid w:val="0076371D"/>
    <w:rsid w:val="007637D5"/>
    <w:rsid w:val="00763B3C"/>
    <w:rsid w:val="00763C8D"/>
    <w:rsid w:val="00763FF0"/>
    <w:rsid w:val="00764142"/>
    <w:rsid w:val="0076502D"/>
    <w:rsid w:val="00765164"/>
    <w:rsid w:val="00765247"/>
    <w:rsid w:val="0076602F"/>
    <w:rsid w:val="0076627B"/>
    <w:rsid w:val="00766793"/>
    <w:rsid w:val="007668B8"/>
    <w:rsid w:val="00766D61"/>
    <w:rsid w:val="0076730F"/>
    <w:rsid w:val="00767EE5"/>
    <w:rsid w:val="00770116"/>
    <w:rsid w:val="007703A6"/>
    <w:rsid w:val="0077059B"/>
    <w:rsid w:val="00770ABF"/>
    <w:rsid w:val="00771ED7"/>
    <w:rsid w:val="00772CF9"/>
    <w:rsid w:val="00773112"/>
    <w:rsid w:val="007738FC"/>
    <w:rsid w:val="007747CB"/>
    <w:rsid w:val="00774F1D"/>
    <w:rsid w:val="0077505A"/>
    <w:rsid w:val="007759F1"/>
    <w:rsid w:val="00775CA0"/>
    <w:rsid w:val="007764C8"/>
    <w:rsid w:val="0077714C"/>
    <w:rsid w:val="007773EF"/>
    <w:rsid w:val="007775A8"/>
    <w:rsid w:val="00777FC3"/>
    <w:rsid w:val="007801B5"/>
    <w:rsid w:val="0078053D"/>
    <w:rsid w:val="007812A5"/>
    <w:rsid w:val="007817AF"/>
    <w:rsid w:val="00781D49"/>
    <w:rsid w:val="007825D1"/>
    <w:rsid w:val="0078290A"/>
    <w:rsid w:val="00782BA6"/>
    <w:rsid w:val="00782D0A"/>
    <w:rsid w:val="00783A42"/>
    <w:rsid w:val="00783A81"/>
    <w:rsid w:val="00783BA6"/>
    <w:rsid w:val="00783BDA"/>
    <w:rsid w:val="00784207"/>
    <w:rsid w:val="00784D04"/>
    <w:rsid w:val="00786067"/>
    <w:rsid w:val="007861D4"/>
    <w:rsid w:val="00786532"/>
    <w:rsid w:val="00786980"/>
    <w:rsid w:val="00787C5B"/>
    <w:rsid w:val="00787E48"/>
    <w:rsid w:val="0079022E"/>
    <w:rsid w:val="007902F8"/>
    <w:rsid w:val="007906A2"/>
    <w:rsid w:val="007907B3"/>
    <w:rsid w:val="00790E0B"/>
    <w:rsid w:val="007911EE"/>
    <w:rsid w:val="007917E7"/>
    <w:rsid w:val="00791C4B"/>
    <w:rsid w:val="00792CFA"/>
    <w:rsid w:val="00793249"/>
    <w:rsid w:val="007934FB"/>
    <w:rsid w:val="0079371B"/>
    <w:rsid w:val="00793EA5"/>
    <w:rsid w:val="00794205"/>
    <w:rsid w:val="007942A4"/>
    <w:rsid w:val="007945A8"/>
    <w:rsid w:val="00794784"/>
    <w:rsid w:val="00794A51"/>
    <w:rsid w:val="00794C5B"/>
    <w:rsid w:val="007950F3"/>
    <w:rsid w:val="0079538B"/>
    <w:rsid w:val="007953F8"/>
    <w:rsid w:val="007962C7"/>
    <w:rsid w:val="0079686D"/>
    <w:rsid w:val="0079695B"/>
    <w:rsid w:val="00797883"/>
    <w:rsid w:val="00797E45"/>
    <w:rsid w:val="00797EE4"/>
    <w:rsid w:val="00797F89"/>
    <w:rsid w:val="007A0AE3"/>
    <w:rsid w:val="007A0C7D"/>
    <w:rsid w:val="007A0E92"/>
    <w:rsid w:val="007A1C9B"/>
    <w:rsid w:val="007A1F51"/>
    <w:rsid w:val="007A22B1"/>
    <w:rsid w:val="007A232B"/>
    <w:rsid w:val="007A28AC"/>
    <w:rsid w:val="007A2FFB"/>
    <w:rsid w:val="007A3F9F"/>
    <w:rsid w:val="007A4409"/>
    <w:rsid w:val="007A47B1"/>
    <w:rsid w:val="007A50F3"/>
    <w:rsid w:val="007A519B"/>
    <w:rsid w:val="007A5A08"/>
    <w:rsid w:val="007A5A85"/>
    <w:rsid w:val="007A5DF7"/>
    <w:rsid w:val="007A64E3"/>
    <w:rsid w:val="007A676F"/>
    <w:rsid w:val="007A6AFB"/>
    <w:rsid w:val="007A6DE6"/>
    <w:rsid w:val="007A6FBD"/>
    <w:rsid w:val="007A73D0"/>
    <w:rsid w:val="007A7599"/>
    <w:rsid w:val="007A78A3"/>
    <w:rsid w:val="007A7DB0"/>
    <w:rsid w:val="007B0053"/>
    <w:rsid w:val="007B01C2"/>
    <w:rsid w:val="007B072E"/>
    <w:rsid w:val="007B0BD9"/>
    <w:rsid w:val="007B1609"/>
    <w:rsid w:val="007B1F7C"/>
    <w:rsid w:val="007B26AA"/>
    <w:rsid w:val="007B29A8"/>
    <w:rsid w:val="007B29AE"/>
    <w:rsid w:val="007B29C9"/>
    <w:rsid w:val="007B2BCA"/>
    <w:rsid w:val="007B2ED3"/>
    <w:rsid w:val="007B35AD"/>
    <w:rsid w:val="007B3B7F"/>
    <w:rsid w:val="007B3D11"/>
    <w:rsid w:val="007B4073"/>
    <w:rsid w:val="007B4126"/>
    <w:rsid w:val="007B4A64"/>
    <w:rsid w:val="007B5267"/>
    <w:rsid w:val="007B5557"/>
    <w:rsid w:val="007B568C"/>
    <w:rsid w:val="007B5869"/>
    <w:rsid w:val="007B59C2"/>
    <w:rsid w:val="007B5F53"/>
    <w:rsid w:val="007B61DE"/>
    <w:rsid w:val="007B738D"/>
    <w:rsid w:val="007B7556"/>
    <w:rsid w:val="007B7702"/>
    <w:rsid w:val="007B7741"/>
    <w:rsid w:val="007B7C98"/>
    <w:rsid w:val="007C0009"/>
    <w:rsid w:val="007C0AD1"/>
    <w:rsid w:val="007C0FE7"/>
    <w:rsid w:val="007C156B"/>
    <w:rsid w:val="007C161A"/>
    <w:rsid w:val="007C1B73"/>
    <w:rsid w:val="007C1DC1"/>
    <w:rsid w:val="007C25D1"/>
    <w:rsid w:val="007C2A5E"/>
    <w:rsid w:val="007C2DC9"/>
    <w:rsid w:val="007C339B"/>
    <w:rsid w:val="007C3ED8"/>
    <w:rsid w:val="007C541B"/>
    <w:rsid w:val="007C58D2"/>
    <w:rsid w:val="007C6666"/>
    <w:rsid w:val="007C6AD7"/>
    <w:rsid w:val="007C6AF9"/>
    <w:rsid w:val="007C6DFF"/>
    <w:rsid w:val="007C7734"/>
    <w:rsid w:val="007C7868"/>
    <w:rsid w:val="007C791A"/>
    <w:rsid w:val="007D051F"/>
    <w:rsid w:val="007D0A4D"/>
    <w:rsid w:val="007D0DF5"/>
    <w:rsid w:val="007D1DDC"/>
    <w:rsid w:val="007D31C7"/>
    <w:rsid w:val="007D3589"/>
    <w:rsid w:val="007D35CF"/>
    <w:rsid w:val="007D3833"/>
    <w:rsid w:val="007D3F88"/>
    <w:rsid w:val="007D4545"/>
    <w:rsid w:val="007D45B2"/>
    <w:rsid w:val="007D50AC"/>
    <w:rsid w:val="007D50D1"/>
    <w:rsid w:val="007D5103"/>
    <w:rsid w:val="007D52D9"/>
    <w:rsid w:val="007D542B"/>
    <w:rsid w:val="007D5774"/>
    <w:rsid w:val="007D64B9"/>
    <w:rsid w:val="007D65EE"/>
    <w:rsid w:val="007D6CF8"/>
    <w:rsid w:val="007D70F8"/>
    <w:rsid w:val="007D71BA"/>
    <w:rsid w:val="007D74CF"/>
    <w:rsid w:val="007D7A03"/>
    <w:rsid w:val="007E0D8D"/>
    <w:rsid w:val="007E12E7"/>
    <w:rsid w:val="007E16BE"/>
    <w:rsid w:val="007E23C0"/>
    <w:rsid w:val="007E2987"/>
    <w:rsid w:val="007E32B8"/>
    <w:rsid w:val="007E417E"/>
    <w:rsid w:val="007E4446"/>
    <w:rsid w:val="007E4CFE"/>
    <w:rsid w:val="007E525F"/>
    <w:rsid w:val="007E5F68"/>
    <w:rsid w:val="007E619D"/>
    <w:rsid w:val="007E6834"/>
    <w:rsid w:val="007E6FBB"/>
    <w:rsid w:val="007E73FD"/>
    <w:rsid w:val="007E7622"/>
    <w:rsid w:val="007E7651"/>
    <w:rsid w:val="007E78B6"/>
    <w:rsid w:val="007E7D01"/>
    <w:rsid w:val="007F061D"/>
    <w:rsid w:val="007F0D1E"/>
    <w:rsid w:val="007F1B1F"/>
    <w:rsid w:val="007F1DAD"/>
    <w:rsid w:val="007F2138"/>
    <w:rsid w:val="007F236B"/>
    <w:rsid w:val="007F2D91"/>
    <w:rsid w:val="007F324A"/>
    <w:rsid w:val="007F38A4"/>
    <w:rsid w:val="007F3DAB"/>
    <w:rsid w:val="007F474A"/>
    <w:rsid w:val="007F4BAF"/>
    <w:rsid w:val="007F4D72"/>
    <w:rsid w:val="007F5962"/>
    <w:rsid w:val="007F6A71"/>
    <w:rsid w:val="007F7163"/>
    <w:rsid w:val="007F787C"/>
    <w:rsid w:val="007F7E5C"/>
    <w:rsid w:val="007F7F21"/>
    <w:rsid w:val="008003FA"/>
    <w:rsid w:val="0080063C"/>
    <w:rsid w:val="0080086D"/>
    <w:rsid w:val="00800E79"/>
    <w:rsid w:val="00800E7A"/>
    <w:rsid w:val="008011AA"/>
    <w:rsid w:val="008011C0"/>
    <w:rsid w:val="008011E9"/>
    <w:rsid w:val="00802C64"/>
    <w:rsid w:val="00802CA1"/>
    <w:rsid w:val="008034D2"/>
    <w:rsid w:val="00803558"/>
    <w:rsid w:val="008037DC"/>
    <w:rsid w:val="00803818"/>
    <w:rsid w:val="00803F40"/>
    <w:rsid w:val="00803F75"/>
    <w:rsid w:val="00804064"/>
    <w:rsid w:val="008046A0"/>
    <w:rsid w:val="00804A64"/>
    <w:rsid w:val="00804AFF"/>
    <w:rsid w:val="0080501D"/>
    <w:rsid w:val="008053A3"/>
    <w:rsid w:val="008059B6"/>
    <w:rsid w:val="008060F1"/>
    <w:rsid w:val="008064A4"/>
    <w:rsid w:val="00806B0A"/>
    <w:rsid w:val="008078A6"/>
    <w:rsid w:val="00807946"/>
    <w:rsid w:val="00807D37"/>
    <w:rsid w:val="00810213"/>
    <w:rsid w:val="008103F1"/>
    <w:rsid w:val="0081064A"/>
    <w:rsid w:val="00810A66"/>
    <w:rsid w:val="00810AB9"/>
    <w:rsid w:val="00810DFB"/>
    <w:rsid w:val="00811251"/>
    <w:rsid w:val="0081134D"/>
    <w:rsid w:val="008114AB"/>
    <w:rsid w:val="00811EB5"/>
    <w:rsid w:val="008129A4"/>
    <w:rsid w:val="00812A45"/>
    <w:rsid w:val="0081312D"/>
    <w:rsid w:val="008132F3"/>
    <w:rsid w:val="00813634"/>
    <w:rsid w:val="00813661"/>
    <w:rsid w:val="0081373E"/>
    <w:rsid w:val="008138C1"/>
    <w:rsid w:val="00813B2A"/>
    <w:rsid w:val="00813DB7"/>
    <w:rsid w:val="008143DE"/>
    <w:rsid w:val="00814401"/>
    <w:rsid w:val="00814BB3"/>
    <w:rsid w:val="00814EFC"/>
    <w:rsid w:val="00815045"/>
    <w:rsid w:val="0081519D"/>
    <w:rsid w:val="008159F3"/>
    <w:rsid w:val="0081602F"/>
    <w:rsid w:val="00816545"/>
    <w:rsid w:val="00816550"/>
    <w:rsid w:val="0081667F"/>
    <w:rsid w:val="00816CE3"/>
    <w:rsid w:val="008173A0"/>
    <w:rsid w:val="008176C7"/>
    <w:rsid w:val="00817C7B"/>
    <w:rsid w:val="00817F51"/>
    <w:rsid w:val="008206B8"/>
    <w:rsid w:val="0082078E"/>
    <w:rsid w:val="00820F8D"/>
    <w:rsid w:val="00821295"/>
    <w:rsid w:val="00821E51"/>
    <w:rsid w:val="00822147"/>
    <w:rsid w:val="008224BB"/>
    <w:rsid w:val="008226E9"/>
    <w:rsid w:val="00822DB5"/>
    <w:rsid w:val="00822EBB"/>
    <w:rsid w:val="0082305C"/>
    <w:rsid w:val="008233FA"/>
    <w:rsid w:val="008242DA"/>
    <w:rsid w:val="0082452C"/>
    <w:rsid w:val="00824C78"/>
    <w:rsid w:val="00826161"/>
    <w:rsid w:val="008270C0"/>
    <w:rsid w:val="0082713A"/>
    <w:rsid w:val="00827321"/>
    <w:rsid w:val="00827662"/>
    <w:rsid w:val="00827913"/>
    <w:rsid w:val="00830999"/>
    <w:rsid w:val="00830A33"/>
    <w:rsid w:val="00830B3F"/>
    <w:rsid w:val="0083156C"/>
    <w:rsid w:val="008327E7"/>
    <w:rsid w:val="008328AE"/>
    <w:rsid w:val="00832A51"/>
    <w:rsid w:val="00832BF6"/>
    <w:rsid w:val="00833347"/>
    <w:rsid w:val="0083356F"/>
    <w:rsid w:val="00833579"/>
    <w:rsid w:val="0083365C"/>
    <w:rsid w:val="00833684"/>
    <w:rsid w:val="008338D0"/>
    <w:rsid w:val="00833F0C"/>
    <w:rsid w:val="00834095"/>
    <w:rsid w:val="00834289"/>
    <w:rsid w:val="008342CB"/>
    <w:rsid w:val="008345C7"/>
    <w:rsid w:val="00834ED4"/>
    <w:rsid w:val="00835044"/>
    <w:rsid w:val="008358C7"/>
    <w:rsid w:val="008359AF"/>
    <w:rsid w:val="00835E68"/>
    <w:rsid w:val="00836316"/>
    <w:rsid w:val="0083637C"/>
    <w:rsid w:val="008363F2"/>
    <w:rsid w:val="00836DC6"/>
    <w:rsid w:val="0083742E"/>
    <w:rsid w:val="0084076F"/>
    <w:rsid w:val="008407D9"/>
    <w:rsid w:val="00840D21"/>
    <w:rsid w:val="008415C3"/>
    <w:rsid w:val="00841C23"/>
    <w:rsid w:val="008424E1"/>
    <w:rsid w:val="00842688"/>
    <w:rsid w:val="00842823"/>
    <w:rsid w:val="00842C52"/>
    <w:rsid w:val="00842F01"/>
    <w:rsid w:val="00843370"/>
    <w:rsid w:val="008435AD"/>
    <w:rsid w:val="0084455D"/>
    <w:rsid w:val="0084456C"/>
    <w:rsid w:val="008446B2"/>
    <w:rsid w:val="00844904"/>
    <w:rsid w:val="008449A9"/>
    <w:rsid w:val="008451A6"/>
    <w:rsid w:val="00845793"/>
    <w:rsid w:val="00846C32"/>
    <w:rsid w:val="00846ECC"/>
    <w:rsid w:val="0084749B"/>
    <w:rsid w:val="0084779D"/>
    <w:rsid w:val="00847866"/>
    <w:rsid w:val="00847EF4"/>
    <w:rsid w:val="008503AC"/>
    <w:rsid w:val="008514C1"/>
    <w:rsid w:val="008518DB"/>
    <w:rsid w:val="00851B04"/>
    <w:rsid w:val="008520A9"/>
    <w:rsid w:val="0085250F"/>
    <w:rsid w:val="00852827"/>
    <w:rsid w:val="00853558"/>
    <w:rsid w:val="00853864"/>
    <w:rsid w:val="00853868"/>
    <w:rsid w:val="0085391A"/>
    <w:rsid w:val="00853B4A"/>
    <w:rsid w:val="0085407B"/>
    <w:rsid w:val="008541CB"/>
    <w:rsid w:val="008542F0"/>
    <w:rsid w:val="00854F96"/>
    <w:rsid w:val="00855363"/>
    <w:rsid w:val="0085547D"/>
    <w:rsid w:val="00855894"/>
    <w:rsid w:val="0085592E"/>
    <w:rsid w:val="00855BC2"/>
    <w:rsid w:val="00855E61"/>
    <w:rsid w:val="0085644E"/>
    <w:rsid w:val="008564BF"/>
    <w:rsid w:val="00856727"/>
    <w:rsid w:val="0085681C"/>
    <w:rsid w:val="00856AEB"/>
    <w:rsid w:val="00857136"/>
    <w:rsid w:val="00857582"/>
    <w:rsid w:val="008577B2"/>
    <w:rsid w:val="00860304"/>
    <w:rsid w:val="0086033C"/>
    <w:rsid w:val="00860CEF"/>
    <w:rsid w:val="00861657"/>
    <w:rsid w:val="00861661"/>
    <w:rsid w:val="00861A2C"/>
    <w:rsid w:val="00861E5B"/>
    <w:rsid w:val="008625C9"/>
    <w:rsid w:val="00862DCF"/>
    <w:rsid w:val="00864473"/>
    <w:rsid w:val="00864481"/>
    <w:rsid w:val="00864E7D"/>
    <w:rsid w:val="0086568E"/>
    <w:rsid w:val="0086582B"/>
    <w:rsid w:val="008658F1"/>
    <w:rsid w:val="0086611D"/>
    <w:rsid w:val="00866528"/>
    <w:rsid w:val="00866765"/>
    <w:rsid w:val="008673E3"/>
    <w:rsid w:val="0086772E"/>
    <w:rsid w:val="00867EEA"/>
    <w:rsid w:val="008705FA"/>
    <w:rsid w:val="00870B2E"/>
    <w:rsid w:val="00870C07"/>
    <w:rsid w:val="008712E4"/>
    <w:rsid w:val="008718E0"/>
    <w:rsid w:val="008718F7"/>
    <w:rsid w:val="00871E41"/>
    <w:rsid w:val="00872022"/>
    <w:rsid w:val="00872777"/>
    <w:rsid w:val="00872AD4"/>
    <w:rsid w:val="00872ADF"/>
    <w:rsid w:val="00872DD4"/>
    <w:rsid w:val="0087336B"/>
    <w:rsid w:val="00873673"/>
    <w:rsid w:val="00873CC2"/>
    <w:rsid w:val="00873D08"/>
    <w:rsid w:val="00874D18"/>
    <w:rsid w:val="00874EB0"/>
    <w:rsid w:val="00875043"/>
    <w:rsid w:val="008756C8"/>
    <w:rsid w:val="0087587C"/>
    <w:rsid w:val="0087609D"/>
    <w:rsid w:val="008762D2"/>
    <w:rsid w:val="008772BE"/>
    <w:rsid w:val="008778E2"/>
    <w:rsid w:val="00877CA9"/>
    <w:rsid w:val="00877DFC"/>
    <w:rsid w:val="008802D3"/>
    <w:rsid w:val="00880543"/>
    <w:rsid w:val="008809E4"/>
    <w:rsid w:val="00881108"/>
    <w:rsid w:val="00881406"/>
    <w:rsid w:val="00881550"/>
    <w:rsid w:val="00881766"/>
    <w:rsid w:val="00881786"/>
    <w:rsid w:val="00881BBA"/>
    <w:rsid w:val="008821FC"/>
    <w:rsid w:val="00882264"/>
    <w:rsid w:val="008827B8"/>
    <w:rsid w:val="00882E02"/>
    <w:rsid w:val="00883738"/>
    <w:rsid w:val="00884425"/>
    <w:rsid w:val="008844AA"/>
    <w:rsid w:val="00884AFA"/>
    <w:rsid w:val="00884DC1"/>
    <w:rsid w:val="00885B80"/>
    <w:rsid w:val="00885C99"/>
    <w:rsid w:val="008868CA"/>
    <w:rsid w:val="00886F3D"/>
    <w:rsid w:val="00886FE4"/>
    <w:rsid w:val="008904EE"/>
    <w:rsid w:val="00890566"/>
    <w:rsid w:val="00890A4C"/>
    <w:rsid w:val="00890BE5"/>
    <w:rsid w:val="00890F7F"/>
    <w:rsid w:val="008916F2"/>
    <w:rsid w:val="00891951"/>
    <w:rsid w:val="00891D04"/>
    <w:rsid w:val="00891EB3"/>
    <w:rsid w:val="00892420"/>
    <w:rsid w:val="008926A9"/>
    <w:rsid w:val="0089281F"/>
    <w:rsid w:val="00892D6E"/>
    <w:rsid w:val="00893474"/>
    <w:rsid w:val="00893AE7"/>
    <w:rsid w:val="00893B17"/>
    <w:rsid w:val="00894802"/>
    <w:rsid w:val="00894EF8"/>
    <w:rsid w:val="00895D29"/>
    <w:rsid w:val="00896B04"/>
    <w:rsid w:val="008970D0"/>
    <w:rsid w:val="00897A71"/>
    <w:rsid w:val="008A006D"/>
    <w:rsid w:val="008A03C6"/>
    <w:rsid w:val="008A0542"/>
    <w:rsid w:val="008A08E1"/>
    <w:rsid w:val="008A1D2A"/>
    <w:rsid w:val="008A1D7B"/>
    <w:rsid w:val="008A22EE"/>
    <w:rsid w:val="008A2A45"/>
    <w:rsid w:val="008A2A70"/>
    <w:rsid w:val="008A2C76"/>
    <w:rsid w:val="008A2F35"/>
    <w:rsid w:val="008A2F79"/>
    <w:rsid w:val="008A30FE"/>
    <w:rsid w:val="008A34C5"/>
    <w:rsid w:val="008A368A"/>
    <w:rsid w:val="008A3851"/>
    <w:rsid w:val="008A3A0D"/>
    <w:rsid w:val="008A3B4C"/>
    <w:rsid w:val="008A3EBA"/>
    <w:rsid w:val="008A42AE"/>
    <w:rsid w:val="008A4771"/>
    <w:rsid w:val="008A492A"/>
    <w:rsid w:val="008A539F"/>
    <w:rsid w:val="008A55F7"/>
    <w:rsid w:val="008A62AB"/>
    <w:rsid w:val="008A62EB"/>
    <w:rsid w:val="008A6620"/>
    <w:rsid w:val="008A6C41"/>
    <w:rsid w:val="008A6DA9"/>
    <w:rsid w:val="008A718F"/>
    <w:rsid w:val="008A74C0"/>
    <w:rsid w:val="008A774A"/>
    <w:rsid w:val="008A7D98"/>
    <w:rsid w:val="008B002C"/>
    <w:rsid w:val="008B0315"/>
    <w:rsid w:val="008B049D"/>
    <w:rsid w:val="008B0C5E"/>
    <w:rsid w:val="008B0D2F"/>
    <w:rsid w:val="008B1613"/>
    <w:rsid w:val="008B17E7"/>
    <w:rsid w:val="008B1B37"/>
    <w:rsid w:val="008B2B35"/>
    <w:rsid w:val="008B30E5"/>
    <w:rsid w:val="008B34EA"/>
    <w:rsid w:val="008B3D3F"/>
    <w:rsid w:val="008B3EEA"/>
    <w:rsid w:val="008B4491"/>
    <w:rsid w:val="008B452E"/>
    <w:rsid w:val="008B4E7B"/>
    <w:rsid w:val="008B562A"/>
    <w:rsid w:val="008B57BC"/>
    <w:rsid w:val="008B5D07"/>
    <w:rsid w:val="008B5E44"/>
    <w:rsid w:val="008B6117"/>
    <w:rsid w:val="008B672B"/>
    <w:rsid w:val="008B676A"/>
    <w:rsid w:val="008B6D07"/>
    <w:rsid w:val="008C07CB"/>
    <w:rsid w:val="008C0B2B"/>
    <w:rsid w:val="008C1607"/>
    <w:rsid w:val="008C1B05"/>
    <w:rsid w:val="008C24A6"/>
    <w:rsid w:val="008C2941"/>
    <w:rsid w:val="008C2C0D"/>
    <w:rsid w:val="008C39A1"/>
    <w:rsid w:val="008C3B75"/>
    <w:rsid w:val="008C4532"/>
    <w:rsid w:val="008C4E0A"/>
    <w:rsid w:val="008C52E3"/>
    <w:rsid w:val="008C5D21"/>
    <w:rsid w:val="008C5F82"/>
    <w:rsid w:val="008C6737"/>
    <w:rsid w:val="008C710C"/>
    <w:rsid w:val="008C72AC"/>
    <w:rsid w:val="008C74AA"/>
    <w:rsid w:val="008C7A87"/>
    <w:rsid w:val="008C7D39"/>
    <w:rsid w:val="008C7E96"/>
    <w:rsid w:val="008D03FB"/>
    <w:rsid w:val="008D077A"/>
    <w:rsid w:val="008D0DB0"/>
    <w:rsid w:val="008D0E17"/>
    <w:rsid w:val="008D10FF"/>
    <w:rsid w:val="008D16E0"/>
    <w:rsid w:val="008D1B61"/>
    <w:rsid w:val="008D1E93"/>
    <w:rsid w:val="008D23D8"/>
    <w:rsid w:val="008D23E3"/>
    <w:rsid w:val="008D2766"/>
    <w:rsid w:val="008D283F"/>
    <w:rsid w:val="008D33BC"/>
    <w:rsid w:val="008D3E68"/>
    <w:rsid w:val="008D44D6"/>
    <w:rsid w:val="008D473B"/>
    <w:rsid w:val="008D5032"/>
    <w:rsid w:val="008D5B7C"/>
    <w:rsid w:val="008D6362"/>
    <w:rsid w:val="008D65E9"/>
    <w:rsid w:val="008D6C1D"/>
    <w:rsid w:val="008D71EE"/>
    <w:rsid w:val="008D7757"/>
    <w:rsid w:val="008D7C5D"/>
    <w:rsid w:val="008E0A22"/>
    <w:rsid w:val="008E1BC7"/>
    <w:rsid w:val="008E1C5B"/>
    <w:rsid w:val="008E223A"/>
    <w:rsid w:val="008E25E3"/>
    <w:rsid w:val="008E275F"/>
    <w:rsid w:val="008E2ABB"/>
    <w:rsid w:val="008E3047"/>
    <w:rsid w:val="008E307A"/>
    <w:rsid w:val="008E53BA"/>
    <w:rsid w:val="008E6121"/>
    <w:rsid w:val="008E6228"/>
    <w:rsid w:val="008E62DF"/>
    <w:rsid w:val="008E63C7"/>
    <w:rsid w:val="008E63F2"/>
    <w:rsid w:val="008E646D"/>
    <w:rsid w:val="008E69C1"/>
    <w:rsid w:val="008E6B6F"/>
    <w:rsid w:val="008E7143"/>
    <w:rsid w:val="008E7775"/>
    <w:rsid w:val="008E7BA4"/>
    <w:rsid w:val="008E7F94"/>
    <w:rsid w:val="008F047F"/>
    <w:rsid w:val="008F051B"/>
    <w:rsid w:val="008F0BEF"/>
    <w:rsid w:val="008F182E"/>
    <w:rsid w:val="008F1BB0"/>
    <w:rsid w:val="008F25F8"/>
    <w:rsid w:val="008F2DC3"/>
    <w:rsid w:val="008F3850"/>
    <w:rsid w:val="008F3A7A"/>
    <w:rsid w:val="008F4040"/>
    <w:rsid w:val="008F43C2"/>
    <w:rsid w:val="008F4615"/>
    <w:rsid w:val="008F4B09"/>
    <w:rsid w:val="008F4BD8"/>
    <w:rsid w:val="008F4DD7"/>
    <w:rsid w:val="008F5238"/>
    <w:rsid w:val="008F5309"/>
    <w:rsid w:val="008F5747"/>
    <w:rsid w:val="008F5B2F"/>
    <w:rsid w:val="008F60D8"/>
    <w:rsid w:val="008F63FA"/>
    <w:rsid w:val="008F65DD"/>
    <w:rsid w:val="008F6818"/>
    <w:rsid w:val="008F7346"/>
    <w:rsid w:val="008F73B0"/>
    <w:rsid w:val="008F7593"/>
    <w:rsid w:val="008F76A9"/>
    <w:rsid w:val="008F7FE8"/>
    <w:rsid w:val="00900397"/>
    <w:rsid w:val="00900EAF"/>
    <w:rsid w:val="009014D9"/>
    <w:rsid w:val="009016A1"/>
    <w:rsid w:val="00901BE4"/>
    <w:rsid w:val="00901DAA"/>
    <w:rsid w:val="00901FBE"/>
    <w:rsid w:val="00902200"/>
    <w:rsid w:val="0090301E"/>
    <w:rsid w:val="00903B6A"/>
    <w:rsid w:val="00903E31"/>
    <w:rsid w:val="00904914"/>
    <w:rsid w:val="00904935"/>
    <w:rsid w:val="00904CBD"/>
    <w:rsid w:val="009056C8"/>
    <w:rsid w:val="009057BD"/>
    <w:rsid w:val="00906079"/>
    <w:rsid w:val="009061CF"/>
    <w:rsid w:val="00906CA8"/>
    <w:rsid w:val="00907661"/>
    <w:rsid w:val="009100C5"/>
    <w:rsid w:val="009108A7"/>
    <w:rsid w:val="009110C0"/>
    <w:rsid w:val="00911366"/>
    <w:rsid w:val="00911BF4"/>
    <w:rsid w:val="00912237"/>
    <w:rsid w:val="009133C6"/>
    <w:rsid w:val="009135CC"/>
    <w:rsid w:val="00914B80"/>
    <w:rsid w:val="00914F0E"/>
    <w:rsid w:val="00914F5B"/>
    <w:rsid w:val="009151D8"/>
    <w:rsid w:val="009163FD"/>
    <w:rsid w:val="009168EA"/>
    <w:rsid w:val="009169E1"/>
    <w:rsid w:val="00916E7E"/>
    <w:rsid w:val="009172D7"/>
    <w:rsid w:val="009175C3"/>
    <w:rsid w:val="00917A6E"/>
    <w:rsid w:val="00917F93"/>
    <w:rsid w:val="00921041"/>
    <w:rsid w:val="00921525"/>
    <w:rsid w:val="0092167C"/>
    <w:rsid w:val="0092173B"/>
    <w:rsid w:val="00921B38"/>
    <w:rsid w:val="00921DC2"/>
    <w:rsid w:val="00921E23"/>
    <w:rsid w:val="00921F42"/>
    <w:rsid w:val="0092232B"/>
    <w:rsid w:val="00922540"/>
    <w:rsid w:val="009229D7"/>
    <w:rsid w:val="00923043"/>
    <w:rsid w:val="00923A82"/>
    <w:rsid w:val="009241F3"/>
    <w:rsid w:val="009243BD"/>
    <w:rsid w:val="00924466"/>
    <w:rsid w:val="00924A12"/>
    <w:rsid w:val="00924BDE"/>
    <w:rsid w:val="00925EDB"/>
    <w:rsid w:val="00925EE9"/>
    <w:rsid w:val="00927655"/>
    <w:rsid w:val="009305AB"/>
    <w:rsid w:val="00930DCB"/>
    <w:rsid w:val="009310C4"/>
    <w:rsid w:val="00931268"/>
    <w:rsid w:val="00931B5F"/>
    <w:rsid w:val="0093218C"/>
    <w:rsid w:val="009325DA"/>
    <w:rsid w:val="00932865"/>
    <w:rsid w:val="00932D7F"/>
    <w:rsid w:val="009334D3"/>
    <w:rsid w:val="0093382C"/>
    <w:rsid w:val="00933BAE"/>
    <w:rsid w:val="009345CA"/>
    <w:rsid w:val="0093462D"/>
    <w:rsid w:val="009346BD"/>
    <w:rsid w:val="0093538A"/>
    <w:rsid w:val="009356CD"/>
    <w:rsid w:val="00935E12"/>
    <w:rsid w:val="009360CF"/>
    <w:rsid w:val="00936B08"/>
    <w:rsid w:val="00936F14"/>
    <w:rsid w:val="00937510"/>
    <w:rsid w:val="009378BC"/>
    <w:rsid w:val="00940615"/>
    <w:rsid w:val="0094062D"/>
    <w:rsid w:val="009407FD"/>
    <w:rsid w:val="00940CA9"/>
    <w:rsid w:val="0094154F"/>
    <w:rsid w:val="00941750"/>
    <w:rsid w:val="009438CE"/>
    <w:rsid w:val="009440D2"/>
    <w:rsid w:val="00944264"/>
    <w:rsid w:val="009450BF"/>
    <w:rsid w:val="009459B4"/>
    <w:rsid w:val="00946602"/>
    <w:rsid w:val="0094664F"/>
    <w:rsid w:val="00946894"/>
    <w:rsid w:val="0094736A"/>
    <w:rsid w:val="00947621"/>
    <w:rsid w:val="00947C29"/>
    <w:rsid w:val="00947C32"/>
    <w:rsid w:val="00950014"/>
    <w:rsid w:val="00950EA7"/>
    <w:rsid w:val="009510C9"/>
    <w:rsid w:val="009510FF"/>
    <w:rsid w:val="009512C0"/>
    <w:rsid w:val="00951609"/>
    <w:rsid w:val="00951699"/>
    <w:rsid w:val="00951B78"/>
    <w:rsid w:val="00952766"/>
    <w:rsid w:val="00952787"/>
    <w:rsid w:val="009533B6"/>
    <w:rsid w:val="00953562"/>
    <w:rsid w:val="0095378D"/>
    <w:rsid w:val="00953BC3"/>
    <w:rsid w:val="00953C68"/>
    <w:rsid w:val="0095422F"/>
    <w:rsid w:val="00954CCD"/>
    <w:rsid w:val="0095531F"/>
    <w:rsid w:val="0095537E"/>
    <w:rsid w:val="009553F4"/>
    <w:rsid w:val="00955489"/>
    <w:rsid w:val="00955D07"/>
    <w:rsid w:val="009561BB"/>
    <w:rsid w:val="0095677E"/>
    <w:rsid w:val="00956CB4"/>
    <w:rsid w:val="00957366"/>
    <w:rsid w:val="009576B5"/>
    <w:rsid w:val="00957ED8"/>
    <w:rsid w:val="009605CA"/>
    <w:rsid w:val="009605EA"/>
    <w:rsid w:val="009607C0"/>
    <w:rsid w:val="0096154B"/>
    <w:rsid w:val="00961731"/>
    <w:rsid w:val="00961D20"/>
    <w:rsid w:val="00961DB1"/>
    <w:rsid w:val="0096211B"/>
    <w:rsid w:val="009627CF"/>
    <w:rsid w:val="00962BE9"/>
    <w:rsid w:val="00962F7E"/>
    <w:rsid w:val="00963059"/>
    <w:rsid w:val="00963FF4"/>
    <w:rsid w:val="00964072"/>
    <w:rsid w:val="00964262"/>
    <w:rsid w:val="009663B3"/>
    <w:rsid w:val="00966D66"/>
    <w:rsid w:val="009674FA"/>
    <w:rsid w:val="00967B87"/>
    <w:rsid w:val="00967D4F"/>
    <w:rsid w:val="00970412"/>
    <w:rsid w:val="00970EF5"/>
    <w:rsid w:val="0097102A"/>
    <w:rsid w:val="009714B7"/>
    <w:rsid w:val="009716D0"/>
    <w:rsid w:val="009721AA"/>
    <w:rsid w:val="0097250B"/>
    <w:rsid w:val="00972748"/>
    <w:rsid w:val="00972A0C"/>
    <w:rsid w:val="00972C52"/>
    <w:rsid w:val="0097348E"/>
    <w:rsid w:val="00973931"/>
    <w:rsid w:val="00973DE5"/>
    <w:rsid w:val="00974642"/>
    <w:rsid w:val="009746E1"/>
    <w:rsid w:val="00974F9C"/>
    <w:rsid w:val="009755CF"/>
    <w:rsid w:val="00975978"/>
    <w:rsid w:val="00975C4C"/>
    <w:rsid w:val="0097608E"/>
    <w:rsid w:val="00976361"/>
    <w:rsid w:val="009763C0"/>
    <w:rsid w:val="0097698D"/>
    <w:rsid w:val="00976E10"/>
    <w:rsid w:val="00977579"/>
    <w:rsid w:val="00977884"/>
    <w:rsid w:val="00977DCD"/>
    <w:rsid w:val="0098033C"/>
    <w:rsid w:val="009805FB"/>
    <w:rsid w:val="00980755"/>
    <w:rsid w:val="00980E49"/>
    <w:rsid w:val="00981645"/>
    <w:rsid w:val="00981B16"/>
    <w:rsid w:val="00981F51"/>
    <w:rsid w:val="0098219B"/>
    <w:rsid w:val="00982214"/>
    <w:rsid w:val="00982F05"/>
    <w:rsid w:val="00982F3F"/>
    <w:rsid w:val="00982F72"/>
    <w:rsid w:val="00983F52"/>
    <w:rsid w:val="00983FDD"/>
    <w:rsid w:val="0098467E"/>
    <w:rsid w:val="00984A3A"/>
    <w:rsid w:val="0098502E"/>
    <w:rsid w:val="0098539B"/>
    <w:rsid w:val="0098594B"/>
    <w:rsid w:val="00985A09"/>
    <w:rsid w:val="00985CAD"/>
    <w:rsid w:val="009862AE"/>
    <w:rsid w:val="00986526"/>
    <w:rsid w:val="009865E2"/>
    <w:rsid w:val="0098795D"/>
    <w:rsid w:val="00987C84"/>
    <w:rsid w:val="00987EE6"/>
    <w:rsid w:val="009903F6"/>
    <w:rsid w:val="00990E18"/>
    <w:rsid w:val="00990F20"/>
    <w:rsid w:val="00991200"/>
    <w:rsid w:val="00991831"/>
    <w:rsid w:val="00991ED7"/>
    <w:rsid w:val="00992375"/>
    <w:rsid w:val="00993328"/>
    <w:rsid w:val="0099387D"/>
    <w:rsid w:val="00994A60"/>
    <w:rsid w:val="0099664D"/>
    <w:rsid w:val="009966A0"/>
    <w:rsid w:val="009967A6"/>
    <w:rsid w:val="00996989"/>
    <w:rsid w:val="009977CD"/>
    <w:rsid w:val="00997B0D"/>
    <w:rsid w:val="009A02E6"/>
    <w:rsid w:val="009A03F9"/>
    <w:rsid w:val="009A0AE8"/>
    <w:rsid w:val="009A108A"/>
    <w:rsid w:val="009A1117"/>
    <w:rsid w:val="009A1157"/>
    <w:rsid w:val="009A130F"/>
    <w:rsid w:val="009A1D9E"/>
    <w:rsid w:val="009A37F1"/>
    <w:rsid w:val="009A3EA6"/>
    <w:rsid w:val="009A485A"/>
    <w:rsid w:val="009A4B5A"/>
    <w:rsid w:val="009A51AC"/>
    <w:rsid w:val="009A5B20"/>
    <w:rsid w:val="009A65CF"/>
    <w:rsid w:val="009A6829"/>
    <w:rsid w:val="009A6BF8"/>
    <w:rsid w:val="009A7AE0"/>
    <w:rsid w:val="009A7B44"/>
    <w:rsid w:val="009A7E69"/>
    <w:rsid w:val="009B1BCE"/>
    <w:rsid w:val="009B2166"/>
    <w:rsid w:val="009B2959"/>
    <w:rsid w:val="009B2A9B"/>
    <w:rsid w:val="009B2E20"/>
    <w:rsid w:val="009B2E3C"/>
    <w:rsid w:val="009B2F24"/>
    <w:rsid w:val="009B32BD"/>
    <w:rsid w:val="009B3AA8"/>
    <w:rsid w:val="009B3DA7"/>
    <w:rsid w:val="009B43C2"/>
    <w:rsid w:val="009B47A4"/>
    <w:rsid w:val="009B4813"/>
    <w:rsid w:val="009B48B3"/>
    <w:rsid w:val="009B57E1"/>
    <w:rsid w:val="009B5BD4"/>
    <w:rsid w:val="009B5CC6"/>
    <w:rsid w:val="009B5F0F"/>
    <w:rsid w:val="009B6C18"/>
    <w:rsid w:val="009B6F81"/>
    <w:rsid w:val="009B710A"/>
    <w:rsid w:val="009B7A73"/>
    <w:rsid w:val="009C0E64"/>
    <w:rsid w:val="009C0EF2"/>
    <w:rsid w:val="009C2021"/>
    <w:rsid w:val="009C27E9"/>
    <w:rsid w:val="009C321F"/>
    <w:rsid w:val="009C37E1"/>
    <w:rsid w:val="009C5FA6"/>
    <w:rsid w:val="009C6368"/>
    <w:rsid w:val="009C7537"/>
    <w:rsid w:val="009C77A2"/>
    <w:rsid w:val="009C793B"/>
    <w:rsid w:val="009C7E29"/>
    <w:rsid w:val="009D02C0"/>
    <w:rsid w:val="009D0CA9"/>
    <w:rsid w:val="009D1111"/>
    <w:rsid w:val="009D1715"/>
    <w:rsid w:val="009D1953"/>
    <w:rsid w:val="009D1B14"/>
    <w:rsid w:val="009D2240"/>
    <w:rsid w:val="009D2790"/>
    <w:rsid w:val="009D2E98"/>
    <w:rsid w:val="009D335A"/>
    <w:rsid w:val="009D378B"/>
    <w:rsid w:val="009D3ED2"/>
    <w:rsid w:val="009D4852"/>
    <w:rsid w:val="009D4D66"/>
    <w:rsid w:val="009D696D"/>
    <w:rsid w:val="009D6C49"/>
    <w:rsid w:val="009D6C6C"/>
    <w:rsid w:val="009D6E50"/>
    <w:rsid w:val="009D7071"/>
    <w:rsid w:val="009D7103"/>
    <w:rsid w:val="009E110F"/>
    <w:rsid w:val="009E1221"/>
    <w:rsid w:val="009E15B5"/>
    <w:rsid w:val="009E2794"/>
    <w:rsid w:val="009E2822"/>
    <w:rsid w:val="009E3798"/>
    <w:rsid w:val="009E3A32"/>
    <w:rsid w:val="009E3E55"/>
    <w:rsid w:val="009E408C"/>
    <w:rsid w:val="009E41FA"/>
    <w:rsid w:val="009E46B4"/>
    <w:rsid w:val="009E4AD9"/>
    <w:rsid w:val="009E4EB3"/>
    <w:rsid w:val="009E5312"/>
    <w:rsid w:val="009E53CD"/>
    <w:rsid w:val="009E54DE"/>
    <w:rsid w:val="009E57BB"/>
    <w:rsid w:val="009E5AE9"/>
    <w:rsid w:val="009E5C0E"/>
    <w:rsid w:val="009E6031"/>
    <w:rsid w:val="009E6382"/>
    <w:rsid w:val="009E664D"/>
    <w:rsid w:val="009E684D"/>
    <w:rsid w:val="009E758E"/>
    <w:rsid w:val="009F0690"/>
    <w:rsid w:val="009F0B08"/>
    <w:rsid w:val="009F0EDC"/>
    <w:rsid w:val="009F1693"/>
    <w:rsid w:val="009F16C0"/>
    <w:rsid w:val="009F1723"/>
    <w:rsid w:val="009F2477"/>
    <w:rsid w:val="009F2D9C"/>
    <w:rsid w:val="009F2E56"/>
    <w:rsid w:val="009F304A"/>
    <w:rsid w:val="009F3763"/>
    <w:rsid w:val="009F3E4A"/>
    <w:rsid w:val="009F403B"/>
    <w:rsid w:val="009F4240"/>
    <w:rsid w:val="009F45FA"/>
    <w:rsid w:val="009F4761"/>
    <w:rsid w:val="009F606E"/>
    <w:rsid w:val="009F62A5"/>
    <w:rsid w:val="009F6376"/>
    <w:rsid w:val="009F69EF"/>
    <w:rsid w:val="009F71B1"/>
    <w:rsid w:val="009F7E1B"/>
    <w:rsid w:val="00A00023"/>
    <w:rsid w:val="00A00184"/>
    <w:rsid w:val="00A00253"/>
    <w:rsid w:val="00A0148D"/>
    <w:rsid w:val="00A01794"/>
    <w:rsid w:val="00A018E6"/>
    <w:rsid w:val="00A01FD5"/>
    <w:rsid w:val="00A02067"/>
    <w:rsid w:val="00A022CA"/>
    <w:rsid w:val="00A02AFA"/>
    <w:rsid w:val="00A0400B"/>
    <w:rsid w:val="00A0417B"/>
    <w:rsid w:val="00A046DE"/>
    <w:rsid w:val="00A04820"/>
    <w:rsid w:val="00A04D81"/>
    <w:rsid w:val="00A05167"/>
    <w:rsid w:val="00A0522C"/>
    <w:rsid w:val="00A052BB"/>
    <w:rsid w:val="00A06467"/>
    <w:rsid w:val="00A077FC"/>
    <w:rsid w:val="00A07CB5"/>
    <w:rsid w:val="00A07F2F"/>
    <w:rsid w:val="00A104BD"/>
    <w:rsid w:val="00A10534"/>
    <w:rsid w:val="00A10A83"/>
    <w:rsid w:val="00A10D98"/>
    <w:rsid w:val="00A10E19"/>
    <w:rsid w:val="00A11DC7"/>
    <w:rsid w:val="00A1217C"/>
    <w:rsid w:val="00A1249B"/>
    <w:rsid w:val="00A128BE"/>
    <w:rsid w:val="00A12AEE"/>
    <w:rsid w:val="00A12FF6"/>
    <w:rsid w:val="00A13967"/>
    <w:rsid w:val="00A13ADC"/>
    <w:rsid w:val="00A145E2"/>
    <w:rsid w:val="00A14828"/>
    <w:rsid w:val="00A14940"/>
    <w:rsid w:val="00A14C86"/>
    <w:rsid w:val="00A14D32"/>
    <w:rsid w:val="00A158D3"/>
    <w:rsid w:val="00A15F4A"/>
    <w:rsid w:val="00A1613E"/>
    <w:rsid w:val="00A163CF"/>
    <w:rsid w:val="00A16A1A"/>
    <w:rsid w:val="00A16D19"/>
    <w:rsid w:val="00A16E77"/>
    <w:rsid w:val="00A1713E"/>
    <w:rsid w:val="00A17F8C"/>
    <w:rsid w:val="00A203B0"/>
    <w:rsid w:val="00A20A8A"/>
    <w:rsid w:val="00A20C8C"/>
    <w:rsid w:val="00A2137B"/>
    <w:rsid w:val="00A21685"/>
    <w:rsid w:val="00A21B97"/>
    <w:rsid w:val="00A226D7"/>
    <w:rsid w:val="00A227F1"/>
    <w:rsid w:val="00A22A11"/>
    <w:rsid w:val="00A22EB5"/>
    <w:rsid w:val="00A22F9C"/>
    <w:rsid w:val="00A23050"/>
    <w:rsid w:val="00A23620"/>
    <w:rsid w:val="00A23B21"/>
    <w:rsid w:val="00A23C93"/>
    <w:rsid w:val="00A23DCA"/>
    <w:rsid w:val="00A23E5B"/>
    <w:rsid w:val="00A2450D"/>
    <w:rsid w:val="00A259B8"/>
    <w:rsid w:val="00A25CA9"/>
    <w:rsid w:val="00A26057"/>
    <w:rsid w:val="00A26CDC"/>
    <w:rsid w:val="00A26EF5"/>
    <w:rsid w:val="00A278B9"/>
    <w:rsid w:val="00A306C9"/>
    <w:rsid w:val="00A3096E"/>
    <w:rsid w:val="00A309EA"/>
    <w:rsid w:val="00A318B6"/>
    <w:rsid w:val="00A31A05"/>
    <w:rsid w:val="00A32A67"/>
    <w:rsid w:val="00A32AD2"/>
    <w:rsid w:val="00A32D12"/>
    <w:rsid w:val="00A32DF1"/>
    <w:rsid w:val="00A32E38"/>
    <w:rsid w:val="00A33360"/>
    <w:rsid w:val="00A334C2"/>
    <w:rsid w:val="00A33C00"/>
    <w:rsid w:val="00A341BD"/>
    <w:rsid w:val="00A34E26"/>
    <w:rsid w:val="00A35182"/>
    <w:rsid w:val="00A35278"/>
    <w:rsid w:val="00A35EF8"/>
    <w:rsid w:val="00A36254"/>
    <w:rsid w:val="00A36EB6"/>
    <w:rsid w:val="00A37C92"/>
    <w:rsid w:val="00A37E54"/>
    <w:rsid w:val="00A400DC"/>
    <w:rsid w:val="00A401B5"/>
    <w:rsid w:val="00A401C9"/>
    <w:rsid w:val="00A40897"/>
    <w:rsid w:val="00A40FB2"/>
    <w:rsid w:val="00A41100"/>
    <w:rsid w:val="00A41841"/>
    <w:rsid w:val="00A41AA0"/>
    <w:rsid w:val="00A41DD4"/>
    <w:rsid w:val="00A4255F"/>
    <w:rsid w:val="00A436D5"/>
    <w:rsid w:val="00A43E85"/>
    <w:rsid w:val="00A43F3E"/>
    <w:rsid w:val="00A44076"/>
    <w:rsid w:val="00A440CF"/>
    <w:rsid w:val="00A44BF4"/>
    <w:rsid w:val="00A44C65"/>
    <w:rsid w:val="00A44EFC"/>
    <w:rsid w:val="00A451F5"/>
    <w:rsid w:val="00A45E79"/>
    <w:rsid w:val="00A46208"/>
    <w:rsid w:val="00A46C26"/>
    <w:rsid w:val="00A4713B"/>
    <w:rsid w:val="00A4739D"/>
    <w:rsid w:val="00A47B0E"/>
    <w:rsid w:val="00A505AA"/>
    <w:rsid w:val="00A50B24"/>
    <w:rsid w:val="00A52078"/>
    <w:rsid w:val="00A52149"/>
    <w:rsid w:val="00A528D5"/>
    <w:rsid w:val="00A52979"/>
    <w:rsid w:val="00A532DD"/>
    <w:rsid w:val="00A536D8"/>
    <w:rsid w:val="00A539E4"/>
    <w:rsid w:val="00A540C8"/>
    <w:rsid w:val="00A5453C"/>
    <w:rsid w:val="00A54842"/>
    <w:rsid w:val="00A54DC5"/>
    <w:rsid w:val="00A551D3"/>
    <w:rsid w:val="00A553CC"/>
    <w:rsid w:val="00A55613"/>
    <w:rsid w:val="00A558A4"/>
    <w:rsid w:val="00A55D0B"/>
    <w:rsid w:val="00A56984"/>
    <w:rsid w:val="00A56B3C"/>
    <w:rsid w:val="00A5721B"/>
    <w:rsid w:val="00A574D4"/>
    <w:rsid w:val="00A60422"/>
    <w:rsid w:val="00A6052A"/>
    <w:rsid w:val="00A60F03"/>
    <w:rsid w:val="00A61016"/>
    <w:rsid w:val="00A6160E"/>
    <w:rsid w:val="00A62366"/>
    <w:rsid w:val="00A626D3"/>
    <w:rsid w:val="00A62CE1"/>
    <w:rsid w:val="00A634B1"/>
    <w:rsid w:val="00A634FA"/>
    <w:rsid w:val="00A64692"/>
    <w:rsid w:val="00A64964"/>
    <w:rsid w:val="00A649AA"/>
    <w:rsid w:val="00A64AF8"/>
    <w:rsid w:val="00A64F8A"/>
    <w:rsid w:val="00A653D8"/>
    <w:rsid w:val="00A65669"/>
    <w:rsid w:val="00A65EC0"/>
    <w:rsid w:val="00A6604A"/>
    <w:rsid w:val="00A662E5"/>
    <w:rsid w:val="00A66574"/>
    <w:rsid w:val="00A67808"/>
    <w:rsid w:val="00A67B48"/>
    <w:rsid w:val="00A67E04"/>
    <w:rsid w:val="00A70585"/>
    <w:rsid w:val="00A720A8"/>
    <w:rsid w:val="00A72CBF"/>
    <w:rsid w:val="00A7381B"/>
    <w:rsid w:val="00A73979"/>
    <w:rsid w:val="00A73D4B"/>
    <w:rsid w:val="00A73EB8"/>
    <w:rsid w:val="00A7480E"/>
    <w:rsid w:val="00A74E73"/>
    <w:rsid w:val="00A74F97"/>
    <w:rsid w:val="00A754B2"/>
    <w:rsid w:val="00A75FD2"/>
    <w:rsid w:val="00A76049"/>
    <w:rsid w:val="00A763B6"/>
    <w:rsid w:val="00A76ACF"/>
    <w:rsid w:val="00A77678"/>
    <w:rsid w:val="00A77DA0"/>
    <w:rsid w:val="00A80DE3"/>
    <w:rsid w:val="00A811A1"/>
    <w:rsid w:val="00A8228B"/>
    <w:rsid w:val="00A82F07"/>
    <w:rsid w:val="00A82FE6"/>
    <w:rsid w:val="00A83B52"/>
    <w:rsid w:val="00A83F47"/>
    <w:rsid w:val="00A8436C"/>
    <w:rsid w:val="00A84595"/>
    <w:rsid w:val="00A84CAD"/>
    <w:rsid w:val="00A850B2"/>
    <w:rsid w:val="00A86375"/>
    <w:rsid w:val="00A86B29"/>
    <w:rsid w:val="00A86B42"/>
    <w:rsid w:val="00A86DB4"/>
    <w:rsid w:val="00A87367"/>
    <w:rsid w:val="00A87550"/>
    <w:rsid w:val="00A87B5E"/>
    <w:rsid w:val="00A90357"/>
    <w:rsid w:val="00A909DA"/>
    <w:rsid w:val="00A90A97"/>
    <w:rsid w:val="00A90DE2"/>
    <w:rsid w:val="00A917A4"/>
    <w:rsid w:val="00A920E1"/>
    <w:rsid w:val="00A92172"/>
    <w:rsid w:val="00A92562"/>
    <w:rsid w:val="00A9363F"/>
    <w:rsid w:val="00A93B56"/>
    <w:rsid w:val="00A93BCC"/>
    <w:rsid w:val="00A93D70"/>
    <w:rsid w:val="00A94334"/>
    <w:rsid w:val="00A9459C"/>
    <w:rsid w:val="00A94B4C"/>
    <w:rsid w:val="00A94C84"/>
    <w:rsid w:val="00A95010"/>
    <w:rsid w:val="00A95BA8"/>
    <w:rsid w:val="00A95FA9"/>
    <w:rsid w:val="00A96021"/>
    <w:rsid w:val="00A96CA9"/>
    <w:rsid w:val="00A979B5"/>
    <w:rsid w:val="00A97DCE"/>
    <w:rsid w:val="00AA008C"/>
    <w:rsid w:val="00AA0BAE"/>
    <w:rsid w:val="00AA0D48"/>
    <w:rsid w:val="00AA0D63"/>
    <w:rsid w:val="00AA148E"/>
    <w:rsid w:val="00AA161C"/>
    <w:rsid w:val="00AA1E62"/>
    <w:rsid w:val="00AA21A8"/>
    <w:rsid w:val="00AA2FE6"/>
    <w:rsid w:val="00AA32B1"/>
    <w:rsid w:val="00AA35B5"/>
    <w:rsid w:val="00AA43CE"/>
    <w:rsid w:val="00AA466A"/>
    <w:rsid w:val="00AA4965"/>
    <w:rsid w:val="00AA59AE"/>
    <w:rsid w:val="00AA607F"/>
    <w:rsid w:val="00AA610C"/>
    <w:rsid w:val="00AA649D"/>
    <w:rsid w:val="00AA68DC"/>
    <w:rsid w:val="00AA6D52"/>
    <w:rsid w:val="00AA6E13"/>
    <w:rsid w:val="00AA74F1"/>
    <w:rsid w:val="00AA761E"/>
    <w:rsid w:val="00AA7E84"/>
    <w:rsid w:val="00AB0029"/>
    <w:rsid w:val="00AB082D"/>
    <w:rsid w:val="00AB083D"/>
    <w:rsid w:val="00AB0F4C"/>
    <w:rsid w:val="00AB1176"/>
    <w:rsid w:val="00AB13AA"/>
    <w:rsid w:val="00AB17CE"/>
    <w:rsid w:val="00AB1823"/>
    <w:rsid w:val="00AB188F"/>
    <w:rsid w:val="00AB1DF4"/>
    <w:rsid w:val="00AB2342"/>
    <w:rsid w:val="00AB23A7"/>
    <w:rsid w:val="00AB29F6"/>
    <w:rsid w:val="00AB305B"/>
    <w:rsid w:val="00AB3497"/>
    <w:rsid w:val="00AB3F3B"/>
    <w:rsid w:val="00AB404B"/>
    <w:rsid w:val="00AB431D"/>
    <w:rsid w:val="00AB504C"/>
    <w:rsid w:val="00AB561F"/>
    <w:rsid w:val="00AB5A68"/>
    <w:rsid w:val="00AB5A94"/>
    <w:rsid w:val="00AB6BF8"/>
    <w:rsid w:val="00AB7072"/>
    <w:rsid w:val="00AB72D5"/>
    <w:rsid w:val="00AB7312"/>
    <w:rsid w:val="00AB7816"/>
    <w:rsid w:val="00AB785C"/>
    <w:rsid w:val="00AB78A9"/>
    <w:rsid w:val="00AB7972"/>
    <w:rsid w:val="00AC0213"/>
    <w:rsid w:val="00AC02B9"/>
    <w:rsid w:val="00AC0D49"/>
    <w:rsid w:val="00AC1608"/>
    <w:rsid w:val="00AC178F"/>
    <w:rsid w:val="00AC1AF3"/>
    <w:rsid w:val="00AC1E0A"/>
    <w:rsid w:val="00AC1F3F"/>
    <w:rsid w:val="00AC2B6D"/>
    <w:rsid w:val="00AC2DA3"/>
    <w:rsid w:val="00AC304F"/>
    <w:rsid w:val="00AC32E5"/>
    <w:rsid w:val="00AC347A"/>
    <w:rsid w:val="00AC45C5"/>
    <w:rsid w:val="00AC469C"/>
    <w:rsid w:val="00AC5BBA"/>
    <w:rsid w:val="00AC6127"/>
    <w:rsid w:val="00AC642C"/>
    <w:rsid w:val="00AC68D1"/>
    <w:rsid w:val="00AC6D52"/>
    <w:rsid w:val="00AC7858"/>
    <w:rsid w:val="00AD05DE"/>
    <w:rsid w:val="00AD0E38"/>
    <w:rsid w:val="00AD1778"/>
    <w:rsid w:val="00AD1917"/>
    <w:rsid w:val="00AD212A"/>
    <w:rsid w:val="00AD2662"/>
    <w:rsid w:val="00AD2A29"/>
    <w:rsid w:val="00AD2B28"/>
    <w:rsid w:val="00AD2D0D"/>
    <w:rsid w:val="00AD2FE7"/>
    <w:rsid w:val="00AD3D9E"/>
    <w:rsid w:val="00AD455E"/>
    <w:rsid w:val="00AD4CA3"/>
    <w:rsid w:val="00AD55F6"/>
    <w:rsid w:val="00AD5DC8"/>
    <w:rsid w:val="00AD5F22"/>
    <w:rsid w:val="00AD5FD1"/>
    <w:rsid w:val="00AD6285"/>
    <w:rsid w:val="00AD6528"/>
    <w:rsid w:val="00AD6541"/>
    <w:rsid w:val="00AD6744"/>
    <w:rsid w:val="00AD75C8"/>
    <w:rsid w:val="00AD768B"/>
    <w:rsid w:val="00AD7982"/>
    <w:rsid w:val="00AD79F9"/>
    <w:rsid w:val="00AD7D8D"/>
    <w:rsid w:val="00AE07AF"/>
    <w:rsid w:val="00AE0D88"/>
    <w:rsid w:val="00AE0FC5"/>
    <w:rsid w:val="00AE19DB"/>
    <w:rsid w:val="00AE1AB1"/>
    <w:rsid w:val="00AE1CF3"/>
    <w:rsid w:val="00AE3343"/>
    <w:rsid w:val="00AE3576"/>
    <w:rsid w:val="00AE4488"/>
    <w:rsid w:val="00AE46B3"/>
    <w:rsid w:val="00AE4E1A"/>
    <w:rsid w:val="00AE4FA2"/>
    <w:rsid w:val="00AE610E"/>
    <w:rsid w:val="00AE650B"/>
    <w:rsid w:val="00AE652F"/>
    <w:rsid w:val="00AE6AD3"/>
    <w:rsid w:val="00AE6F76"/>
    <w:rsid w:val="00AE74B2"/>
    <w:rsid w:val="00AE78E1"/>
    <w:rsid w:val="00AE7A8F"/>
    <w:rsid w:val="00AE7DEC"/>
    <w:rsid w:val="00AF0414"/>
    <w:rsid w:val="00AF04D6"/>
    <w:rsid w:val="00AF0E69"/>
    <w:rsid w:val="00AF0FF5"/>
    <w:rsid w:val="00AF1665"/>
    <w:rsid w:val="00AF1DF6"/>
    <w:rsid w:val="00AF23A3"/>
    <w:rsid w:val="00AF295A"/>
    <w:rsid w:val="00AF2A11"/>
    <w:rsid w:val="00AF386C"/>
    <w:rsid w:val="00AF3971"/>
    <w:rsid w:val="00AF3F2F"/>
    <w:rsid w:val="00AF402D"/>
    <w:rsid w:val="00AF4164"/>
    <w:rsid w:val="00AF41BB"/>
    <w:rsid w:val="00AF4952"/>
    <w:rsid w:val="00AF5042"/>
    <w:rsid w:val="00AF6269"/>
    <w:rsid w:val="00AF6A60"/>
    <w:rsid w:val="00AF7E21"/>
    <w:rsid w:val="00AF7F86"/>
    <w:rsid w:val="00B0000F"/>
    <w:rsid w:val="00B00CAA"/>
    <w:rsid w:val="00B013D1"/>
    <w:rsid w:val="00B0282B"/>
    <w:rsid w:val="00B02939"/>
    <w:rsid w:val="00B0370C"/>
    <w:rsid w:val="00B03A75"/>
    <w:rsid w:val="00B03BA9"/>
    <w:rsid w:val="00B04069"/>
    <w:rsid w:val="00B04750"/>
    <w:rsid w:val="00B0595C"/>
    <w:rsid w:val="00B068D2"/>
    <w:rsid w:val="00B06B50"/>
    <w:rsid w:val="00B07FEE"/>
    <w:rsid w:val="00B10688"/>
    <w:rsid w:val="00B106EE"/>
    <w:rsid w:val="00B10F98"/>
    <w:rsid w:val="00B111CB"/>
    <w:rsid w:val="00B11412"/>
    <w:rsid w:val="00B11B60"/>
    <w:rsid w:val="00B1247A"/>
    <w:rsid w:val="00B124B8"/>
    <w:rsid w:val="00B126BC"/>
    <w:rsid w:val="00B12A84"/>
    <w:rsid w:val="00B12FF7"/>
    <w:rsid w:val="00B13CE0"/>
    <w:rsid w:val="00B13E95"/>
    <w:rsid w:val="00B142EF"/>
    <w:rsid w:val="00B14C77"/>
    <w:rsid w:val="00B14FAE"/>
    <w:rsid w:val="00B150F3"/>
    <w:rsid w:val="00B166AC"/>
    <w:rsid w:val="00B16700"/>
    <w:rsid w:val="00B171BD"/>
    <w:rsid w:val="00B17434"/>
    <w:rsid w:val="00B17EE2"/>
    <w:rsid w:val="00B2008A"/>
    <w:rsid w:val="00B20C27"/>
    <w:rsid w:val="00B21619"/>
    <w:rsid w:val="00B2164D"/>
    <w:rsid w:val="00B21A5E"/>
    <w:rsid w:val="00B21D11"/>
    <w:rsid w:val="00B224C2"/>
    <w:rsid w:val="00B22634"/>
    <w:rsid w:val="00B226CB"/>
    <w:rsid w:val="00B2271E"/>
    <w:rsid w:val="00B22DFB"/>
    <w:rsid w:val="00B23087"/>
    <w:rsid w:val="00B2360F"/>
    <w:rsid w:val="00B24940"/>
    <w:rsid w:val="00B256ED"/>
    <w:rsid w:val="00B25970"/>
    <w:rsid w:val="00B25FDB"/>
    <w:rsid w:val="00B2648D"/>
    <w:rsid w:val="00B26C26"/>
    <w:rsid w:val="00B26DEB"/>
    <w:rsid w:val="00B26F51"/>
    <w:rsid w:val="00B273E1"/>
    <w:rsid w:val="00B27487"/>
    <w:rsid w:val="00B27C08"/>
    <w:rsid w:val="00B30061"/>
    <w:rsid w:val="00B303CD"/>
    <w:rsid w:val="00B30AE7"/>
    <w:rsid w:val="00B31C9A"/>
    <w:rsid w:val="00B32040"/>
    <w:rsid w:val="00B324BB"/>
    <w:rsid w:val="00B3291D"/>
    <w:rsid w:val="00B32926"/>
    <w:rsid w:val="00B32933"/>
    <w:rsid w:val="00B32E27"/>
    <w:rsid w:val="00B3397E"/>
    <w:rsid w:val="00B3447A"/>
    <w:rsid w:val="00B344BC"/>
    <w:rsid w:val="00B348B1"/>
    <w:rsid w:val="00B34CF4"/>
    <w:rsid w:val="00B357AD"/>
    <w:rsid w:val="00B35C85"/>
    <w:rsid w:val="00B36351"/>
    <w:rsid w:val="00B36451"/>
    <w:rsid w:val="00B367A5"/>
    <w:rsid w:val="00B37747"/>
    <w:rsid w:val="00B37895"/>
    <w:rsid w:val="00B378DE"/>
    <w:rsid w:val="00B37C7A"/>
    <w:rsid w:val="00B400FE"/>
    <w:rsid w:val="00B40404"/>
    <w:rsid w:val="00B405CD"/>
    <w:rsid w:val="00B406A7"/>
    <w:rsid w:val="00B408E1"/>
    <w:rsid w:val="00B409EF"/>
    <w:rsid w:val="00B41603"/>
    <w:rsid w:val="00B4164F"/>
    <w:rsid w:val="00B4178E"/>
    <w:rsid w:val="00B42145"/>
    <w:rsid w:val="00B42846"/>
    <w:rsid w:val="00B428E0"/>
    <w:rsid w:val="00B43087"/>
    <w:rsid w:val="00B436B3"/>
    <w:rsid w:val="00B43A5E"/>
    <w:rsid w:val="00B43BA3"/>
    <w:rsid w:val="00B447AF"/>
    <w:rsid w:val="00B454C6"/>
    <w:rsid w:val="00B45714"/>
    <w:rsid w:val="00B45B28"/>
    <w:rsid w:val="00B45C21"/>
    <w:rsid w:val="00B46AC7"/>
    <w:rsid w:val="00B474A1"/>
    <w:rsid w:val="00B47A79"/>
    <w:rsid w:val="00B47C36"/>
    <w:rsid w:val="00B47E6C"/>
    <w:rsid w:val="00B47F21"/>
    <w:rsid w:val="00B50060"/>
    <w:rsid w:val="00B5027B"/>
    <w:rsid w:val="00B50ECE"/>
    <w:rsid w:val="00B51B0A"/>
    <w:rsid w:val="00B5249C"/>
    <w:rsid w:val="00B52808"/>
    <w:rsid w:val="00B52A09"/>
    <w:rsid w:val="00B531D4"/>
    <w:rsid w:val="00B53353"/>
    <w:rsid w:val="00B540EE"/>
    <w:rsid w:val="00B550D9"/>
    <w:rsid w:val="00B56A63"/>
    <w:rsid w:val="00B5706A"/>
    <w:rsid w:val="00B578B9"/>
    <w:rsid w:val="00B57CB7"/>
    <w:rsid w:val="00B60B77"/>
    <w:rsid w:val="00B60C41"/>
    <w:rsid w:val="00B60E06"/>
    <w:rsid w:val="00B61CEF"/>
    <w:rsid w:val="00B62245"/>
    <w:rsid w:val="00B62504"/>
    <w:rsid w:val="00B62D7D"/>
    <w:rsid w:val="00B6339F"/>
    <w:rsid w:val="00B635E1"/>
    <w:rsid w:val="00B63989"/>
    <w:rsid w:val="00B639A6"/>
    <w:rsid w:val="00B640FD"/>
    <w:rsid w:val="00B64DA6"/>
    <w:rsid w:val="00B659FE"/>
    <w:rsid w:val="00B65AE7"/>
    <w:rsid w:val="00B65B4D"/>
    <w:rsid w:val="00B661EC"/>
    <w:rsid w:val="00B66577"/>
    <w:rsid w:val="00B66801"/>
    <w:rsid w:val="00B66840"/>
    <w:rsid w:val="00B66A78"/>
    <w:rsid w:val="00B67108"/>
    <w:rsid w:val="00B671F1"/>
    <w:rsid w:val="00B67D79"/>
    <w:rsid w:val="00B702FF"/>
    <w:rsid w:val="00B70A02"/>
    <w:rsid w:val="00B70A6B"/>
    <w:rsid w:val="00B712BE"/>
    <w:rsid w:val="00B712FF"/>
    <w:rsid w:val="00B713FB"/>
    <w:rsid w:val="00B71541"/>
    <w:rsid w:val="00B727E4"/>
    <w:rsid w:val="00B72A1D"/>
    <w:rsid w:val="00B72FB3"/>
    <w:rsid w:val="00B732FC"/>
    <w:rsid w:val="00B735C1"/>
    <w:rsid w:val="00B73950"/>
    <w:rsid w:val="00B73A02"/>
    <w:rsid w:val="00B73AA5"/>
    <w:rsid w:val="00B73EA9"/>
    <w:rsid w:val="00B74145"/>
    <w:rsid w:val="00B7450F"/>
    <w:rsid w:val="00B74AD6"/>
    <w:rsid w:val="00B750E8"/>
    <w:rsid w:val="00B7521B"/>
    <w:rsid w:val="00B75649"/>
    <w:rsid w:val="00B75A98"/>
    <w:rsid w:val="00B764AC"/>
    <w:rsid w:val="00B76A3B"/>
    <w:rsid w:val="00B8006E"/>
    <w:rsid w:val="00B80572"/>
    <w:rsid w:val="00B80C64"/>
    <w:rsid w:val="00B81263"/>
    <w:rsid w:val="00B814C8"/>
    <w:rsid w:val="00B81AA1"/>
    <w:rsid w:val="00B81B31"/>
    <w:rsid w:val="00B81C9A"/>
    <w:rsid w:val="00B83879"/>
    <w:rsid w:val="00B83B77"/>
    <w:rsid w:val="00B83D1B"/>
    <w:rsid w:val="00B8427E"/>
    <w:rsid w:val="00B84925"/>
    <w:rsid w:val="00B84A1F"/>
    <w:rsid w:val="00B8572E"/>
    <w:rsid w:val="00B8574B"/>
    <w:rsid w:val="00B85AF9"/>
    <w:rsid w:val="00B85B3E"/>
    <w:rsid w:val="00B86809"/>
    <w:rsid w:val="00B870E1"/>
    <w:rsid w:val="00B87453"/>
    <w:rsid w:val="00B8754E"/>
    <w:rsid w:val="00B90087"/>
    <w:rsid w:val="00B9008C"/>
    <w:rsid w:val="00B90E6A"/>
    <w:rsid w:val="00B91116"/>
    <w:rsid w:val="00B913CB"/>
    <w:rsid w:val="00B9177B"/>
    <w:rsid w:val="00B922F1"/>
    <w:rsid w:val="00B92528"/>
    <w:rsid w:val="00B92584"/>
    <w:rsid w:val="00B92682"/>
    <w:rsid w:val="00B92684"/>
    <w:rsid w:val="00B92B41"/>
    <w:rsid w:val="00B92DDB"/>
    <w:rsid w:val="00B934B3"/>
    <w:rsid w:val="00B934F0"/>
    <w:rsid w:val="00B93942"/>
    <w:rsid w:val="00B93C9A"/>
    <w:rsid w:val="00B93E36"/>
    <w:rsid w:val="00B9472B"/>
    <w:rsid w:val="00B94A7A"/>
    <w:rsid w:val="00B951DB"/>
    <w:rsid w:val="00B95879"/>
    <w:rsid w:val="00B9587F"/>
    <w:rsid w:val="00B96263"/>
    <w:rsid w:val="00B9639F"/>
    <w:rsid w:val="00B96401"/>
    <w:rsid w:val="00BA0D80"/>
    <w:rsid w:val="00BA145A"/>
    <w:rsid w:val="00BA16B8"/>
    <w:rsid w:val="00BA1B37"/>
    <w:rsid w:val="00BA3385"/>
    <w:rsid w:val="00BA3429"/>
    <w:rsid w:val="00BA345E"/>
    <w:rsid w:val="00BA4EC4"/>
    <w:rsid w:val="00BA5BB5"/>
    <w:rsid w:val="00BA5D32"/>
    <w:rsid w:val="00BA6F20"/>
    <w:rsid w:val="00BA7B69"/>
    <w:rsid w:val="00BB1108"/>
    <w:rsid w:val="00BB273F"/>
    <w:rsid w:val="00BB33EF"/>
    <w:rsid w:val="00BB3C59"/>
    <w:rsid w:val="00BB439C"/>
    <w:rsid w:val="00BB49E6"/>
    <w:rsid w:val="00BB4A17"/>
    <w:rsid w:val="00BB4A64"/>
    <w:rsid w:val="00BB5148"/>
    <w:rsid w:val="00BB5CB0"/>
    <w:rsid w:val="00BB69BD"/>
    <w:rsid w:val="00BB722C"/>
    <w:rsid w:val="00BB7883"/>
    <w:rsid w:val="00BB7F02"/>
    <w:rsid w:val="00BC0560"/>
    <w:rsid w:val="00BC146E"/>
    <w:rsid w:val="00BC1BB3"/>
    <w:rsid w:val="00BC1C71"/>
    <w:rsid w:val="00BC2463"/>
    <w:rsid w:val="00BC2B29"/>
    <w:rsid w:val="00BC30BD"/>
    <w:rsid w:val="00BC3A87"/>
    <w:rsid w:val="00BC43F6"/>
    <w:rsid w:val="00BC4427"/>
    <w:rsid w:val="00BC449A"/>
    <w:rsid w:val="00BC4F8F"/>
    <w:rsid w:val="00BC4FE1"/>
    <w:rsid w:val="00BC5999"/>
    <w:rsid w:val="00BC5B5B"/>
    <w:rsid w:val="00BC5F46"/>
    <w:rsid w:val="00BC67F1"/>
    <w:rsid w:val="00BC7016"/>
    <w:rsid w:val="00BC7AB8"/>
    <w:rsid w:val="00BC7D27"/>
    <w:rsid w:val="00BC7F04"/>
    <w:rsid w:val="00BD0205"/>
    <w:rsid w:val="00BD092A"/>
    <w:rsid w:val="00BD0ACD"/>
    <w:rsid w:val="00BD10E7"/>
    <w:rsid w:val="00BD1483"/>
    <w:rsid w:val="00BD1CB3"/>
    <w:rsid w:val="00BD2023"/>
    <w:rsid w:val="00BD290F"/>
    <w:rsid w:val="00BD32DA"/>
    <w:rsid w:val="00BD3405"/>
    <w:rsid w:val="00BD393D"/>
    <w:rsid w:val="00BD3D4A"/>
    <w:rsid w:val="00BD4045"/>
    <w:rsid w:val="00BD4FC0"/>
    <w:rsid w:val="00BD524C"/>
    <w:rsid w:val="00BD5C27"/>
    <w:rsid w:val="00BD5C9C"/>
    <w:rsid w:val="00BD6212"/>
    <w:rsid w:val="00BD679F"/>
    <w:rsid w:val="00BD6D5E"/>
    <w:rsid w:val="00BD78AE"/>
    <w:rsid w:val="00BD798A"/>
    <w:rsid w:val="00BD7BE3"/>
    <w:rsid w:val="00BE0912"/>
    <w:rsid w:val="00BE13DB"/>
    <w:rsid w:val="00BE166A"/>
    <w:rsid w:val="00BE1DA9"/>
    <w:rsid w:val="00BE1E32"/>
    <w:rsid w:val="00BE332E"/>
    <w:rsid w:val="00BE3427"/>
    <w:rsid w:val="00BE3AF4"/>
    <w:rsid w:val="00BE4357"/>
    <w:rsid w:val="00BE49DE"/>
    <w:rsid w:val="00BE56C1"/>
    <w:rsid w:val="00BE5FB9"/>
    <w:rsid w:val="00BE604F"/>
    <w:rsid w:val="00BE6336"/>
    <w:rsid w:val="00BE65CB"/>
    <w:rsid w:val="00BE6687"/>
    <w:rsid w:val="00BF0056"/>
    <w:rsid w:val="00BF01B8"/>
    <w:rsid w:val="00BF03B9"/>
    <w:rsid w:val="00BF04F5"/>
    <w:rsid w:val="00BF12F0"/>
    <w:rsid w:val="00BF1582"/>
    <w:rsid w:val="00BF18BD"/>
    <w:rsid w:val="00BF1BF9"/>
    <w:rsid w:val="00BF1E83"/>
    <w:rsid w:val="00BF231F"/>
    <w:rsid w:val="00BF2547"/>
    <w:rsid w:val="00BF256F"/>
    <w:rsid w:val="00BF26A8"/>
    <w:rsid w:val="00BF297E"/>
    <w:rsid w:val="00BF2CFC"/>
    <w:rsid w:val="00BF2FE6"/>
    <w:rsid w:val="00BF323F"/>
    <w:rsid w:val="00BF3821"/>
    <w:rsid w:val="00BF398A"/>
    <w:rsid w:val="00BF3F6E"/>
    <w:rsid w:val="00BF46D8"/>
    <w:rsid w:val="00BF505F"/>
    <w:rsid w:val="00BF515E"/>
    <w:rsid w:val="00BF56CB"/>
    <w:rsid w:val="00BF58F7"/>
    <w:rsid w:val="00BF5CBA"/>
    <w:rsid w:val="00BF6BA0"/>
    <w:rsid w:val="00BF6F10"/>
    <w:rsid w:val="00BF713E"/>
    <w:rsid w:val="00BF7508"/>
    <w:rsid w:val="00C00028"/>
    <w:rsid w:val="00C001BE"/>
    <w:rsid w:val="00C00752"/>
    <w:rsid w:val="00C00A3A"/>
    <w:rsid w:val="00C00B3F"/>
    <w:rsid w:val="00C00B5C"/>
    <w:rsid w:val="00C00F08"/>
    <w:rsid w:val="00C013FD"/>
    <w:rsid w:val="00C016B8"/>
    <w:rsid w:val="00C0184D"/>
    <w:rsid w:val="00C01B14"/>
    <w:rsid w:val="00C0272B"/>
    <w:rsid w:val="00C027F2"/>
    <w:rsid w:val="00C05215"/>
    <w:rsid w:val="00C05289"/>
    <w:rsid w:val="00C05364"/>
    <w:rsid w:val="00C053FA"/>
    <w:rsid w:val="00C05C1B"/>
    <w:rsid w:val="00C05CB3"/>
    <w:rsid w:val="00C05DE1"/>
    <w:rsid w:val="00C0616C"/>
    <w:rsid w:val="00C06B18"/>
    <w:rsid w:val="00C10422"/>
    <w:rsid w:val="00C10BCE"/>
    <w:rsid w:val="00C10E1F"/>
    <w:rsid w:val="00C1176E"/>
    <w:rsid w:val="00C12381"/>
    <w:rsid w:val="00C1247D"/>
    <w:rsid w:val="00C128EE"/>
    <w:rsid w:val="00C12E99"/>
    <w:rsid w:val="00C13050"/>
    <w:rsid w:val="00C13420"/>
    <w:rsid w:val="00C134C7"/>
    <w:rsid w:val="00C14B4C"/>
    <w:rsid w:val="00C14BE6"/>
    <w:rsid w:val="00C150B1"/>
    <w:rsid w:val="00C1540A"/>
    <w:rsid w:val="00C15D7D"/>
    <w:rsid w:val="00C162C2"/>
    <w:rsid w:val="00C165EF"/>
    <w:rsid w:val="00C1694D"/>
    <w:rsid w:val="00C16D72"/>
    <w:rsid w:val="00C16FFB"/>
    <w:rsid w:val="00C17992"/>
    <w:rsid w:val="00C205AC"/>
    <w:rsid w:val="00C208A5"/>
    <w:rsid w:val="00C213EB"/>
    <w:rsid w:val="00C21951"/>
    <w:rsid w:val="00C220DC"/>
    <w:rsid w:val="00C22FCF"/>
    <w:rsid w:val="00C23F2A"/>
    <w:rsid w:val="00C2419D"/>
    <w:rsid w:val="00C24D25"/>
    <w:rsid w:val="00C24F50"/>
    <w:rsid w:val="00C250E3"/>
    <w:rsid w:val="00C25168"/>
    <w:rsid w:val="00C25275"/>
    <w:rsid w:val="00C26134"/>
    <w:rsid w:val="00C2660C"/>
    <w:rsid w:val="00C26B6A"/>
    <w:rsid w:val="00C271E7"/>
    <w:rsid w:val="00C272DF"/>
    <w:rsid w:val="00C27483"/>
    <w:rsid w:val="00C30757"/>
    <w:rsid w:val="00C30C9F"/>
    <w:rsid w:val="00C30E6A"/>
    <w:rsid w:val="00C30F2C"/>
    <w:rsid w:val="00C310FA"/>
    <w:rsid w:val="00C3119D"/>
    <w:rsid w:val="00C311DE"/>
    <w:rsid w:val="00C31720"/>
    <w:rsid w:val="00C3195F"/>
    <w:rsid w:val="00C31C24"/>
    <w:rsid w:val="00C322AE"/>
    <w:rsid w:val="00C326EA"/>
    <w:rsid w:val="00C3367E"/>
    <w:rsid w:val="00C33904"/>
    <w:rsid w:val="00C33D3C"/>
    <w:rsid w:val="00C3552E"/>
    <w:rsid w:val="00C355BB"/>
    <w:rsid w:val="00C35DAF"/>
    <w:rsid w:val="00C363D2"/>
    <w:rsid w:val="00C36D75"/>
    <w:rsid w:val="00C36E77"/>
    <w:rsid w:val="00C3708A"/>
    <w:rsid w:val="00C370C9"/>
    <w:rsid w:val="00C37272"/>
    <w:rsid w:val="00C372AD"/>
    <w:rsid w:val="00C37F1F"/>
    <w:rsid w:val="00C41994"/>
    <w:rsid w:val="00C41BA0"/>
    <w:rsid w:val="00C41D28"/>
    <w:rsid w:val="00C423C8"/>
    <w:rsid w:val="00C42ED8"/>
    <w:rsid w:val="00C42F16"/>
    <w:rsid w:val="00C42F9D"/>
    <w:rsid w:val="00C4306D"/>
    <w:rsid w:val="00C431B9"/>
    <w:rsid w:val="00C4379A"/>
    <w:rsid w:val="00C43B6E"/>
    <w:rsid w:val="00C44403"/>
    <w:rsid w:val="00C44AEE"/>
    <w:rsid w:val="00C4521F"/>
    <w:rsid w:val="00C4536E"/>
    <w:rsid w:val="00C454C7"/>
    <w:rsid w:val="00C45F86"/>
    <w:rsid w:val="00C46121"/>
    <w:rsid w:val="00C46152"/>
    <w:rsid w:val="00C463C8"/>
    <w:rsid w:val="00C46993"/>
    <w:rsid w:val="00C46C3D"/>
    <w:rsid w:val="00C476B7"/>
    <w:rsid w:val="00C47C63"/>
    <w:rsid w:val="00C50171"/>
    <w:rsid w:val="00C5223D"/>
    <w:rsid w:val="00C5248C"/>
    <w:rsid w:val="00C53350"/>
    <w:rsid w:val="00C53391"/>
    <w:rsid w:val="00C534B7"/>
    <w:rsid w:val="00C53738"/>
    <w:rsid w:val="00C53DC0"/>
    <w:rsid w:val="00C5463C"/>
    <w:rsid w:val="00C552D5"/>
    <w:rsid w:val="00C55F4A"/>
    <w:rsid w:val="00C55FEB"/>
    <w:rsid w:val="00C56266"/>
    <w:rsid w:val="00C56D94"/>
    <w:rsid w:val="00C573C5"/>
    <w:rsid w:val="00C600E3"/>
    <w:rsid w:val="00C6093A"/>
    <w:rsid w:val="00C613DB"/>
    <w:rsid w:val="00C6150C"/>
    <w:rsid w:val="00C615B5"/>
    <w:rsid w:val="00C628CF"/>
    <w:rsid w:val="00C62906"/>
    <w:rsid w:val="00C62A4E"/>
    <w:rsid w:val="00C634A5"/>
    <w:rsid w:val="00C63C0C"/>
    <w:rsid w:val="00C63C4E"/>
    <w:rsid w:val="00C63D13"/>
    <w:rsid w:val="00C640FB"/>
    <w:rsid w:val="00C65696"/>
    <w:rsid w:val="00C6709B"/>
    <w:rsid w:val="00C67500"/>
    <w:rsid w:val="00C67C1C"/>
    <w:rsid w:val="00C701CE"/>
    <w:rsid w:val="00C70232"/>
    <w:rsid w:val="00C70260"/>
    <w:rsid w:val="00C705D4"/>
    <w:rsid w:val="00C70AFB"/>
    <w:rsid w:val="00C713CE"/>
    <w:rsid w:val="00C71918"/>
    <w:rsid w:val="00C71F59"/>
    <w:rsid w:val="00C7234B"/>
    <w:rsid w:val="00C725E6"/>
    <w:rsid w:val="00C72FC2"/>
    <w:rsid w:val="00C7376C"/>
    <w:rsid w:val="00C74030"/>
    <w:rsid w:val="00C751AB"/>
    <w:rsid w:val="00C7524A"/>
    <w:rsid w:val="00C7605D"/>
    <w:rsid w:val="00C76240"/>
    <w:rsid w:val="00C76684"/>
    <w:rsid w:val="00C76761"/>
    <w:rsid w:val="00C76CF1"/>
    <w:rsid w:val="00C76ED1"/>
    <w:rsid w:val="00C7751C"/>
    <w:rsid w:val="00C777A7"/>
    <w:rsid w:val="00C779E7"/>
    <w:rsid w:val="00C80403"/>
    <w:rsid w:val="00C8079F"/>
    <w:rsid w:val="00C80BC5"/>
    <w:rsid w:val="00C80D19"/>
    <w:rsid w:val="00C814BE"/>
    <w:rsid w:val="00C8150C"/>
    <w:rsid w:val="00C81BF2"/>
    <w:rsid w:val="00C81D37"/>
    <w:rsid w:val="00C81E36"/>
    <w:rsid w:val="00C82082"/>
    <w:rsid w:val="00C83090"/>
    <w:rsid w:val="00C83214"/>
    <w:rsid w:val="00C833ED"/>
    <w:rsid w:val="00C83631"/>
    <w:rsid w:val="00C84B3D"/>
    <w:rsid w:val="00C85510"/>
    <w:rsid w:val="00C8563F"/>
    <w:rsid w:val="00C85B39"/>
    <w:rsid w:val="00C85D1C"/>
    <w:rsid w:val="00C85EA1"/>
    <w:rsid w:val="00C86449"/>
    <w:rsid w:val="00C8649A"/>
    <w:rsid w:val="00C86729"/>
    <w:rsid w:val="00C86866"/>
    <w:rsid w:val="00C86B23"/>
    <w:rsid w:val="00C87A05"/>
    <w:rsid w:val="00C87FF1"/>
    <w:rsid w:val="00C9068D"/>
    <w:rsid w:val="00C90938"/>
    <w:rsid w:val="00C90B36"/>
    <w:rsid w:val="00C90C1C"/>
    <w:rsid w:val="00C91032"/>
    <w:rsid w:val="00C913E4"/>
    <w:rsid w:val="00C9145F"/>
    <w:rsid w:val="00C91E4A"/>
    <w:rsid w:val="00C921F3"/>
    <w:rsid w:val="00C92DCC"/>
    <w:rsid w:val="00C93950"/>
    <w:rsid w:val="00C94427"/>
    <w:rsid w:val="00C944EB"/>
    <w:rsid w:val="00C949F0"/>
    <w:rsid w:val="00C94EE3"/>
    <w:rsid w:val="00C95469"/>
    <w:rsid w:val="00C956DD"/>
    <w:rsid w:val="00C95FA6"/>
    <w:rsid w:val="00C9647C"/>
    <w:rsid w:val="00C96E82"/>
    <w:rsid w:val="00C97391"/>
    <w:rsid w:val="00C973B7"/>
    <w:rsid w:val="00C977A1"/>
    <w:rsid w:val="00C97FCD"/>
    <w:rsid w:val="00CA06D1"/>
    <w:rsid w:val="00CA0A0E"/>
    <w:rsid w:val="00CA0CD8"/>
    <w:rsid w:val="00CA0E63"/>
    <w:rsid w:val="00CA1BB9"/>
    <w:rsid w:val="00CA1D82"/>
    <w:rsid w:val="00CA239E"/>
    <w:rsid w:val="00CA2522"/>
    <w:rsid w:val="00CA33F9"/>
    <w:rsid w:val="00CA3602"/>
    <w:rsid w:val="00CA4277"/>
    <w:rsid w:val="00CA45C7"/>
    <w:rsid w:val="00CA50DD"/>
    <w:rsid w:val="00CA50FE"/>
    <w:rsid w:val="00CA56EE"/>
    <w:rsid w:val="00CA5793"/>
    <w:rsid w:val="00CA58CE"/>
    <w:rsid w:val="00CA5D1B"/>
    <w:rsid w:val="00CA5DDF"/>
    <w:rsid w:val="00CA5E61"/>
    <w:rsid w:val="00CA6B59"/>
    <w:rsid w:val="00CA7009"/>
    <w:rsid w:val="00CA7159"/>
    <w:rsid w:val="00CA7908"/>
    <w:rsid w:val="00CA7B67"/>
    <w:rsid w:val="00CB092C"/>
    <w:rsid w:val="00CB0E6C"/>
    <w:rsid w:val="00CB12E2"/>
    <w:rsid w:val="00CB1A49"/>
    <w:rsid w:val="00CB23E4"/>
    <w:rsid w:val="00CB3E6F"/>
    <w:rsid w:val="00CB421E"/>
    <w:rsid w:val="00CB4D85"/>
    <w:rsid w:val="00CB5622"/>
    <w:rsid w:val="00CB6509"/>
    <w:rsid w:val="00CB651C"/>
    <w:rsid w:val="00CB6B1A"/>
    <w:rsid w:val="00CB7647"/>
    <w:rsid w:val="00CB7953"/>
    <w:rsid w:val="00CB7D3D"/>
    <w:rsid w:val="00CC038A"/>
    <w:rsid w:val="00CC188E"/>
    <w:rsid w:val="00CC1DF8"/>
    <w:rsid w:val="00CC235C"/>
    <w:rsid w:val="00CC2FFB"/>
    <w:rsid w:val="00CC337D"/>
    <w:rsid w:val="00CC481B"/>
    <w:rsid w:val="00CC58E4"/>
    <w:rsid w:val="00CC5A72"/>
    <w:rsid w:val="00CC5EFB"/>
    <w:rsid w:val="00CC6A68"/>
    <w:rsid w:val="00CC6DF4"/>
    <w:rsid w:val="00CC7EF5"/>
    <w:rsid w:val="00CD0115"/>
    <w:rsid w:val="00CD02E3"/>
    <w:rsid w:val="00CD0AAB"/>
    <w:rsid w:val="00CD0E1B"/>
    <w:rsid w:val="00CD14D2"/>
    <w:rsid w:val="00CD1C79"/>
    <w:rsid w:val="00CD2D63"/>
    <w:rsid w:val="00CD2F6C"/>
    <w:rsid w:val="00CD31B9"/>
    <w:rsid w:val="00CD34E0"/>
    <w:rsid w:val="00CD34F6"/>
    <w:rsid w:val="00CD365E"/>
    <w:rsid w:val="00CD3A1D"/>
    <w:rsid w:val="00CD3FB4"/>
    <w:rsid w:val="00CD40F1"/>
    <w:rsid w:val="00CD42BE"/>
    <w:rsid w:val="00CD4982"/>
    <w:rsid w:val="00CD4A7D"/>
    <w:rsid w:val="00CD5096"/>
    <w:rsid w:val="00CD51E6"/>
    <w:rsid w:val="00CD5A14"/>
    <w:rsid w:val="00CD64CA"/>
    <w:rsid w:val="00CD67B8"/>
    <w:rsid w:val="00CD67E3"/>
    <w:rsid w:val="00CD6E0E"/>
    <w:rsid w:val="00CD6F9C"/>
    <w:rsid w:val="00CE05C3"/>
    <w:rsid w:val="00CE1BDD"/>
    <w:rsid w:val="00CE1C9D"/>
    <w:rsid w:val="00CE2A23"/>
    <w:rsid w:val="00CE2B7E"/>
    <w:rsid w:val="00CE4896"/>
    <w:rsid w:val="00CE4BA8"/>
    <w:rsid w:val="00CE4E66"/>
    <w:rsid w:val="00CE52DC"/>
    <w:rsid w:val="00CE54D8"/>
    <w:rsid w:val="00CE5694"/>
    <w:rsid w:val="00CE5983"/>
    <w:rsid w:val="00CE6ED1"/>
    <w:rsid w:val="00CE7D37"/>
    <w:rsid w:val="00CF0769"/>
    <w:rsid w:val="00CF0F05"/>
    <w:rsid w:val="00CF1725"/>
    <w:rsid w:val="00CF1F21"/>
    <w:rsid w:val="00CF1F42"/>
    <w:rsid w:val="00CF1F84"/>
    <w:rsid w:val="00CF236C"/>
    <w:rsid w:val="00CF2C43"/>
    <w:rsid w:val="00CF2EF4"/>
    <w:rsid w:val="00CF3226"/>
    <w:rsid w:val="00CF37B0"/>
    <w:rsid w:val="00CF388C"/>
    <w:rsid w:val="00CF3952"/>
    <w:rsid w:val="00CF3B1C"/>
    <w:rsid w:val="00CF46F4"/>
    <w:rsid w:val="00CF4BD7"/>
    <w:rsid w:val="00CF5059"/>
    <w:rsid w:val="00CF561C"/>
    <w:rsid w:val="00CF6323"/>
    <w:rsid w:val="00CF6CBA"/>
    <w:rsid w:val="00CF70E8"/>
    <w:rsid w:val="00CF7259"/>
    <w:rsid w:val="00CF7356"/>
    <w:rsid w:val="00CF7BFE"/>
    <w:rsid w:val="00CF7E4A"/>
    <w:rsid w:val="00D003BF"/>
    <w:rsid w:val="00D00BC0"/>
    <w:rsid w:val="00D00CDC"/>
    <w:rsid w:val="00D013FF"/>
    <w:rsid w:val="00D014DA"/>
    <w:rsid w:val="00D0154F"/>
    <w:rsid w:val="00D01694"/>
    <w:rsid w:val="00D026BC"/>
    <w:rsid w:val="00D02817"/>
    <w:rsid w:val="00D03BC1"/>
    <w:rsid w:val="00D042C9"/>
    <w:rsid w:val="00D04814"/>
    <w:rsid w:val="00D05344"/>
    <w:rsid w:val="00D060BA"/>
    <w:rsid w:val="00D06694"/>
    <w:rsid w:val="00D0679F"/>
    <w:rsid w:val="00D06A36"/>
    <w:rsid w:val="00D06BE1"/>
    <w:rsid w:val="00D101CA"/>
    <w:rsid w:val="00D105C2"/>
    <w:rsid w:val="00D1083D"/>
    <w:rsid w:val="00D10A1B"/>
    <w:rsid w:val="00D10ABB"/>
    <w:rsid w:val="00D10B86"/>
    <w:rsid w:val="00D11206"/>
    <w:rsid w:val="00D11FCD"/>
    <w:rsid w:val="00D1209B"/>
    <w:rsid w:val="00D12115"/>
    <w:rsid w:val="00D12241"/>
    <w:rsid w:val="00D1248B"/>
    <w:rsid w:val="00D12AC6"/>
    <w:rsid w:val="00D13B44"/>
    <w:rsid w:val="00D14119"/>
    <w:rsid w:val="00D14215"/>
    <w:rsid w:val="00D1437D"/>
    <w:rsid w:val="00D146BC"/>
    <w:rsid w:val="00D14B34"/>
    <w:rsid w:val="00D14C7C"/>
    <w:rsid w:val="00D14E7F"/>
    <w:rsid w:val="00D14F74"/>
    <w:rsid w:val="00D152B1"/>
    <w:rsid w:val="00D15FFA"/>
    <w:rsid w:val="00D16E87"/>
    <w:rsid w:val="00D178E3"/>
    <w:rsid w:val="00D17CE3"/>
    <w:rsid w:val="00D206F5"/>
    <w:rsid w:val="00D20BDA"/>
    <w:rsid w:val="00D21A0D"/>
    <w:rsid w:val="00D21C9C"/>
    <w:rsid w:val="00D21E2C"/>
    <w:rsid w:val="00D2253D"/>
    <w:rsid w:val="00D2255B"/>
    <w:rsid w:val="00D23099"/>
    <w:rsid w:val="00D241B6"/>
    <w:rsid w:val="00D24A28"/>
    <w:rsid w:val="00D25DD4"/>
    <w:rsid w:val="00D2610B"/>
    <w:rsid w:val="00D26245"/>
    <w:rsid w:val="00D26498"/>
    <w:rsid w:val="00D26ACE"/>
    <w:rsid w:val="00D2710C"/>
    <w:rsid w:val="00D27E41"/>
    <w:rsid w:val="00D3120B"/>
    <w:rsid w:val="00D3167F"/>
    <w:rsid w:val="00D31796"/>
    <w:rsid w:val="00D32A79"/>
    <w:rsid w:val="00D32CBB"/>
    <w:rsid w:val="00D32F59"/>
    <w:rsid w:val="00D3356A"/>
    <w:rsid w:val="00D33ADD"/>
    <w:rsid w:val="00D3446C"/>
    <w:rsid w:val="00D348BE"/>
    <w:rsid w:val="00D34F2B"/>
    <w:rsid w:val="00D34FDC"/>
    <w:rsid w:val="00D35128"/>
    <w:rsid w:val="00D35A9C"/>
    <w:rsid w:val="00D36949"/>
    <w:rsid w:val="00D3695F"/>
    <w:rsid w:val="00D36B1E"/>
    <w:rsid w:val="00D37521"/>
    <w:rsid w:val="00D37971"/>
    <w:rsid w:val="00D4045B"/>
    <w:rsid w:val="00D40D44"/>
    <w:rsid w:val="00D41414"/>
    <w:rsid w:val="00D414AF"/>
    <w:rsid w:val="00D414CB"/>
    <w:rsid w:val="00D423AF"/>
    <w:rsid w:val="00D426B9"/>
    <w:rsid w:val="00D429FB"/>
    <w:rsid w:val="00D42DB9"/>
    <w:rsid w:val="00D435F5"/>
    <w:rsid w:val="00D43BAE"/>
    <w:rsid w:val="00D43BC0"/>
    <w:rsid w:val="00D448AB"/>
    <w:rsid w:val="00D44983"/>
    <w:rsid w:val="00D44ECA"/>
    <w:rsid w:val="00D44FE4"/>
    <w:rsid w:val="00D45889"/>
    <w:rsid w:val="00D46488"/>
    <w:rsid w:val="00D466C1"/>
    <w:rsid w:val="00D46C30"/>
    <w:rsid w:val="00D471BF"/>
    <w:rsid w:val="00D4727F"/>
    <w:rsid w:val="00D4735F"/>
    <w:rsid w:val="00D47F4F"/>
    <w:rsid w:val="00D50977"/>
    <w:rsid w:val="00D50AC9"/>
    <w:rsid w:val="00D50EEA"/>
    <w:rsid w:val="00D5140B"/>
    <w:rsid w:val="00D5184D"/>
    <w:rsid w:val="00D51903"/>
    <w:rsid w:val="00D5190A"/>
    <w:rsid w:val="00D51970"/>
    <w:rsid w:val="00D519EC"/>
    <w:rsid w:val="00D51A34"/>
    <w:rsid w:val="00D51A6E"/>
    <w:rsid w:val="00D51BC2"/>
    <w:rsid w:val="00D51E48"/>
    <w:rsid w:val="00D522AA"/>
    <w:rsid w:val="00D5278E"/>
    <w:rsid w:val="00D529D7"/>
    <w:rsid w:val="00D52BCF"/>
    <w:rsid w:val="00D533BB"/>
    <w:rsid w:val="00D53815"/>
    <w:rsid w:val="00D5452D"/>
    <w:rsid w:val="00D54913"/>
    <w:rsid w:val="00D550F4"/>
    <w:rsid w:val="00D556CE"/>
    <w:rsid w:val="00D55AC3"/>
    <w:rsid w:val="00D56B9C"/>
    <w:rsid w:val="00D57560"/>
    <w:rsid w:val="00D57947"/>
    <w:rsid w:val="00D57A31"/>
    <w:rsid w:val="00D57B97"/>
    <w:rsid w:val="00D60290"/>
    <w:rsid w:val="00D6082D"/>
    <w:rsid w:val="00D60DDC"/>
    <w:rsid w:val="00D61160"/>
    <w:rsid w:val="00D6142E"/>
    <w:rsid w:val="00D6206A"/>
    <w:rsid w:val="00D62462"/>
    <w:rsid w:val="00D63C24"/>
    <w:rsid w:val="00D65CBA"/>
    <w:rsid w:val="00D672CA"/>
    <w:rsid w:val="00D67482"/>
    <w:rsid w:val="00D6758C"/>
    <w:rsid w:val="00D67CAA"/>
    <w:rsid w:val="00D67FB1"/>
    <w:rsid w:val="00D701CE"/>
    <w:rsid w:val="00D702D9"/>
    <w:rsid w:val="00D7090B"/>
    <w:rsid w:val="00D711FD"/>
    <w:rsid w:val="00D717C3"/>
    <w:rsid w:val="00D71A61"/>
    <w:rsid w:val="00D72341"/>
    <w:rsid w:val="00D7402C"/>
    <w:rsid w:val="00D74190"/>
    <w:rsid w:val="00D74BA1"/>
    <w:rsid w:val="00D74FD4"/>
    <w:rsid w:val="00D751D1"/>
    <w:rsid w:val="00D754E5"/>
    <w:rsid w:val="00D75726"/>
    <w:rsid w:val="00D75882"/>
    <w:rsid w:val="00D765FC"/>
    <w:rsid w:val="00D77465"/>
    <w:rsid w:val="00D775F2"/>
    <w:rsid w:val="00D77CFC"/>
    <w:rsid w:val="00D80226"/>
    <w:rsid w:val="00D80BEC"/>
    <w:rsid w:val="00D80FBB"/>
    <w:rsid w:val="00D815CC"/>
    <w:rsid w:val="00D818F4"/>
    <w:rsid w:val="00D82557"/>
    <w:rsid w:val="00D82E2E"/>
    <w:rsid w:val="00D82E46"/>
    <w:rsid w:val="00D8373D"/>
    <w:rsid w:val="00D83D6F"/>
    <w:rsid w:val="00D84BB4"/>
    <w:rsid w:val="00D8515F"/>
    <w:rsid w:val="00D85AAF"/>
    <w:rsid w:val="00D86018"/>
    <w:rsid w:val="00D862E8"/>
    <w:rsid w:val="00D86678"/>
    <w:rsid w:val="00D9083D"/>
    <w:rsid w:val="00D90F23"/>
    <w:rsid w:val="00D90F93"/>
    <w:rsid w:val="00D92519"/>
    <w:rsid w:val="00D9260A"/>
    <w:rsid w:val="00D927A4"/>
    <w:rsid w:val="00D92CDA"/>
    <w:rsid w:val="00D93471"/>
    <w:rsid w:val="00D93491"/>
    <w:rsid w:val="00D93ACE"/>
    <w:rsid w:val="00D93AFE"/>
    <w:rsid w:val="00D9509A"/>
    <w:rsid w:val="00D95A5E"/>
    <w:rsid w:val="00D966DA"/>
    <w:rsid w:val="00D96AFC"/>
    <w:rsid w:val="00D96C17"/>
    <w:rsid w:val="00D970E7"/>
    <w:rsid w:val="00D977C0"/>
    <w:rsid w:val="00D97E25"/>
    <w:rsid w:val="00DA021A"/>
    <w:rsid w:val="00DA070C"/>
    <w:rsid w:val="00DA14D4"/>
    <w:rsid w:val="00DA158D"/>
    <w:rsid w:val="00DA1747"/>
    <w:rsid w:val="00DA1B00"/>
    <w:rsid w:val="00DA209F"/>
    <w:rsid w:val="00DA26A3"/>
    <w:rsid w:val="00DA2BE5"/>
    <w:rsid w:val="00DA31F3"/>
    <w:rsid w:val="00DA358C"/>
    <w:rsid w:val="00DA374C"/>
    <w:rsid w:val="00DA3D22"/>
    <w:rsid w:val="00DA407A"/>
    <w:rsid w:val="00DA5974"/>
    <w:rsid w:val="00DA735F"/>
    <w:rsid w:val="00DA7858"/>
    <w:rsid w:val="00DA7B74"/>
    <w:rsid w:val="00DA7BD1"/>
    <w:rsid w:val="00DA7CCA"/>
    <w:rsid w:val="00DA7FBE"/>
    <w:rsid w:val="00DB01EB"/>
    <w:rsid w:val="00DB02EB"/>
    <w:rsid w:val="00DB06BD"/>
    <w:rsid w:val="00DB0736"/>
    <w:rsid w:val="00DB0A02"/>
    <w:rsid w:val="00DB0C7E"/>
    <w:rsid w:val="00DB12CB"/>
    <w:rsid w:val="00DB1332"/>
    <w:rsid w:val="00DB1962"/>
    <w:rsid w:val="00DB1A6B"/>
    <w:rsid w:val="00DB1C5B"/>
    <w:rsid w:val="00DB1E50"/>
    <w:rsid w:val="00DB22EF"/>
    <w:rsid w:val="00DB251C"/>
    <w:rsid w:val="00DB2D86"/>
    <w:rsid w:val="00DB2F62"/>
    <w:rsid w:val="00DB3879"/>
    <w:rsid w:val="00DB3C15"/>
    <w:rsid w:val="00DB3DC2"/>
    <w:rsid w:val="00DB443C"/>
    <w:rsid w:val="00DB482C"/>
    <w:rsid w:val="00DB5302"/>
    <w:rsid w:val="00DB538F"/>
    <w:rsid w:val="00DB5540"/>
    <w:rsid w:val="00DB55FB"/>
    <w:rsid w:val="00DB5BE1"/>
    <w:rsid w:val="00DB5C1C"/>
    <w:rsid w:val="00DB62A8"/>
    <w:rsid w:val="00DB63A5"/>
    <w:rsid w:val="00DB650B"/>
    <w:rsid w:val="00DB698E"/>
    <w:rsid w:val="00DB6B7C"/>
    <w:rsid w:val="00DB6CA3"/>
    <w:rsid w:val="00DB701C"/>
    <w:rsid w:val="00DB73A0"/>
    <w:rsid w:val="00DB7D3B"/>
    <w:rsid w:val="00DC04C5"/>
    <w:rsid w:val="00DC13D4"/>
    <w:rsid w:val="00DC15BD"/>
    <w:rsid w:val="00DC16D7"/>
    <w:rsid w:val="00DC1772"/>
    <w:rsid w:val="00DC2ACE"/>
    <w:rsid w:val="00DC3C66"/>
    <w:rsid w:val="00DC3D8F"/>
    <w:rsid w:val="00DC4000"/>
    <w:rsid w:val="00DC44DE"/>
    <w:rsid w:val="00DC4937"/>
    <w:rsid w:val="00DC49E6"/>
    <w:rsid w:val="00DC4B17"/>
    <w:rsid w:val="00DC53EF"/>
    <w:rsid w:val="00DC5502"/>
    <w:rsid w:val="00DC5706"/>
    <w:rsid w:val="00DC5790"/>
    <w:rsid w:val="00DC589B"/>
    <w:rsid w:val="00DC5950"/>
    <w:rsid w:val="00DC5C7F"/>
    <w:rsid w:val="00DC5D2D"/>
    <w:rsid w:val="00DC7545"/>
    <w:rsid w:val="00DC7CE3"/>
    <w:rsid w:val="00DC7E00"/>
    <w:rsid w:val="00DC7F88"/>
    <w:rsid w:val="00DD021D"/>
    <w:rsid w:val="00DD0351"/>
    <w:rsid w:val="00DD036A"/>
    <w:rsid w:val="00DD0CBB"/>
    <w:rsid w:val="00DD0F6D"/>
    <w:rsid w:val="00DD1275"/>
    <w:rsid w:val="00DD25DF"/>
    <w:rsid w:val="00DD2AF9"/>
    <w:rsid w:val="00DD3415"/>
    <w:rsid w:val="00DD3805"/>
    <w:rsid w:val="00DD4729"/>
    <w:rsid w:val="00DD479F"/>
    <w:rsid w:val="00DD4E47"/>
    <w:rsid w:val="00DD561A"/>
    <w:rsid w:val="00DD598D"/>
    <w:rsid w:val="00DD6D5A"/>
    <w:rsid w:val="00DD7308"/>
    <w:rsid w:val="00DD7A3B"/>
    <w:rsid w:val="00DE0A57"/>
    <w:rsid w:val="00DE0DBE"/>
    <w:rsid w:val="00DE14E4"/>
    <w:rsid w:val="00DE15EE"/>
    <w:rsid w:val="00DE1743"/>
    <w:rsid w:val="00DE246B"/>
    <w:rsid w:val="00DE2B63"/>
    <w:rsid w:val="00DE3715"/>
    <w:rsid w:val="00DE395C"/>
    <w:rsid w:val="00DE3DE6"/>
    <w:rsid w:val="00DE482E"/>
    <w:rsid w:val="00DE4BA9"/>
    <w:rsid w:val="00DE4CF0"/>
    <w:rsid w:val="00DE50F0"/>
    <w:rsid w:val="00DE5856"/>
    <w:rsid w:val="00DE5F82"/>
    <w:rsid w:val="00DE6074"/>
    <w:rsid w:val="00DE63AE"/>
    <w:rsid w:val="00DE6B11"/>
    <w:rsid w:val="00DE6FCC"/>
    <w:rsid w:val="00DE76E4"/>
    <w:rsid w:val="00DE7B0C"/>
    <w:rsid w:val="00DE7BFB"/>
    <w:rsid w:val="00DE7C6D"/>
    <w:rsid w:val="00DE7E26"/>
    <w:rsid w:val="00DF17B1"/>
    <w:rsid w:val="00DF1B06"/>
    <w:rsid w:val="00DF1B16"/>
    <w:rsid w:val="00DF1C83"/>
    <w:rsid w:val="00DF20F5"/>
    <w:rsid w:val="00DF2557"/>
    <w:rsid w:val="00DF42C9"/>
    <w:rsid w:val="00DF46E9"/>
    <w:rsid w:val="00DF4FC2"/>
    <w:rsid w:val="00DF5225"/>
    <w:rsid w:val="00DF56C5"/>
    <w:rsid w:val="00DF60F7"/>
    <w:rsid w:val="00DF63C0"/>
    <w:rsid w:val="00DF65D7"/>
    <w:rsid w:val="00DF71C9"/>
    <w:rsid w:val="00DF74EE"/>
    <w:rsid w:val="00DF7B4A"/>
    <w:rsid w:val="00DF7CAD"/>
    <w:rsid w:val="00E0002E"/>
    <w:rsid w:val="00E00044"/>
    <w:rsid w:val="00E00259"/>
    <w:rsid w:val="00E002E3"/>
    <w:rsid w:val="00E006A1"/>
    <w:rsid w:val="00E00C40"/>
    <w:rsid w:val="00E00C75"/>
    <w:rsid w:val="00E01200"/>
    <w:rsid w:val="00E0148C"/>
    <w:rsid w:val="00E017EC"/>
    <w:rsid w:val="00E017F0"/>
    <w:rsid w:val="00E01D66"/>
    <w:rsid w:val="00E01F22"/>
    <w:rsid w:val="00E023E7"/>
    <w:rsid w:val="00E036C5"/>
    <w:rsid w:val="00E037A3"/>
    <w:rsid w:val="00E0428C"/>
    <w:rsid w:val="00E04445"/>
    <w:rsid w:val="00E04534"/>
    <w:rsid w:val="00E04A35"/>
    <w:rsid w:val="00E04ACA"/>
    <w:rsid w:val="00E04AEB"/>
    <w:rsid w:val="00E05B9B"/>
    <w:rsid w:val="00E05C2E"/>
    <w:rsid w:val="00E05CC1"/>
    <w:rsid w:val="00E061BF"/>
    <w:rsid w:val="00E06537"/>
    <w:rsid w:val="00E0679D"/>
    <w:rsid w:val="00E06C13"/>
    <w:rsid w:val="00E06F71"/>
    <w:rsid w:val="00E0788C"/>
    <w:rsid w:val="00E07E69"/>
    <w:rsid w:val="00E103A6"/>
    <w:rsid w:val="00E1062F"/>
    <w:rsid w:val="00E108F4"/>
    <w:rsid w:val="00E1223E"/>
    <w:rsid w:val="00E1272C"/>
    <w:rsid w:val="00E12950"/>
    <w:rsid w:val="00E13511"/>
    <w:rsid w:val="00E13580"/>
    <w:rsid w:val="00E1362B"/>
    <w:rsid w:val="00E1365E"/>
    <w:rsid w:val="00E13C3B"/>
    <w:rsid w:val="00E13DF2"/>
    <w:rsid w:val="00E13E87"/>
    <w:rsid w:val="00E148FB"/>
    <w:rsid w:val="00E15249"/>
    <w:rsid w:val="00E15573"/>
    <w:rsid w:val="00E156E4"/>
    <w:rsid w:val="00E15726"/>
    <w:rsid w:val="00E157F1"/>
    <w:rsid w:val="00E15E3B"/>
    <w:rsid w:val="00E16289"/>
    <w:rsid w:val="00E16463"/>
    <w:rsid w:val="00E166CC"/>
    <w:rsid w:val="00E16B0E"/>
    <w:rsid w:val="00E175C0"/>
    <w:rsid w:val="00E17E61"/>
    <w:rsid w:val="00E20796"/>
    <w:rsid w:val="00E20C8C"/>
    <w:rsid w:val="00E20D60"/>
    <w:rsid w:val="00E212D2"/>
    <w:rsid w:val="00E2232D"/>
    <w:rsid w:val="00E2235D"/>
    <w:rsid w:val="00E22A25"/>
    <w:rsid w:val="00E22B5B"/>
    <w:rsid w:val="00E24389"/>
    <w:rsid w:val="00E24E7E"/>
    <w:rsid w:val="00E25D52"/>
    <w:rsid w:val="00E25D76"/>
    <w:rsid w:val="00E27063"/>
    <w:rsid w:val="00E274B1"/>
    <w:rsid w:val="00E303DA"/>
    <w:rsid w:val="00E307B8"/>
    <w:rsid w:val="00E30A3B"/>
    <w:rsid w:val="00E30AB8"/>
    <w:rsid w:val="00E3199B"/>
    <w:rsid w:val="00E322D2"/>
    <w:rsid w:val="00E32B2F"/>
    <w:rsid w:val="00E32BD5"/>
    <w:rsid w:val="00E32C7F"/>
    <w:rsid w:val="00E33377"/>
    <w:rsid w:val="00E34718"/>
    <w:rsid w:val="00E349EC"/>
    <w:rsid w:val="00E34D1C"/>
    <w:rsid w:val="00E35254"/>
    <w:rsid w:val="00E35E0F"/>
    <w:rsid w:val="00E363DD"/>
    <w:rsid w:val="00E376D9"/>
    <w:rsid w:val="00E37D19"/>
    <w:rsid w:val="00E404F6"/>
    <w:rsid w:val="00E40C2E"/>
    <w:rsid w:val="00E4183E"/>
    <w:rsid w:val="00E41862"/>
    <w:rsid w:val="00E41A94"/>
    <w:rsid w:val="00E41E61"/>
    <w:rsid w:val="00E42083"/>
    <w:rsid w:val="00E422B9"/>
    <w:rsid w:val="00E428CA"/>
    <w:rsid w:val="00E438F2"/>
    <w:rsid w:val="00E43913"/>
    <w:rsid w:val="00E44332"/>
    <w:rsid w:val="00E447B6"/>
    <w:rsid w:val="00E44A06"/>
    <w:rsid w:val="00E44B49"/>
    <w:rsid w:val="00E450F9"/>
    <w:rsid w:val="00E45639"/>
    <w:rsid w:val="00E45A52"/>
    <w:rsid w:val="00E45D3C"/>
    <w:rsid w:val="00E46345"/>
    <w:rsid w:val="00E464D5"/>
    <w:rsid w:val="00E4653D"/>
    <w:rsid w:val="00E46B52"/>
    <w:rsid w:val="00E46D8A"/>
    <w:rsid w:val="00E46F3D"/>
    <w:rsid w:val="00E4713E"/>
    <w:rsid w:val="00E47C09"/>
    <w:rsid w:val="00E47F51"/>
    <w:rsid w:val="00E5111E"/>
    <w:rsid w:val="00E5140F"/>
    <w:rsid w:val="00E51F85"/>
    <w:rsid w:val="00E52039"/>
    <w:rsid w:val="00E5296E"/>
    <w:rsid w:val="00E52EAC"/>
    <w:rsid w:val="00E5319E"/>
    <w:rsid w:val="00E531FB"/>
    <w:rsid w:val="00E53A88"/>
    <w:rsid w:val="00E53B04"/>
    <w:rsid w:val="00E53D67"/>
    <w:rsid w:val="00E53D9B"/>
    <w:rsid w:val="00E53F3B"/>
    <w:rsid w:val="00E54202"/>
    <w:rsid w:val="00E543D5"/>
    <w:rsid w:val="00E544B0"/>
    <w:rsid w:val="00E544F8"/>
    <w:rsid w:val="00E54D7C"/>
    <w:rsid w:val="00E54EC1"/>
    <w:rsid w:val="00E550BB"/>
    <w:rsid w:val="00E552EA"/>
    <w:rsid w:val="00E55456"/>
    <w:rsid w:val="00E555D6"/>
    <w:rsid w:val="00E56468"/>
    <w:rsid w:val="00E567E1"/>
    <w:rsid w:val="00E570E4"/>
    <w:rsid w:val="00E57452"/>
    <w:rsid w:val="00E57D44"/>
    <w:rsid w:val="00E607E0"/>
    <w:rsid w:val="00E621B7"/>
    <w:rsid w:val="00E623F9"/>
    <w:rsid w:val="00E62631"/>
    <w:rsid w:val="00E627AF"/>
    <w:rsid w:val="00E62963"/>
    <w:rsid w:val="00E62FAD"/>
    <w:rsid w:val="00E64DA6"/>
    <w:rsid w:val="00E65A06"/>
    <w:rsid w:val="00E65B00"/>
    <w:rsid w:val="00E65BDD"/>
    <w:rsid w:val="00E65EC4"/>
    <w:rsid w:val="00E66356"/>
    <w:rsid w:val="00E66401"/>
    <w:rsid w:val="00E67236"/>
    <w:rsid w:val="00E6777B"/>
    <w:rsid w:val="00E67FF2"/>
    <w:rsid w:val="00E709F4"/>
    <w:rsid w:val="00E7122A"/>
    <w:rsid w:val="00E71B6A"/>
    <w:rsid w:val="00E72303"/>
    <w:rsid w:val="00E72855"/>
    <w:rsid w:val="00E72B07"/>
    <w:rsid w:val="00E730D6"/>
    <w:rsid w:val="00E734AF"/>
    <w:rsid w:val="00E735B9"/>
    <w:rsid w:val="00E735F8"/>
    <w:rsid w:val="00E75991"/>
    <w:rsid w:val="00E75AA4"/>
    <w:rsid w:val="00E76325"/>
    <w:rsid w:val="00E76422"/>
    <w:rsid w:val="00E76CE4"/>
    <w:rsid w:val="00E802FE"/>
    <w:rsid w:val="00E81BF1"/>
    <w:rsid w:val="00E81BF4"/>
    <w:rsid w:val="00E81CF2"/>
    <w:rsid w:val="00E8228E"/>
    <w:rsid w:val="00E82A80"/>
    <w:rsid w:val="00E83318"/>
    <w:rsid w:val="00E83525"/>
    <w:rsid w:val="00E836FD"/>
    <w:rsid w:val="00E839DE"/>
    <w:rsid w:val="00E83FF2"/>
    <w:rsid w:val="00E84ADC"/>
    <w:rsid w:val="00E84E75"/>
    <w:rsid w:val="00E8563D"/>
    <w:rsid w:val="00E85722"/>
    <w:rsid w:val="00E85C8B"/>
    <w:rsid w:val="00E85CC5"/>
    <w:rsid w:val="00E85E52"/>
    <w:rsid w:val="00E8606B"/>
    <w:rsid w:val="00E86123"/>
    <w:rsid w:val="00E86919"/>
    <w:rsid w:val="00E86C74"/>
    <w:rsid w:val="00E870EC"/>
    <w:rsid w:val="00E8756E"/>
    <w:rsid w:val="00E87C85"/>
    <w:rsid w:val="00E87CE3"/>
    <w:rsid w:val="00E87E90"/>
    <w:rsid w:val="00E90033"/>
    <w:rsid w:val="00E9032E"/>
    <w:rsid w:val="00E907C3"/>
    <w:rsid w:val="00E90A21"/>
    <w:rsid w:val="00E9171D"/>
    <w:rsid w:val="00E918B2"/>
    <w:rsid w:val="00E91961"/>
    <w:rsid w:val="00E92183"/>
    <w:rsid w:val="00E92C2A"/>
    <w:rsid w:val="00E94255"/>
    <w:rsid w:val="00E9482A"/>
    <w:rsid w:val="00E94AAA"/>
    <w:rsid w:val="00E94B42"/>
    <w:rsid w:val="00E9546F"/>
    <w:rsid w:val="00E9549D"/>
    <w:rsid w:val="00E95526"/>
    <w:rsid w:val="00E9619D"/>
    <w:rsid w:val="00E96326"/>
    <w:rsid w:val="00E963EE"/>
    <w:rsid w:val="00E96562"/>
    <w:rsid w:val="00E96747"/>
    <w:rsid w:val="00E9692F"/>
    <w:rsid w:val="00E969EE"/>
    <w:rsid w:val="00E973E1"/>
    <w:rsid w:val="00E9748D"/>
    <w:rsid w:val="00E976DE"/>
    <w:rsid w:val="00EA0041"/>
    <w:rsid w:val="00EA0334"/>
    <w:rsid w:val="00EA039A"/>
    <w:rsid w:val="00EA0606"/>
    <w:rsid w:val="00EA06D4"/>
    <w:rsid w:val="00EA1368"/>
    <w:rsid w:val="00EA149B"/>
    <w:rsid w:val="00EA197A"/>
    <w:rsid w:val="00EA1A2A"/>
    <w:rsid w:val="00EA1DCA"/>
    <w:rsid w:val="00EA22CC"/>
    <w:rsid w:val="00EA295F"/>
    <w:rsid w:val="00EA37CA"/>
    <w:rsid w:val="00EA3B96"/>
    <w:rsid w:val="00EA40ED"/>
    <w:rsid w:val="00EA45A3"/>
    <w:rsid w:val="00EA5598"/>
    <w:rsid w:val="00EA5C6D"/>
    <w:rsid w:val="00EA63A9"/>
    <w:rsid w:val="00EA6FC0"/>
    <w:rsid w:val="00EA7430"/>
    <w:rsid w:val="00EA77D7"/>
    <w:rsid w:val="00EA7826"/>
    <w:rsid w:val="00EA7936"/>
    <w:rsid w:val="00EB0C80"/>
    <w:rsid w:val="00EB1716"/>
    <w:rsid w:val="00EB18C1"/>
    <w:rsid w:val="00EB26AD"/>
    <w:rsid w:val="00EB335E"/>
    <w:rsid w:val="00EB44C0"/>
    <w:rsid w:val="00EB4BC4"/>
    <w:rsid w:val="00EB60E3"/>
    <w:rsid w:val="00EB6B5F"/>
    <w:rsid w:val="00EB78AA"/>
    <w:rsid w:val="00EC04AE"/>
    <w:rsid w:val="00EC05AF"/>
    <w:rsid w:val="00EC072B"/>
    <w:rsid w:val="00EC0E87"/>
    <w:rsid w:val="00EC2204"/>
    <w:rsid w:val="00EC2494"/>
    <w:rsid w:val="00EC261A"/>
    <w:rsid w:val="00EC26F9"/>
    <w:rsid w:val="00EC2D7C"/>
    <w:rsid w:val="00EC317E"/>
    <w:rsid w:val="00EC32DC"/>
    <w:rsid w:val="00EC3F8E"/>
    <w:rsid w:val="00EC41DC"/>
    <w:rsid w:val="00EC4817"/>
    <w:rsid w:val="00EC583F"/>
    <w:rsid w:val="00EC5863"/>
    <w:rsid w:val="00EC5A8E"/>
    <w:rsid w:val="00EC61C3"/>
    <w:rsid w:val="00EC6E91"/>
    <w:rsid w:val="00EC7EF6"/>
    <w:rsid w:val="00ED0531"/>
    <w:rsid w:val="00ED0A00"/>
    <w:rsid w:val="00ED1B41"/>
    <w:rsid w:val="00ED25A6"/>
    <w:rsid w:val="00ED26C0"/>
    <w:rsid w:val="00ED285D"/>
    <w:rsid w:val="00ED2F4E"/>
    <w:rsid w:val="00ED3B20"/>
    <w:rsid w:val="00ED42D0"/>
    <w:rsid w:val="00ED57F1"/>
    <w:rsid w:val="00ED5805"/>
    <w:rsid w:val="00ED5B1D"/>
    <w:rsid w:val="00ED607E"/>
    <w:rsid w:val="00ED627E"/>
    <w:rsid w:val="00ED6355"/>
    <w:rsid w:val="00ED716D"/>
    <w:rsid w:val="00ED7385"/>
    <w:rsid w:val="00ED747E"/>
    <w:rsid w:val="00ED74FF"/>
    <w:rsid w:val="00EE0500"/>
    <w:rsid w:val="00EE08D4"/>
    <w:rsid w:val="00EE0D69"/>
    <w:rsid w:val="00EE176F"/>
    <w:rsid w:val="00EE1E6E"/>
    <w:rsid w:val="00EE20A8"/>
    <w:rsid w:val="00EE25CE"/>
    <w:rsid w:val="00EE2D19"/>
    <w:rsid w:val="00EE3323"/>
    <w:rsid w:val="00EE3BD6"/>
    <w:rsid w:val="00EE3EDA"/>
    <w:rsid w:val="00EE5064"/>
    <w:rsid w:val="00EE53BC"/>
    <w:rsid w:val="00EE5BCA"/>
    <w:rsid w:val="00EE5F0A"/>
    <w:rsid w:val="00EE7984"/>
    <w:rsid w:val="00EF041E"/>
    <w:rsid w:val="00EF0484"/>
    <w:rsid w:val="00EF0CA5"/>
    <w:rsid w:val="00EF0DE9"/>
    <w:rsid w:val="00EF113C"/>
    <w:rsid w:val="00EF1679"/>
    <w:rsid w:val="00EF226D"/>
    <w:rsid w:val="00EF2A96"/>
    <w:rsid w:val="00EF40D5"/>
    <w:rsid w:val="00EF4105"/>
    <w:rsid w:val="00EF4D49"/>
    <w:rsid w:val="00EF5465"/>
    <w:rsid w:val="00EF583E"/>
    <w:rsid w:val="00EF608C"/>
    <w:rsid w:val="00EF6915"/>
    <w:rsid w:val="00EF6C2A"/>
    <w:rsid w:val="00EF703A"/>
    <w:rsid w:val="00EF744F"/>
    <w:rsid w:val="00EF74D3"/>
    <w:rsid w:val="00EF75A1"/>
    <w:rsid w:val="00EF7B64"/>
    <w:rsid w:val="00EF7C99"/>
    <w:rsid w:val="00F0001F"/>
    <w:rsid w:val="00F000EC"/>
    <w:rsid w:val="00F0023D"/>
    <w:rsid w:val="00F0025A"/>
    <w:rsid w:val="00F00555"/>
    <w:rsid w:val="00F010BE"/>
    <w:rsid w:val="00F010FD"/>
    <w:rsid w:val="00F015BE"/>
    <w:rsid w:val="00F01F87"/>
    <w:rsid w:val="00F02572"/>
    <w:rsid w:val="00F026C7"/>
    <w:rsid w:val="00F02F41"/>
    <w:rsid w:val="00F02FE4"/>
    <w:rsid w:val="00F0328A"/>
    <w:rsid w:val="00F03C4C"/>
    <w:rsid w:val="00F040FE"/>
    <w:rsid w:val="00F0427C"/>
    <w:rsid w:val="00F04CE2"/>
    <w:rsid w:val="00F054C0"/>
    <w:rsid w:val="00F0603C"/>
    <w:rsid w:val="00F060E7"/>
    <w:rsid w:val="00F061E8"/>
    <w:rsid w:val="00F065BC"/>
    <w:rsid w:val="00F06CE7"/>
    <w:rsid w:val="00F06FAC"/>
    <w:rsid w:val="00F0710D"/>
    <w:rsid w:val="00F07263"/>
    <w:rsid w:val="00F0734C"/>
    <w:rsid w:val="00F076D3"/>
    <w:rsid w:val="00F07C57"/>
    <w:rsid w:val="00F103F8"/>
    <w:rsid w:val="00F1046E"/>
    <w:rsid w:val="00F107D4"/>
    <w:rsid w:val="00F11051"/>
    <w:rsid w:val="00F1129A"/>
    <w:rsid w:val="00F11F03"/>
    <w:rsid w:val="00F127C2"/>
    <w:rsid w:val="00F13462"/>
    <w:rsid w:val="00F1362E"/>
    <w:rsid w:val="00F13DCE"/>
    <w:rsid w:val="00F13F73"/>
    <w:rsid w:val="00F14624"/>
    <w:rsid w:val="00F148F6"/>
    <w:rsid w:val="00F152E4"/>
    <w:rsid w:val="00F1541C"/>
    <w:rsid w:val="00F157D9"/>
    <w:rsid w:val="00F15A7F"/>
    <w:rsid w:val="00F15CED"/>
    <w:rsid w:val="00F15EE0"/>
    <w:rsid w:val="00F15EE4"/>
    <w:rsid w:val="00F164B7"/>
    <w:rsid w:val="00F1780E"/>
    <w:rsid w:val="00F17993"/>
    <w:rsid w:val="00F17A87"/>
    <w:rsid w:val="00F20286"/>
    <w:rsid w:val="00F203D3"/>
    <w:rsid w:val="00F203F3"/>
    <w:rsid w:val="00F2045D"/>
    <w:rsid w:val="00F21CEA"/>
    <w:rsid w:val="00F2231A"/>
    <w:rsid w:val="00F22553"/>
    <w:rsid w:val="00F22964"/>
    <w:rsid w:val="00F22F99"/>
    <w:rsid w:val="00F2418A"/>
    <w:rsid w:val="00F2422D"/>
    <w:rsid w:val="00F24491"/>
    <w:rsid w:val="00F249CB"/>
    <w:rsid w:val="00F25759"/>
    <w:rsid w:val="00F25C03"/>
    <w:rsid w:val="00F25E8B"/>
    <w:rsid w:val="00F2604C"/>
    <w:rsid w:val="00F260D6"/>
    <w:rsid w:val="00F2636A"/>
    <w:rsid w:val="00F264E4"/>
    <w:rsid w:val="00F26826"/>
    <w:rsid w:val="00F26BE4"/>
    <w:rsid w:val="00F276E7"/>
    <w:rsid w:val="00F27B3A"/>
    <w:rsid w:val="00F30B1D"/>
    <w:rsid w:val="00F30D7D"/>
    <w:rsid w:val="00F30E30"/>
    <w:rsid w:val="00F310A8"/>
    <w:rsid w:val="00F3147E"/>
    <w:rsid w:val="00F316D3"/>
    <w:rsid w:val="00F31A02"/>
    <w:rsid w:val="00F322DD"/>
    <w:rsid w:val="00F33530"/>
    <w:rsid w:val="00F33CBA"/>
    <w:rsid w:val="00F3448E"/>
    <w:rsid w:val="00F353F2"/>
    <w:rsid w:val="00F366B0"/>
    <w:rsid w:val="00F36ECD"/>
    <w:rsid w:val="00F37871"/>
    <w:rsid w:val="00F3794F"/>
    <w:rsid w:val="00F37AAC"/>
    <w:rsid w:val="00F37FE1"/>
    <w:rsid w:val="00F40125"/>
    <w:rsid w:val="00F40AB1"/>
    <w:rsid w:val="00F40B38"/>
    <w:rsid w:val="00F41233"/>
    <w:rsid w:val="00F41304"/>
    <w:rsid w:val="00F41CF9"/>
    <w:rsid w:val="00F41DAA"/>
    <w:rsid w:val="00F42178"/>
    <w:rsid w:val="00F42ADF"/>
    <w:rsid w:val="00F42FB1"/>
    <w:rsid w:val="00F43417"/>
    <w:rsid w:val="00F437EF"/>
    <w:rsid w:val="00F440FA"/>
    <w:rsid w:val="00F4429D"/>
    <w:rsid w:val="00F443F5"/>
    <w:rsid w:val="00F44C67"/>
    <w:rsid w:val="00F4671E"/>
    <w:rsid w:val="00F47105"/>
    <w:rsid w:val="00F4723D"/>
    <w:rsid w:val="00F474AF"/>
    <w:rsid w:val="00F503AB"/>
    <w:rsid w:val="00F50A24"/>
    <w:rsid w:val="00F50BA8"/>
    <w:rsid w:val="00F513A1"/>
    <w:rsid w:val="00F514D2"/>
    <w:rsid w:val="00F51797"/>
    <w:rsid w:val="00F51891"/>
    <w:rsid w:val="00F51D74"/>
    <w:rsid w:val="00F5291F"/>
    <w:rsid w:val="00F52C44"/>
    <w:rsid w:val="00F52FD5"/>
    <w:rsid w:val="00F53196"/>
    <w:rsid w:val="00F53D3D"/>
    <w:rsid w:val="00F54602"/>
    <w:rsid w:val="00F54A29"/>
    <w:rsid w:val="00F55243"/>
    <w:rsid w:val="00F5571B"/>
    <w:rsid w:val="00F5578D"/>
    <w:rsid w:val="00F568C4"/>
    <w:rsid w:val="00F56F69"/>
    <w:rsid w:val="00F57160"/>
    <w:rsid w:val="00F57674"/>
    <w:rsid w:val="00F60362"/>
    <w:rsid w:val="00F608BF"/>
    <w:rsid w:val="00F60A2A"/>
    <w:rsid w:val="00F60B13"/>
    <w:rsid w:val="00F60D9D"/>
    <w:rsid w:val="00F6144C"/>
    <w:rsid w:val="00F61672"/>
    <w:rsid w:val="00F61FF1"/>
    <w:rsid w:val="00F6210A"/>
    <w:rsid w:val="00F625A2"/>
    <w:rsid w:val="00F6306C"/>
    <w:rsid w:val="00F630F4"/>
    <w:rsid w:val="00F64EEC"/>
    <w:rsid w:val="00F659D2"/>
    <w:rsid w:val="00F65A16"/>
    <w:rsid w:val="00F66283"/>
    <w:rsid w:val="00F67155"/>
    <w:rsid w:val="00F678AC"/>
    <w:rsid w:val="00F67E5A"/>
    <w:rsid w:val="00F67F1A"/>
    <w:rsid w:val="00F7010E"/>
    <w:rsid w:val="00F70124"/>
    <w:rsid w:val="00F70842"/>
    <w:rsid w:val="00F70CB2"/>
    <w:rsid w:val="00F718DB"/>
    <w:rsid w:val="00F7197A"/>
    <w:rsid w:val="00F71FA3"/>
    <w:rsid w:val="00F7230C"/>
    <w:rsid w:val="00F7265D"/>
    <w:rsid w:val="00F72B28"/>
    <w:rsid w:val="00F72EB0"/>
    <w:rsid w:val="00F731D3"/>
    <w:rsid w:val="00F73462"/>
    <w:rsid w:val="00F738B8"/>
    <w:rsid w:val="00F74668"/>
    <w:rsid w:val="00F74DFB"/>
    <w:rsid w:val="00F7500E"/>
    <w:rsid w:val="00F75564"/>
    <w:rsid w:val="00F757B8"/>
    <w:rsid w:val="00F75999"/>
    <w:rsid w:val="00F75CB2"/>
    <w:rsid w:val="00F75F65"/>
    <w:rsid w:val="00F77534"/>
    <w:rsid w:val="00F80A0A"/>
    <w:rsid w:val="00F80EED"/>
    <w:rsid w:val="00F811F9"/>
    <w:rsid w:val="00F81560"/>
    <w:rsid w:val="00F81907"/>
    <w:rsid w:val="00F819A7"/>
    <w:rsid w:val="00F82617"/>
    <w:rsid w:val="00F82A93"/>
    <w:rsid w:val="00F82AC5"/>
    <w:rsid w:val="00F838F6"/>
    <w:rsid w:val="00F83944"/>
    <w:rsid w:val="00F845A9"/>
    <w:rsid w:val="00F846E5"/>
    <w:rsid w:val="00F8597E"/>
    <w:rsid w:val="00F868DA"/>
    <w:rsid w:val="00F869B5"/>
    <w:rsid w:val="00F87B2A"/>
    <w:rsid w:val="00F87BE9"/>
    <w:rsid w:val="00F91636"/>
    <w:rsid w:val="00F91C3A"/>
    <w:rsid w:val="00F91C41"/>
    <w:rsid w:val="00F91CE4"/>
    <w:rsid w:val="00F920F6"/>
    <w:rsid w:val="00F92D64"/>
    <w:rsid w:val="00F92ED4"/>
    <w:rsid w:val="00F93579"/>
    <w:rsid w:val="00F93913"/>
    <w:rsid w:val="00F93C02"/>
    <w:rsid w:val="00F954B2"/>
    <w:rsid w:val="00F95872"/>
    <w:rsid w:val="00F9611F"/>
    <w:rsid w:val="00F963AD"/>
    <w:rsid w:val="00F97738"/>
    <w:rsid w:val="00F97871"/>
    <w:rsid w:val="00FA03A9"/>
    <w:rsid w:val="00FA049C"/>
    <w:rsid w:val="00FA055B"/>
    <w:rsid w:val="00FA06DD"/>
    <w:rsid w:val="00FA0979"/>
    <w:rsid w:val="00FA16DD"/>
    <w:rsid w:val="00FA2AFB"/>
    <w:rsid w:val="00FA2DA1"/>
    <w:rsid w:val="00FA2F2E"/>
    <w:rsid w:val="00FA3B2C"/>
    <w:rsid w:val="00FA3F3E"/>
    <w:rsid w:val="00FA4292"/>
    <w:rsid w:val="00FA4E4F"/>
    <w:rsid w:val="00FA5AB8"/>
    <w:rsid w:val="00FA62DB"/>
    <w:rsid w:val="00FA62EB"/>
    <w:rsid w:val="00FA6F06"/>
    <w:rsid w:val="00FA77D8"/>
    <w:rsid w:val="00FA7C58"/>
    <w:rsid w:val="00FB016A"/>
    <w:rsid w:val="00FB0787"/>
    <w:rsid w:val="00FB08F2"/>
    <w:rsid w:val="00FB137E"/>
    <w:rsid w:val="00FB13AA"/>
    <w:rsid w:val="00FB2116"/>
    <w:rsid w:val="00FB252C"/>
    <w:rsid w:val="00FB2B35"/>
    <w:rsid w:val="00FB2DE7"/>
    <w:rsid w:val="00FB37B0"/>
    <w:rsid w:val="00FB3C8B"/>
    <w:rsid w:val="00FB3CF2"/>
    <w:rsid w:val="00FB3E12"/>
    <w:rsid w:val="00FB5096"/>
    <w:rsid w:val="00FB5224"/>
    <w:rsid w:val="00FB53CD"/>
    <w:rsid w:val="00FB57B9"/>
    <w:rsid w:val="00FB614E"/>
    <w:rsid w:val="00FB64CA"/>
    <w:rsid w:val="00FB6798"/>
    <w:rsid w:val="00FB67BE"/>
    <w:rsid w:val="00FB6841"/>
    <w:rsid w:val="00FB6A4C"/>
    <w:rsid w:val="00FB6AB9"/>
    <w:rsid w:val="00FB6CB2"/>
    <w:rsid w:val="00FB7780"/>
    <w:rsid w:val="00FC0858"/>
    <w:rsid w:val="00FC0F52"/>
    <w:rsid w:val="00FC18F0"/>
    <w:rsid w:val="00FC1946"/>
    <w:rsid w:val="00FC19BB"/>
    <w:rsid w:val="00FC22DF"/>
    <w:rsid w:val="00FC28A6"/>
    <w:rsid w:val="00FC2EFE"/>
    <w:rsid w:val="00FC304F"/>
    <w:rsid w:val="00FC3ED1"/>
    <w:rsid w:val="00FC3FDB"/>
    <w:rsid w:val="00FC408A"/>
    <w:rsid w:val="00FC4CD8"/>
    <w:rsid w:val="00FC4D4D"/>
    <w:rsid w:val="00FC4F12"/>
    <w:rsid w:val="00FC565B"/>
    <w:rsid w:val="00FC57F1"/>
    <w:rsid w:val="00FC5FD3"/>
    <w:rsid w:val="00FC62FC"/>
    <w:rsid w:val="00FC66DE"/>
    <w:rsid w:val="00FC7422"/>
    <w:rsid w:val="00FC791C"/>
    <w:rsid w:val="00FD0346"/>
    <w:rsid w:val="00FD0888"/>
    <w:rsid w:val="00FD0C57"/>
    <w:rsid w:val="00FD0F49"/>
    <w:rsid w:val="00FD1483"/>
    <w:rsid w:val="00FD14E3"/>
    <w:rsid w:val="00FD18A6"/>
    <w:rsid w:val="00FD1B45"/>
    <w:rsid w:val="00FD1FCA"/>
    <w:rsid w:val="00FD204E"/>
    <w:rsid w:val="00FD23A2"/>
    <w:rsid w:val="00FD260A"/>
    <w:rsid w:val="00FD377D"/>
    <w:rsid w:val="00FD3DC1"/>
    <w:rsid w:val="00FD42EE"/>
    <w:rsid w:val="00FD4410"/>
    <w:rsid w:val="00FD4DD5"/>
    <w:rsid w:val="00FD56D6"/>
    <w:rsid w:val="00FD5A81"/>
    <w:rsid w:val="00FD6075"/>
    <w:rsid w:val="00FD6203"/>
    <w:rsid w:val="00FD620C"/>
    <w:rsid w:val="00FE01B8"/>
    <w:rsid w:val="00FE051A"/>
    <w:rsid w:val="00FE091B"/>
    <w:rsid w:val="00FE0B5E"/>
    <w:rsid w:val="00FE0BE4"/>
    <w:rsid w:val="00FE0EA2"/>
    <w:rsid w:val="00FE11BB"/>
    <w:rsid w:val="00FE1E2E"/>
    <w:rsid w:val="00FE25D4"/>
    <w:rsid w:val="00FE2BE6"/>
    <w:rsid w:val="00FE384B"/>
    <w:rsid w:val="00FE3B8F"/>
    <w:rsid w:val="00FE3D00"/>
    <w:rsid w:val="00FE4189"/>
    <w:rsid w:val="00FE4250"/>
    <w:rsid w:val="00FE4335"/>
    <w:rsid w:val="00FE4F00"/>
    <w:rsid w:val="00FE51CD"/>
    <w:rsid w:val="00FE5655"/>
    <w:rsid w:val="00FE6024"/>
    <w:rsid w:val="00FE6B18"/>
    <w:rsid w:val="00FE6F19"/>
    <w:rsid w:val="00FE778E"/>
    <w:rsid w:val="00FE7AC9"/>
    <w:rsid w:val="00FE7CF7"/>
    <w:rsid w:val="00FF0A57"/>
    <w:rsid w:val="00FF12AA"/>
    <w:rsid w:val="00FF15DE"/>
    <w:rsid w:val="00FF1688"/>
    <w:rsid w:val="00FF1B48"/>
    <w:rsid w:val="00FF2A6C"/>
    <w:rsid w:val="00FF2DE0"/>
    <w:rsid w:val="00FF2E16"/>
    <w:rsid w:val="00FF344D"/>
    <w:rsid w:val="00FF347C"/>
    <w:rsid w:val="00FF355E"/>
    <w:rsid w:val="00FF3932"/>
    <w:rsid w:val="00FF4183"/>
    <w:rsid w:val="00FF5169"/>
    <w:rsid w:val="00FF536B"/>
    <w:rsid w:val="00FF55BE"/>
    <w:rsid w:val="00FF6A13"/>
    <w:rsid w:val="00FF6D64"/>
    <w:rsid w:val="00FF6D74"/>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ff6"/>
    </o:shapedefaults>
    <o:shapelayout v:ext="edit">
      <o:idmap v:ext="edit" data="1"/>
    </o:shapelayout>
  </w:shapeDefaults>
  <w:decimalSymbol w:val=","/>
  <w:listSeparator w:val=";"/>
  <w14:docId w14:val="41E48594"/>
  <w15:docId w15:val="{68FAD408-E042-4F8F-87C5-BA954A6F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98A"/>
  </w:style>
  <w:style w:type="paragraph" w:styleId="1">
    <w:name w:val="heading 1"/>
    <w:basedOn w:val="a"/>
    <w:next w:val="a"/>
    <w:link w:val="10"/>
    <w:qFormat/>
    <w:rsid w:val="001F183B"/>
    <w:pPr>
      <w:keepNext/>
      <w:spacing w:after="0" w:line="240" w:lineRule="auto"/>
      <w:jc w:val="center"/>
      <w:outlineLvl w:val="0"/>
    </w:pPr>
    <w:rPr>
      <w:rFonts w:ascii="Times New Roman" w:eastAsia="Times New Roman" w:hAnsi="Times New Roman" w:cs="Times New Roman"/>
      <w:sz w:val="28"/>
      <w:szCs w:val="20"/>
      <w:lang w:val="uk-UA" w:eastAsia="uk-UA"/>
    </w:rPr>
  </w:style>
  <w:style w:type="paragraph" w:styleId="2">
    <w:name w:val="heading 2"/>
    <w:basedOn w:val="a"/>
    <w:next w:val="a"/>
    <w:link w:val="20"/>
    <w:unhideWhenUsed/>
    <w:qFormat/>
    <w:rsid w:val="00E46D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D07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83B"/>
    <w:rPr>
      <w:rFonts w:ascii="Times New Roman" w:eastAsia="Times New Roman" w:hAnsi="Times New Roman" w:cs="Times New Roman"/>
      <w:sz w:val="28"/>
      <w:szCs w:val="20"/>
      <w:lang w:val="uk-UA" w:eastAsia="uk-UA"/>
    </w:rPr>
  </w:style>
  <w:style w:type="character" w:customStyle="1" w:styleId="20">
    <w:name w:val="Заголовок 2 Знак"/>
    <w:basedOn w:val="a0"/>
    <w:link w:val="2"/>
    <w:rsid w:val="00E46D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D077A"/>
    <w:rPr>
      <w:rFonts w:asciiTheme="majorHAnsi" w:eastAsiaTheme="majorEastAsia" w:hAnsiTheme="majorHAnsi" w:cstheme="majorBidi"/>
      <w:b/>
      <w:bCs/>
      <w:color w:val="4F81BD" w:themeColor="accent1"/>
    </w:rPr>
  </w:style>
  <w:style w:type="table" w:styleId="a3">
    <w:name w:val="Table Grid"/>
    <w:basedOn w:val="a1"/>
    <w:uiPriority w:val="39"/>
    <w:rsid w:val="008E3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99"/>
    <w:qFormat/>
    <w:rsid w:val="0016761A"/>
    <w:pPr>
      <w:ind w:left="720"/>
      <w:contextualSpacing/>
    </w:pPr>
  </w:style>
  <w:style w:type="paragraph" w:styleId="a6">
    <w:name w:val="Body Text"/>
    <w:basedOn w:val="a"/>
    <w:link w:val="a7"/>
    <w:rsid w:val="005401A3"/>
    <w:pPr>
      <w:spacing w:after="0" w:line="240" w:lineRule="auto"/>
      <w:jc w:val="both"/>
    </w:pPr>
    <w:rPr>
      <w:rFonts w:ascii="Arial" w:eastAsia="Times New Roman" w:hAnsi="Arial" w:cs="Times New Roman"/>
      <w:sz w:val="24"/>
      <w:szCs w:val="20"/>
      <w:lang w:val="uk-UA" w:eastAsia="ru-RU"/>
    </w:rPr>
  </w:style>
  <w:style w:type="character" w:customStyle="1" w:styleId="a7">
    <w:name w:val="Основний текст Знак"/>
    <w:basedOn w:val="a0"/>
    <w:link w:val="a6"/>
    <w:rsid w:val="005401A3"/>
    <w:rPr>
      <w:rFonts w:ascii="Arial" w:eastAsia="Times New Roman" w:hAnsi="Arial" w:cs="Times New Roman"/>
      <w:sz w:val="24"/>
      <w:szCs w:val="20"/>
      <w:lang w:val="uk-UA" w:eastAsia="ru-RU"/>
    </w:rPr>
  </w:style>
  <w:style w:type="paragraph" w:styleId="a8">
    <w:name w:val="Balloon Text"/>
    <w:basedOn w:val="a"/>
    <w:link w:val="a9"/>
    <w:semiHidden/>
    <w:unhideWhenUsed/>
    <w:rsid w:val="00CC337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CC337D"/>
    <w:rPr>
      <w:rFonts w:ascii="Tahoma" w:hAnsi="Tahoma" w:cs="Tahoma"/>
      <w:sz w:val="16"/>
      <w:szCs w:val="16"/>
    </w:rPr>
  </w:style>
  <w:style w:type="paragraph" w:customStyle="1" w:styleId="aa">
    <w:name w:val="Стиль"/>
    <w:uiPriority w:val="99"/>
    <w:rsid w:val="000C32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53709"/>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1F1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713951"/>
    <w:rPr>
      <w:color w:val="0066CC"/>
      <w:u w:val="single"/>
    </w:rPr>
  </w:style>
  <w:style w:type="paragraph" w:styleId="ac">
    <w:name w:val="header"/>
    <w:basedOn w:val="a"/>
    <w:link w:val="ad"/>
    <w:unhideWhenUsed/>
    <w:rsid w:val="000B07E2"/>
    <w:pPr>
      <w:tabs>
        <w:tab w:val="center" w:pos="4677"/>
        <w:tab w:val="right" w:pos="9355"/>
      </w:tabs>
      <w:spacing w:after="0" w:line="240" w:lineRule="auto"/>
    </w:pPr>
  </w:style>
  <w:style w:type="character" w:customStyle="1" w:styleId="ad">
    <w:name w:val="Верхній колонтитул Знак"/>
    <w:basedOn w:val="a0"/>
    <w:link w:val="ac"/>
    <w:rsid w:val="000B07E2"/>
  </w:style>
  <w:style w:type="paragraph" w:styleId="ae">
    <w:name w:val="footer"/>
    <w:basedOn w:val="a"/>
    <w:link w:val="af"/>
    <w:uiPriority w:val="99"/>
    <w:unhideWhenUsed/>
    <w:rsid w:val="000B07E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0B07E2"/>
  </w:style>
  <w:style w:type="paragraph" w:styleId="af0">
    <w:name w:val="Normal (Web)"/>
    <w:aliases w:val="Обычный (Web)"/>
    <w:basedOn w:val="a"/>
    <w:uiPriority w:val="99"/>
    <w:rsid w:val="00473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Нормальний текст"/>
    <w:basedOn w:val="a"/>
    <w:link w:val="af2"/>
    <w:qFormat/>
    <w:rsid w:val="00473D59"/>
    <w:pPr>
      <w:spacing w:before="120" w:after="0" w:line="240" w:lineRule="auto"/>
      <w:ind w:firstLine="567"/>
      <w:jc w:val="both"/>
    </w:pPr>
    <w:rPr>
      <w:rFonts w:ascii="Antiqua" w:eastAsia="Times New Roman" w:hAnsi="Antiqua" w:cs="Antiqua"/>
      <w:sz w:val="26"/>
      <w:szCs w:val="26"/>
      <w:lang w:val="uk-UA" w:eastAsia="ru-RU"/>
    </w:rPr>
  </w:style>
  <w:style w:type="character" w:customStyle="1" w:styleId="af2">
    <w:name w:val="Нормальний текст Знак"/>
    <w:link w:val="af1"/>
    <w:locked/>
    <w:rsid w:val="00E44A06"/>
    <w:rPr>
      <w:rFonts w:ascii="Antiqua" w:eastAsia="Times New Roman" w:hAnsi="Antiqua" w:cs="Antiqua"/>
      <w:sz w:val="26"/>
      <w:szCs w:val="26"/>
      <w:lang w:val="uk-UA" w:eastAsia="ru-RU"/>
    </w:rPr>
  </w:style>
  <w:style w:type="paragraph" w:styleId="af3">
    <w:name w:val="caption"/>
    <w:basedOn w:val="a"/>
    <w:next w:val="a"/>
    <w:unhideWhenUsed/>
    <w:qFormat/>
    <w:rsid w:val="00F41CF9"/>
    <w:pPr>
      <w:spacing w:line="240" w:lineRule="auto"/>
    </w:pPr>
    <w:rPr>
      <w:b/>
      <w:bCs/>
      <w:color w:val="4F81BD" w:themeColor="accent1"/>
      <w:sz w:val="18"/>
      <w:szCs w:val="18"/>
    </w:rPr>
  </w:style>
  <w:style w:type="paragraph" w:customStyle="1" w:styleId="af4">
    <w:name w:val="Знак Знак Знак"/>
    <w:basedOn w:val="a"/>
    <w:rsid w:val="00AB7072"/>
    <w:pPr>
      <w:spacing w:after="0" w:line="240" w:lineRule="auto"/>
    </w:pPr>
    <w:rPr>
      <w:rFonts w:ascii="Verdana" w:eastAsia="Times New Roman" w:hAnsi="Verdana" w:cs="Verdana"/>
      <w:sz w:val="20"/>
      <w:szCs w:val="20"/>
      <w:lang w:val="en-US"/>
    </w:rPr>
  </w:style>
  <w:style w:type="paragraph" w:styleId="af5">
    <w:name w:val="Plain Text"/>
    <w:basedOn w:val="a"/>
    <w:link w:val="af6"/>
    <w:uiPriority w:val="99"/>
    <w:unhideWhenUsed/>
    <w:rsid w:val="00E04534"/>
    <w:pPr>
      <w:spacing w:after="0" w:line="240" w:lineRule="auto"/>
    </w:pPr>
    <w:rPr>
      <w:rFonts w:ascii="Consolas" w:hAnsi="Consolas"/>
      <w:sz w:val="21"/>
      <w:szCs w:val="21"/>
    </w:rPr>
  </w:style>
  <w:style w:type="character" w:customStyle="1" w:styleId="af6">
    <w:name w:val="Текст Знак"/>
    <w:basedOn w:val="a0"/>
    <w:link w:val="af5"/>
    <w:uiPriority w:val="99"/>
    <w:rsid w:val="00E04534"/>
    <w:rPr>
      <w:rFonts w:ascii="Consolas" w:hAnsi="Consolas"/>
      <w:sz w:val="21"/>
      <w:szCs w:val="21"/>
    </w:rPr>
  </w:style>
  <w:style w:type="paragraph" w:customStyle="1" w:styleId="rvps12">
    <w:name w:val="rvps12"/>
    <w:basedOn w:val="a"/>
    <w:rsid w:val="00F22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670147"/>
    <w:rPr>
      <w:b/>
      <w:bCs/>
    </w:rPr>
  </w:style>
  <w:style w:type="character" w:customStyle="1" w:styleId="apple-converted-space">
    <w:name w:val="apple-converted-space"/>
    <w:basedOn w:val="a0"/>
    <w:rsid w:val="008B1613"/>
  </w:style>
  <w:style w:type="paragraph" w:styleId="af8">
    <w:name w:val="No Spacing"/>
    <w:uiPriority w:val="1"/>
    <w:qFormat/>
    <w:rsid w:val="008B1613"/>
    <w:pPr>
      <w:spacing w:after="0" w:line="240" w:lineRule="auto"/>
    </w:pPr>
    <w:rPr>
      <w:rFonts w:ascii="Calibri" w:eastAsia="Calibri" w:hAnsi="Calibri" w:cs="Times New Roman"/>
    </w:rPr>
  </w:style>
  <w:style w:type="paragraph" w:styleId="af9">
    <w:name w:val="Title"/>
    <w:basedOn w:val="a"/>
    <w:link w:val="afa"/>
    <w:qFormat/>
    <w:rsid w:val="00464577"/>
    <w:pPr>
      <w:spacing w:after="0" w:line="240" w:lineRule="auto"/>
      <w:ind w:firstLine="709"/>
      <w:jc w:val="center"/>
    </w:pPr>
    <w:rPr>
      <w:rFonts w:ascii="Times New Roman" w:eastAsia="Times New Roman" w:hAnsi="Times New Roman" w:cs="Times New Roman"/>
      <w:b/>
      <w:sz w:val="28"/>
      <w:szCs w:val="20"/>
      <w:lang w:val="uk-UA" w:eastAsia="ru-RU"/>
    </w:rPr>
  </w:style>
  <w:style w:type="character" w:customStyle="1" w:styleId="afa">
    <w:name w:val="Назва Знак"/>
    <w:basedOn w:val="a0"/>
    <w:link w:val="af9"/>
    <w:rsid w:val="00464577"/>
    <w:rPr>
      <w:rFonts w:ascii="Times New Roman" w:eastAsia="Times New Roman" w:hAnsi="Times New Roman" w:cs="Times New Roman"/>
      <w:b/>
      <w:sz w:val="28"/>
      <w:szCs w:val="20"/>
      <w:lang w:val="uk-UA" w:eastAsia="ru-RU"/>
    </w:rPr>
  </w:style>
  <w:style w:type="character" w:customStyle="1" w:styleId="rvts23">
    <w:name w:val="rvts23"/>
    <w:basedOn w:val="a0"/>
    <w:rsid w:val="00464577"/>
  </w:style>
  <w:style w:type="character" w:customStyle="1" w:styleId="shorttext">
    <w:name w:val="short_text"/>
    <w:basedOn w:val="a0"/>
    <w:rsid w:val="00464577"/>
  </w:style>
  <w:style w:type="character" w:customStyle="1" w:styleId="hps">
    <w:name w:val="hps"/>
    <w:basedOn w:val="a0"/>
    <w:rsid w:val="00464577"/>
  </w:style>
  <w:style w:type="character" w:customStyle="1" w:styleId="rvts0">
    <w:name w:val="rvts0"/>
    <w:basedOn w:val="a0"/>
    <w:rsid w:val="00464577"/>
  </w:style>
  <w:style w:type="paragraph" w:styleId="21">
    <w:name w:val="Body Text Indent 2"/>
    <w:basedOn w:val="a"/>
    <w:link w:val="22"/>
    <w:uiPriority w:val="99"/>
    <w:rsid w:val="00C10BC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ий текст з відступом 2 Знак"/>
    <w:basedOn w:val="a0"/>
    <w:link w:val="21"/>
    <w:uiPriority w:val="99"/>
    <w:rsid w:val="00C10BCE"/>
    <w:rPr>
      <w:rFonts w:ascii="Times New Roman" w:eastAsia="Times New Roman" w:hAnsi="Times New Roman" w:cs="Times New Roman"/>
      <w:sz w:val="24"/>
      <w:szCs w:val="24"/>
      <w:lang w:eastAsia="ru-RU"/>
    </w:rPr>
  </w:style>
  <w:style w:type="paragraph" w:customStyle="1" w:styleId="afb">
    <w:name w:val="Базовый"/>
    <w:rsid w:val="006F66D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eastAsia="ru-RU"/>
    </w:rPr>
  </w:style>
  <w:style w:type="character" w:styleId="afc">
    <w:name w:val="Placeholder Text"/>
    <w:basedOn w:val="a0"/>
    <w:uiPriority w:val="99"/>
    <w:semiHidden/>
    <w:rsid w:val="003B5DC1"/>
    <w:rPr>
      <w:color w:val="808080"/>
    </w:rPr>
  </w:style>
  <w:style w:type="character" w:customStyle="1" w:styleId="rvts46">
    <w:name w:val="rvts46"/>
    <w:basedOn w:val="a0"/>
    <w:rsid w:val="00AB083D"/>
  </w:style>
  <w:style w:type="paragraph" w:styleId="afd">
    <w:name w:val="Document Map"/>
    <w:basedOn w:val="a"/>
    <w:link w:val="afe"/>
    <w:rsid w:val="001B7BB8"/>
    <w:pPr>
      <w:spacing w:after="0" w:line="240" w:lineRule="auto"/>
    </w:pPr>
    <w:rPr>
      <w:rFonts w:ascii="Tahoma" w:eastAsia="Times New Roman" w:hAnsi="Tahoma" w:cs="Tahoma"/>
      <w:sz w:val="16"/>
      <w:szCs w:val="16"/>
      <w:lang w:eastAsia="ru-RU"/>
    </w:rPr>
  </w:style>
  <w:style w:type="character" w:customStyle="1" w:styleId="afe">
    <w:name w:val="Схема документа Знак"/>
    <w:basedOn w:val="a0"/>
    <w:link w:val="afd"/>
    <w:rsid w:val="001B7BB8"/>
    <w:rPr>
      <w:rFonts w:ascii="Tahoma" w:eastAsia="Times New Roman" w:hAnsi="Tahoma" w:cs="Tahoma"/>
      <w:sz w:val="16"/>
      <w:szCs w:val="16"/>
      <w:lang w:eastAsia="ru-RU"/>
    </w:rPr>
  </w:style>
  <w:style w:type="character" w:customStyle="1" w:styleId="rvts15">
    <w:name w:val="rvts15"/>
    <w:basedOn w:val="a0"/>
    <w:rsid w:val="001B7BB8"/>
  </w:style>
  <w:style w:type="paragraph" w:styleId="aff">
    <w:name w:val="Subtitle"/>
    <w:basedOn w:val="a"/>
    <w:next w:val="a"/>
    <w:link w:val="aff0"/>
    <w:uiPriority w:val="11"/>
    <w:qFormat/>
    <w:rsid w:val="00CD2D63"/>
    <w:pPr>
      <w:numPr>
        <w:ilvl w:val="1"/>
      </w:numPr>
      <w:spacing w:after="160"/>
    </w:pPr>
    <w:rPr>
      <w:rFonts w:eastAsiaTheme="minorEastAsia"/>
      <w:color w:val="5A5A5A" w:themeColor="text1" w:themeTint="A5"/>
      <w:spacing w:val="15"/>
    </w:rPr>
  </w:style>
  <w:style w:type="character" w:customStyle="1" w:styleId="aff0">
    <w:name w:val="Підзаголовок Знак"/>
    <w:basedOn w:val="a0"/>
    <w:link w:val="aff"/>
    <w:uiPriority w:val="11"/>
    <w:rsid w:val="00CD2D63"/>
    <w:rPr>
      <w:rFonts w:eastAsiaTheme="minorEastAsia"/>
      <w:color w:val="5A5A5A" w:themeColor="text1" w:themeTint="A5"/>
      <w:spacing w:val="15"/>
    </w:rPr>
  </w:style>
  <w:style w:type="paragraph" w:customStyle="1" w:styleId="11">
    <w:name w:val="Обычный1"/>
    <w:rsid w:val="00C42F9D"/>
    <w:rPr>
      <w:rFonts w:ascii="Calibri" w:eastAsia="Calibri" w:hAnsi="Calibri" w:cs="Calibri"/>
      <w:color w:val="000000"/>
      <w:lang w:eastAsia="ru-RU"/>
    </w:rPr>
  </w:style>
  <w:style w:type="paragraph" w:customStyle="1" w:styleId="12">
    <w:name w:val="Без інтервалів1"/>
    <w:qFormat/>
    <w:rsid w:val="00C42F9D"/>
    <w:pPr>
      <w:spacing w:after="0" w:line="240" w:lineRule="auto"/>
    </w:pPr>
    <w:rPr>
      <w:rFonts w:ascii="Calibri" w:eastAsia="Calibri" w:hAnsi="Calibri" w:cs="Times New Roman"/>
    </w:rPr>
  </w:style>
  <w:style w:type="character" w:customStyle="1" w:styleId="rvts44">
    <w:name w:val="rvts44"/>
    <w:basedOn w:val="a0"/>
    <w:rsid w:val="00D75882"/>
  </w:style>
  <w:style w:type="character" w:customStyle="1" w:styleId="rvts11">
    <w:name w:val="rvts11"/>
    <w:basedOn w:val="a0"/>
    <w:rsid w:val="00DB06BD"/>
  </w:style>
  <w:style w:type="table" w:customStyle="1" w:styleId="13">
    <w:name w:val="Сітка таблиці1"/>
    <w:basedOn w:val="a1"/>
    <w:next w:val="a3"/>
    <w:uiPriority w:val="39"/>
    <w:rsid w:val="00F6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8A22EE"/>
  </w:style>
  <w:style w:type="character" w:customStyle="1" w:styleId="a5">
    <w:name w:val="Абзац списку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99"/>
    <w:rsid w:val="001D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4573">
      <w:bodyDiv w:val="1"/>
      <w:marLeft w:val="0"/>
      <w:marRight w:val="0"/>
      <w:marTop w:val="0"/>
      <w:marBottom w:val="0"/>
      <w:divBdr>
        <w:top w:val="none" w:sz="0" w:space="0" w:color="auto"/>
        <w:left w:val="none" w:sz="0" w:space="0" w:color="auto"/>
        <w:bottom w:val="none" w:sz="0" w:space="0" w:color="auto"/>
        <w:right w:val="none" w:sz="0" w:space="0" w:color="auto"/>
      </w:divBdr>
    </w:div>
    <w:div w:id="76751079">
      <w:bodyDiv w:val="1"/>
      <w:marLeft w:val="0"/>
      <w:marRight w:val="0"/>
      <w:marTop w:val="0"/>
      <w:marBottom w:val="0"/>
      <w:divBdr>
        <w:top w:val="none" w:sz="0" w:space="0" w:color="auto"/>
        <w:left w:val="none" w:sz="0" w:space="0" w:color="auto"/>
        <w:bottom w:val="none" w:sz="0" w:space="0" w:color="auto"/>
        <w:right w:val="none" w:sz="0" w:space="0" w:color="auto"/>
      </w:divBdr>
      <w:divsChild>
        <w:div w:id="120612978">
          <w:marLeft w:val="547"/>
          <w:marRight w:val="0"/>
          <w:marTop w:val="0"/>
          <w:marBottom w:val="0"/>
          <w:divBdr>
            <w:top w:val="none" w:sz="0" w:space="0" w:color="auto"/>
            <w:left w:val="none" w:sz="0" w:space="0" w:color="auto"/>
            <w:bottom w:val="none" w:sz="0" w:space="0" w:color="auto"/>
            <w:right w:val="none" w:sz="0" w:space="0" w:color="auto"/>
          </w:divBdr>
        </w:div>
      </w:divsChild>
    </w:div>
    <w:div w:id="82070796">
      <w:bodyDiv w:val="1"/>
      <w:marLeft w:val="0"/>
      <w:marRight w:val="0"/>
      <w:marTop w:val="0"/>
      <w:marBottom w:val="0"/>
      <w:divBdr>
        <w:top w:val="none" w:sz="0" w:space="0" w:color="auto"/>
        <w:left w:val="none" w:sz="0" w:space="0" w:color="auto"/>
        <w:bottom w:val="none" w:sz="0" w:space="0" w:color="auto"/>
        <w:right w:val="none" w:sz="0" w:space="0" w:color="auto"/>
      </w:divBdr>
    </w:div>
    <w:div w:id="111633447">
      <w:bodyDiv w:val="1"/>
      <w:marLeft w:val="0"/>
      <w:marRight w:val="0"/>
      <w:marTop w:val="0"/>
      <w:marBottom w:val="0"/>
      <w:divBdr>
        <w:top w:val="none" w:sz="0" w:space="0" w:color="auto"/>
        <w:left w:val="none" w:sz="0" w:space="0" w:color="auto"/>
        <w:bottom w:val="none" w:sz="0" w:space="0" w:color="auto"/>
        <w:right w:val="none" w:sz="0" w:space="0" w:color="auto"/>
      </w:divBdr>
    </w:div>
    <w:div w:id="172108469">
      <w:bodyDiv w:val="1"/>
      <w:marLeft w:val="0"/>
      <w:marRight w:val="0"/>
      <w:marTop w:val="0"/>
      <w:marBottom w:val="0"/>
      <w:divBdr>
        <w:top w:val="none" w:sz="0" w:space="0" w:color="auto"/>
        <w:left w:val="none" w:sz="0" w:space="0" w:color="auto"/>
        <w:bottom w:val="none" w:sz="0" w:space="0" w:color="auto"/>
        <w:right w:val="none" w:sz="0" w:space="0" w:color="auto"/>
      </w:divBdr>
    </w:div>
    <w:div w:id="331378897">
      <w:bodyDiv w:val="1"/>
      <w:marLeft w:val="0"/>
      <w:marRight w:val="0"/>
      <w:marTop w:val="0"/>
      <w:marBottom w:val="0"/>
      <w:divBdr>
        <w:top w:val="none" w:sz="0" w:space="0" w:color="auto"/>
        <w:left w:val="none" w:sz="0" w:space="0" w:color="auto"/>
        <w:bottom w:val="none" w:sz="0" w:space="0" w:color="auto"/>
        <w:right w:val="none" w:sz="0" w:space="0" w:color="auto"/>
      </w:divBdr>
    </w:div>
    <w:div w:id="369955944">
      <w:bodyDiv w:val="1"/>
      <w:marLeft w:val="0"/>
      <w:marRight w:val="0"/>
      <w:marTop w:val="0"/>
      <w:marBottom w:val="0"/>
      <w:divBdr>
        <w:top w:val="none" w:sz="0" w:space="0" w:color="auto"/>
        <w:left w:val="none" w:sz="0" w:space="0" w:color="auto"/>
        <w:bottom w:val="none" w:sz="0" w:space="0" w:color="auto"/>
        <w:right w:val="none" w:sz="0" w:space="0" w:color="auto"/>
      </w:divBdr>
    </w:div>
    <w:div w:id="412433032">
      <w:bodyDiv w:val="1"/>
      <w:marLeft w:val="0"/>
      <w:marRight w:val="0"/>
      <w:marTop w:val="0"/>
      <w:marBottom w:val="0"/>
      <w:divBdr>
        <w:top w:val="none" w:sz="0" w:space="0" w:color="auto"/>
        <w:left w:val="none" w:sz="0" w:space="0" w:color="auto"/>
        <w:bottom w:val="none" w:sz="0" w:space="0" w:color="auto"/>
        <w:right w:val="none" w:sz="0" w:space="0" w:color="auto"/>
      </w:divBdr>
      <w:divsChild>
        <w:div w:id="1944146229">
          <w:marLeft w:val="547"/>
          <w:marRight w:val="0"/>
          <w:marTop w:val="0"/>
          <w:marBottom w:val="0"/>
          <w:divBdr>
            <w:top w:val="none" w:sz="0" w:space="0" w:color="auto"/>
            <w:left w:val="none" w:sz="0" w:space="0" w:color="auto"/>
            <w:bottom w:val="none" w:sz="0" w:space="0" w:color="auto"/>
            <w:right w:val="none" w:sz="0" w:space="0" w:color="auto"/>
          </w:divBdr>
        </w:div>
        <w:div w:id="505246495">
          <w:marLeft w:val="547"/>
          <w:marRight w:val="0"/>
          <w:marTop w:val="0"/>
          <w:marBottom w:val="0"/>
          <w:divBdr>
            <w:top w:val="none" w:sz="0" w:space="0" w:color="auto"/>
            <w:left w:val="none" w:sz="0" w:space="0" w:color="auto"/>
            <w:bottom w:val="none" w:sz="0" w:space="0" w:color="auto"/>
            <w:right w:val="none" w:sz="0" w:space="0" w:color="auto"/>
          </w:divBdr>
        </w:div>
      </w:divsChild>
    </w:div>
    <w:div w:id="480074854">
      <w:bodyDiv w:val="1"/>
      <w:marLeft w:val="0"/>
      <w:marRight w:val="0"/>
      <w:marTop w:val="0"/>
      <w:marBottom w:val="0"/>
      <w:divBdr>
        <w:top w:val="none" w:sz="0" w:space="0" w:color="auto"/>
        <w:left w:val="none" w:sz="0" w:space="0" w:color="auto"/>
        <w:bottom w:val="none" w:sz="0" w:space="0" w:color="auto"/>
        <w:right w:val="none" w:sz="0" w:space="0" w:color="auto"/>
      </w:divBdr>
    </w:div>
    <w:div w:id="480118104">
      <w:bodyDiv w:val="1"/>
      <w:marLeft w:val="0"/>
      <w:marRight w:val="0"/>
      <w:marTop w:val="0"/>
      <w:marBottom w:val="0"/>
      <w:divBdr>
        <w:top w:val="none" w:sz="0" w:space="0" w:color="auto"/>
        <w:left w:val="none" w:sz="0" w:space="0" w:color="auto"/>
        <w:bottom w:val="none" w:sz="0" w:space="0" w:color="auto"/>
        <w:right w:val="none" w:sz="0" w:space="0" w:color="auto"/>
      </w:divBdr>
      <w:divsChild>
        <w:div w:id="1194271270">
          <w:marLeft w:val="547"/>
          <w:marRight w:val="0"/>
          <w:marTop w:val="0"/>
          <w:marBottom w:val="0"/>
          <w:divBdr>
            <w:top w:val="none" w:sz="0" w:space="0" w:color="auto"/>
            <w:left w:val="none" w:sz="0" w:space="0" w:color="auto"/>
            <w:bottom w:val="none" w:sz="0" w:space="0" w:color="auto"/>
            <w:right w:val="none" w:sz="0" w:space="0" w:color="auto"/>
          </w:divBdr>
        </w:div>
        <w:div w:id="923799010">
          <w:marLeft w:val="547"/>
          <w:marRight w:val="0"/>
          <w:marTop w:val="0"/>
          <w:marBottom w:val="0"/>
          <w:divBdr>
            <w:top w:val="none" w:sz="0" w:space="0" w:color="auto"/>
            <w:left w:val="none" w:sz="0" w:space="0" w:color="auto"/>
            <w:bottom w:val="none" w:sz="0" w:space="0" w:color="auto"/>
            <w:right w:val="none" w:sz="0" w:space="0" w:color="auto"/>
          </w:divBdr>
        </w:div>
      </w:divsChild>
    </w:div>
    <w:div w:id="745419600">
      <w:bodyDiv w:val="1"/>
      <w:marLeft w:val="0"/>
      <w:marRight w:val="0"/>
      <w:marTop w:val="0"/>
      <w:marBottom w:val="0"/>
      <w:divBdr>
        <w:top w:val="none" w:sz="0" w:space="0" w:color="auto"/>
        <w:left w:val="none" w:sz="0" w:space="0" w:color="auto"/>
        <w:bottom w:val="none" w:sz="0" w:space="0" w:color="auto"/>
        <w:right w:val="none" w:sz="0" w:space="0" w:color="auto"/>
      </w:divBdr>
    </w:div>
    <w:div w:id="858616946">
      <w:bodyDiv w:val="1"/>
      <w:marLeft w:val="0"/>
      <w:marRight w:val="0"/>
      <w:marTop w:val="0"/>
      <w:marBottom w:val="0"/>
      <w:divBdr>
        <w:top w:val="none" w:sz="0" w:space="0" w:color="auto"/>
        <w:left w:val="none" w:sz="0" w:space="0" w:color="auto"/>
        <w:bottom w:val="none" w:sz="0" w:space="0" w:color="auto"/>
        <w:right w:val="none" w:sz="0" w:space="0" w:color="auto"/>
      </w:divBdr>
    </w:div>
    <w:div w:id="915357336">
      <w:bodyDiv w:val="1"/>
      <w:marLeft w:val="0"/>
      <w:marRight w:val="0"/>
      <w:marTop w:val="0"/>
      <w:marBottom w:val="0"/>
      <w:divBdr>
        <w:top w:val="none" w:sz="0" w:space="0" w:color="auto"/>
        <w:left w:val="none" w:sz="0" w:space="0" w:color="auto"/>
        <w:bottom w:val="none" w:sz="0" w:space="0" w:color="auto"/>
        <w:right w:val="none" w:sz="0" w:space="0" w:color="auto"/>
      </w:divBdr>
      <w:divsChild>
        <w:div w:id="1324822086">
          <w:marLeft w:val="0"/>
          <w:marRight w:val="0"/>
          <w:marTop w:val="0"/>
          <w:marBottom w:val="0"/>
          <w:divBdr>
            <w:top w:val="none" w:sz="0" w:space="0" w:color="auto"/>
            <w:left w:val="none" w:sz="0" w:space="0" w:color="auto"/>
            <w:bottom w:val="none" w:sz="0" w:space="0" w:color="auto"/>
            <w:right w:val="none" w:sz="0" w:space="0" w:color="auto"/>
          </w:divBdr>
        </w:div>
      </w:divsChild>
    </w:div>
    <w:div w:id="926767640">
      <w:bodyDiv w:val="1"/>
      <w:marLeft w:val="0"/>
      <w:marRight w:val="0"/>
      <w:marTop w:val="0"/>
      <w:marBottom w:val="0"/>
      <w:divBdr>
        <w:top w:val="none" w:sz="0" w:space="0" w:color="auto"/>
        <w:left w:val="none" w:sz="0" w:space="0" w:color="auto"/>
        <w:bottom w:val="none" w:sz="0" w:space="0" w:color="auto"/>
        <w:right w:val="none" w:sz="0" w:space="0" w:color="auto"/>
      </w:divBdr>
    </w:div>
    <w:div w:id="999844594">
      <w:bodyDiv w:val="1"/>
      <w:marLeft w:val="0"/>
      <w:marRight w:val="0"/>
      <w:marTop w:val="0"/>
      <w:marBottom w:val="0"/>
      <w:divBdr>
        <w:top w:val="none" w:sz="0" w:space="0" w:color="auto"/>
        <w:left w:val="none" w:sz="0" w:space="0" w:color="auto"/>
        <w:bottom w:val="none" w:sz="0" w:space="0" w:color="auto"/>
        <w:right w:val="none" w:sz="0" w:space="0" w:color="auto"/>
      </w:divBdr>
    </w:div>
    <w:div w:id="1076824845">
      <w:bodyDiv w:val="1"/>
      <w:marLeft w:val="0"/>
      <w:marRight w:val="0"/>
      <w:marTop w:val="0"/>
      <w:marBottom w:val="0"/>
      <w:divBdr>
        <w:top w:val="none" w:sz="0" w:space="0" w:color="auto"/>
        <w:left w:val="none" w:sz="0" w:space="0" w:color="auto"/>
        <w:bottom w:val="none" w:sz="0" w:space="0" w:color="auto"/>
        <w:right w:val="none" w:sz="0" w:space="0" w:color="auto"/>
      </w:divBdr>
    </w:div>
    <w:div w:id="1118449290">
      <w:bodyDiv w:val="1"/>
      <w:marLeft w:val="0"/>
      <w:marRight w:val="0"/>
      <w:marTop w:val="0"/>
      <w:marBottom w:val="0"/>
      <w:divBdr>
        <w:top w:val="none" w:sz="0" w:space="0" w:color="auto"/>
        <w:left w:val="none" w:sz="0" w:space="0" w:color="auto"/>
        <w:bottom w:val="none" w:sz="0" w:space="0" w:color="auto"/>
        <w:right w:val="none" w:sz="0" w:space="0" w:color="auto"/>
      </w:divBdr>
    </w:div>
    <w:div w:id="1186792733">
      <w:bodyDiv w:val="1"/>
      <w:marLeft w:val="0"/>
      <w:marRight w:val="0"/>
      <w:marTop w:val="0"/>
      <w:marBottom w:val="0"/>
      <w:divBdr>
        <w:top w:val="none" w:sz="0" w:space="0" w:color="auto"/>
        <w:left w:val="none" w:sz="0" w:space="0" w:color="auto"/>
        <w:bottom w:val="none" w:sz="0" w:space="0" w:color="auto"/>
        <w:right w:val="none" w:sz="0" w:space="0" w:color="auto"/>
      </w:divBdr>
    </w:div>
    <w:div w:id="1221669479">
      <w:bodyDiv w:val="1"/>
      <w:marLeft w:val="0"/>
      <w:marRight w:val="0"/>
      <w:marTop w:val="0"/>
      <w:marBottom w:val="0"/>
      <w:divBdr>
        <w:top w:val="none" w:sz="0" w:space="0" w:color="auto"/>
        <w:left w:val="none" w:sz="0" w:space="0" w:color="auto"/>
        <w:bottom w:val="none" w:sz="0" w:space="0" w:color="auto"/>
        <w:right w:val="none" w:sz="0" w:space="0" w:color="auto"/>
      </w:divBdr>
    </w:div>
    <w:div w:id="1240286971">
      <w:bodyDiv w:val="1"/>
      <w:marLeft w:val="0"/>
      <w:marRight w:val="0"/>
      <w:marTop w:val="0"/>
      <w:marBottom w:val="0"/>
      <w:divBdr>
        <w:top w:val="none" w:sz="0" w:space="0" w:color="auto"/>
        <w:left w:val="none" w:sz="0" w:space="0" w:color="auto"/>
        <w:bottom w:val="none" w:sz="0" w:space="0" w:color="auto"/>
        <w:right w:val="none" w:sz="0" w:space="0" w:color="auto"/>
      </w:divBdr>
    </w:div>
    <w:div w:id="1302616956">
      <w:bodyDiv w:val="1"/>
      <w:marLeft w:val="0"/>
      <w:marRight w:val="0"/>
      <w:marTop w:val="0"/>
      <w:marBottom w:val="0"/>
      <w:divBdr>
        <w:top w:val="none" w:sz="0" w:space="0" w:color="auto"/>
        <w:left w:val="none" w:sz="0" w:space="0" w:color="auto"/>
        <w:bottom w:val="none" w:sz="0" w:space="0" w:color="auto"/>
        <w:right w:val="none" w:sz="0" w:space="0" w:color="auto"/>
      </w:divBdr>
    </w:div>
    <w:div w:id="1309088489">
      <w:bodyDiv w:val="1"/>
      <w:marLeft w:val="0"/>
      <w:marRight w:val="0"/>
      <w:marTop w:val="0"/>
      <w:marBottom w:val="0"/>
      <w:divBdr>
        <w:top w:val="none" w:sz="0" w:space="0" w:color="auto"/>
        <w:left w:val="none" w:sz="0" w:space="0" w:color="auto"/>
        <w:bottom w:val="none" w:sz="0" w:space="0" w:color="auto"/>
        <w:right w:val="none" w:sz="0" w:space="0" w:color="auto"/>
      </w:divBdr>
      <w:divsChild>
        <w:div w:id="949625787">
          <w:marLeft w:val="547"/>
          <w:marRight w:val="0"/>
          <w:marTop w:val="0"/>
          <w:marBottom w:val="0"/>
          <w:divBdr>
            <w:top w:val="none" w:sz="0" w:space="0" w:color="auto"/>
            <w:left w:val="none" w:sz="0" w:space="0" w:color="auto"/>
            <w:bottom w:val="none" w:sz="0" w:space="0" w:color="auto"/>
            <w:right w:val="none" w:sz="0" w:space="0" w:color="auto"/>
          </w:divBdr>
        </w:div>
      </w:divsChild>
    </w:div>
    <w:div w:id="1320621749">
      <w:bodyDiv w:val="1"/>
      <w:marLeft w:val="0"/>
      <w:marRight w:val="0"/>
      <w:marTop w:val="0"/>
      <w:marBottom w:val="0"/>
      <w:divBdr>
        <w:top w:val="none" w:sz="0" w:space="0" w:color="auto"/>
        <w:left w:val="none" w:sz="0" w:space="0" w:color="auto"/>
        <w:bottom w:val="none" w:sz="0" w:space="0" w:color="auto"/>
        <w:right w:val="none" w:sz="0" w:space="0" w:color="auto"/>
      </w:divBdr>
    </w:div>
    <w:div w:id="1362394639">
      <w:bodyDiv w:val="1"/>
      <w:marLeft w:val="0"/>
      <w:marRight w:val="0"/>
      <w:marTop w:val="0"/>
      <w:marBottom w:val="0"/>
      <w:divBdr>
        <w:top w:val="none" w:sz="0" w:space="0" w:color="auto"/>
        <w:left w:val="none" w:sz="0" w:space="0" w:color="auto"/>
        <w:bottom w:val="none" w:sz="0" w:space="0" w:color="auto"/>
        <w:right w:val="none" w:sz="0" w:space="0" w:color="auto"/>
      </w:divBdr>
    </w:div>
    <w:div w:id="1538347476">
      <w:bodyDiv w:val="1"/>
      <w:marLeft w:val="0"/>
      <w:marRight w:val="0"/>
      <w:marTop w:val="0"/>
      <w:marBottom w:val="0"/>
      <w:divBdr>
        <w:top w:val="none" w:sz="0" w:space="0" w:color="auto"/>
        <w:left w:val="none" w:sz="0" w:space="0" w:color="auto"/>
        <w:bottom w:val="none" w:sz="0" w:space="0" w:color="auto"/>
        <w:right w:val="none" w:sz="0" w:space="0" w:color="auto"/>
      </w:divBdr>
    </w:div>
    <w:div w:id="1675067342">
      <w:bodyDiv w:val="1"/>
      <w:marLeft w:val="0"/>
      <w:marRight w:val="0"/>
      <w:marTop w:val="0"/>
      <w:marBottom w:val="0"/>
      <w:divBdr>
        <w:top w:val="none" w:sz="0" w:space="0" w:color="auto"/>
        <w:left w:val="none" w:sz="0" w:space="0" w:color="auto"/>
        <w:bottom w:val="none" w:sz="0" w:space="0" w:color="auto"/>
        <w:right w:val="none" w:sz="0" w:space="0" w:color="auto"/>
      </w:divBdr>
      <w:divsChild>
        <w:div w:id="1992175955">
          <w:marLeft w:val="547"/>
          <w:marRight w:val="0"/>
          <w:marTop w:val="0"/>
          <w:marBottom w:val="0"/>
          <w:divBdr>
            <w:top w:val="none" w:sz="0" w:space="0" w:color="auto"/>
            <w:left w:val="none" w:sz="0" w:space="0" w:color="auto"/>
            <w:bottom w:val="none" w:sz="0" w:space="0" w:color="auto"/>
            <w:right w:val="none" w:sz="0" w:space="0" w:color="auto"/>
          </w:divBdr>
        </w:div>
      </w:divsChild>
    </w:div>
    <w:div w:id="1734574005">
      <w:bodyDiv w:val="1"/>
      <w:marLeft w:val="0"/>
      <w:marRight w:val="0"/>
      <w:marTop w:val="0"/>
      <w:marBottom w:val="0"/>
      <w:divBdr>
        <w:top w:val="none" w:sz="0" w:space="0" w:color="auto"/>
        <w:left w:val="none" w:sz="0" w:space="0" w:color="auto"/>
        <w:bottom w:val="none" w:sz="0" w:space="0" w:color="auto"/>
        <w:right w:val="none" w:sz="0" w:space="0" w:color="auto"/>
      </w:divBdr>
    </w:div>
    <w:div w:id="1807892635">
      <w:bodyDiv w:val="1"/>
      <w:marLeft w:val="0"/>
      <w:marRight w:val="0"/>
      <w:marTop w:val="0"/>
      <w:marBottom w:val="0"/>
      <w:divBdr>
        <w:top w:val="none" w:sz="0" w:space="0" w:color="auto"/>
        <w:left w:val="none" w:sz="0" w:space="0" w:color="auto"/>
        <w:bottom w:val="none" w:sz="0" w:space="0" w:color="auto"/>
        <w:right w:val="none" w:sz="0" w:space="0" w:color="auto"/>
      </w:divBdr>
    </w:div>
    <w:div w:id="1996296578">
      <w:bodyDiv w:val="1"/>
      <w:marLeft w:val="0"/>
      <w:marRight w:val="0"/>
      <w:marTop w:val="0"/>
      <w:marBottom w:val="0"/>
      <w:divBdr>
        <w:top w:val="none" w:sz="0" w:space="0" w:color="auto"/>
        <w:left w:val="none" w:sz="0" w:space="0" w:color="auto"/>
        <w:bottom w:val="none" w:sz="0" w:space="0" w:color="auto"/>
        <w:right w:val="none" w:sz="0" w:space="0" w:color="auto"/>
      </w:divBdr>
    </w:div>
    <w:div w:id="20335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2.xml"/><Relationship Id="rId26" Type="http://schemas.openxmlformats.org/officeDocument/2006/relationships/hyperlink" Target="https://zakon.rada.gov.ua/laws/show/2456-17" TargetMode="External"/><Relationship Id="rId39" Type="http://schemas.microsoft.com/office/2007/relationships/diagramDrawing" Target="diagrams/drawing2.xml"/><Relationship Id="rId21" Type="http://schemas.openxmlformats.org/officeDocument/2006/relationships/hyperlink" Target="https://zakon.rada.gov.ua/laws/show/2456-17" TargetMode="External"/><Relationship Id="rId34" Type="http://schemas.microsoft.com/office/2007/relationships/diagramDrawing" Target="diagrams/drawing1.xml"/><Relationship Id="rId42" Type="http://schemas.openxmlformats.org/officeDocument/2006/relationships/diagramLayout" Target="diagrams/layout3.xml"/><Relationship Id="rId47" Type="http://schemas.openxmlformats.org/officeDocument/2006/relationships/chart" Target="charts/chart9.xml"/><Relationship Id="rId50" Type="http://schemas.openxmlformats.org/officeDocument/2006/relationships/chart" Target="charts/chart12.xml"/><Relationship Id="rId55" Type="http://schemas.openxmlformats.org/officeDocument/2006/relationships/chart" Target="charts/chart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akon.rada.gov.ua/rada/show/3551-12" TargetMode="External"/><Relationship Id="rId25" Type="http://schemas.openxmlformats.org/officeDocument/2006/relationships/hyperlink" Target="https://zakon.rada.gov.ua/laws/show/2456-17" TargetMode="External"/><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yperlink" Target="https://zakon.rada.gov.ua/rada/show/3551-12" TargetMode="External"/><Relationship Id="rId20" Type="http://schemas.openxmlformats.org/officeDocument/2006/relationships/hyperlink" Target="https://zakon.rada.gov.ua/laws/show/2456-17" TargetMode="External"/><Relationship Id="rId29" Type="http://schemas.openxmlformats.org/officeDocument/2006/relationships/chart" Target="charts/chart6.xml"/><Relationship Id="rId41" Type="http://schemas.openxmlformats.org/officeDocument/2006/relationships/diagramData" Target="diagrams/data3.xml"/><Relationship Id="rId54"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zakon.rada.gov.ua/laws/show/2456-17" TargetMode="External"/><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chart" Target="charts/chart7.xml"/><Relationship Id="rId45" Type="http://schemas.microsoft.com/office/2007/relationships/diagramDrawing" Target="diagrams/drawing3.xml"/><Relationship Id="rId53"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hyperlink" Target="https://zakon.rada.gov.ua/rada/show/3551-12" TargetMode="External"/><Relationship Id="rId23" Type="http://schemas.openxmlformats.org/officeDocument/2006/relationships/hyperlink" Target="https://zakon.rada.gov.ua/laws/show/2456-17" TargetMode="External"/><Relationship Id="rId28" Type="http://schemas.openxmlformats.org/officeDocument/2006/relationships/chart" Target="charts/chart5.xml"/><Relationship Id="rId36" Type="http://schemas.openxmlformats.org/officeDocument/2006/relationships/diagramLayout" Target="diagrams/layout2.xml"/><Relationship Id="rId49" Type="http://schemas.openxmlformats.org/officeDocument/2006/relationships/chart" Target="charts/chart11.xml"/><Relationship Id="rId57" Type="http://schemas.openxmlformats.org/officeDocument/2006/relationships/theme" Target="theme/theme1.xml"/><Relationship Id="rId10" Type="http://schemas.openxmlformats.org/officeDocument/2006/relationships/hyperlink" Target="https://zakon.rada.gov.ua/laws/show/1394-2024-%D0%BF" TargetMode="External"/><Relationship Id="rId19" Type="http://schemas.openxmlformats.org/officeDocument/2006/relationships/chart" Target="charts/chart3.xml"/><Relationship Id="rId31" Type="http://schemas.openxmlformats.org/officeDocument/2006/relationships/diagramLayout" Target="diagrams/layout1.xml"/><Relationship Id="rId44" Type="http://schemas.openxmlformats.org/officeDocument/2006/relationships/diagramColors" Target="diagrams/colors3.xml"/><Relationship Id="rId52"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akon.rada.gov.ua/rada/show/3551-12" TargetMode="External"/><Relationship Id="rId22" Type="http://schemas.openxmlformats.org/officeDocument/2006/relationships/hyperlink" Target="https://zakon.rada.gov.ua/laws/show/2755-17" TargetMode="External"/><Relationship Id="rId27" Type="http://schemas.openxmlformats.org/officeDocument/2006/relationships/chart" Target="charts/chart4.xml"/><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diagramQuickStyle" Target="diagrams/quickStyle3.xml"/><Relationship Id="rId48" Type="http://schemas.openxmlformats.org/officeDocument/2006/relationships/chart" Target="charts/chart10.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chart" Target="charts/chart1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9.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10.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8.xml"/><Relationship Id="rId1" Type="http://schemas.microsoft.com/office/2011/relationships/chartStyle" Target="style8.xm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H:\SHARE\0-&#1057;&#1090;&#1072;&#1088;&#1099;&#1077;%20&#1076;&#1072;&#1085;&#1085;&#1099;&#1077;\SHARE\_&#1041;&#1070;&#1044;&#1046;&#1045;&#1058;&#1053;&#1048;&#1049;%20&#1054;&#1058;&#1044;&#1045;&#1051;\&#1042;&#1040;&#1051;&#1071;\&#1041;&#1102;&#1076;&#1078;&#1077;&#1090;%202021\&#1076;&#1080;&#1072;&#1075;&#1088;&#1072;&#1084;&#1072;\&#1051;&#1080;&#1089;&#1090;%20Microsoft%20Office%20Excel.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ru-RU" sz="1110" b="1" i="0" u="none" strike="noStrike" baseline="0">
                <a:solidFill>
                  <a:srgbClr val="000000"/>
                </a:solidFill>
                <a:latin typeface="Calibri"/>
                <a:cs typeface="Calibri"/>
              </a:rPr>
              <a:t>Динаміка надходжень до бюджету </a:t>
            </a:r>
          </a:p>
          <a:p>
            <a:pPr>
              <a:defRPr sz="1000" b="0" i="0" u="none" strike="noStrike" baseline="0">
                <a:solidFill>
                  <a:srgbClr val="000000"/>
                </a:solidFill>
                <a:latin typeface="Calibri"/>
                <a:ea typeface="Calibri"/>
                <a:cs typeface="Calibri"/>
              </a:defRPr>
            </a:pPr>
            <a:r>
              <a:rPr lang="ru-RU" sz="1110" b="1" i="0" u="none" strike="noStrike" baseline="0">
                <a:solidFill>
                  <a:srgbClr val="000000"/>
                </a:solidFill>
                <a:latin typeface="Calibri"/>
                <a:cs typeface="Calibri"/>
              </a:rPr>
              <a:t>Чорноморської міської територіальної громади,</a:t>
            </a:r>
            <a:endParaRPr lang="ru-RU" sz="1200" b="1" i="0" u="none" strike="noStrike" baseline="0">
              <a:solidFill>
                <a:srgbClr val="000000"/>
              </a:solidFill>
              <a:latin typeface="Calibri"/>
              <a:cs typeface="Calibri"/>
            </a:endParaRPr>
          </a:p>
          <a:p>
            <a:pPr>
              <a:defRPr sz="1000" b="0" i="0" u="none" strike="noStrike" baseline="0">
                <a:solidFill>
                  <a:srgbClr val="000000"/>
                </a:solidFill>
                <a:latin typeface="Calibri"/>
                <a:ea typeface="Calibri"/>
                <a:cs typeface="Calibri"/>
              </a:defRPr>
            </a:pPr>
            <a:r>
              <a:rPr lang="ru-RU" sz="1110" b="1" i="0" u="none" strike="noStrike" baseline="0">
                <a:solidFill>
                  <a:srgbClr val="000000"/>
                </a:solidFill>
                <a:latin typeface="Calibri"/>
                <a:cs typeface="Calibri"/>
              </a:rPr>
              <a:t> млн. грн</a:t>
            </a:r>
          </a:p>
        </c:rich>
      </c:tx>
      <c:layout>
        <c:manualLayout>
          <c:xMode val="edge"/>
          <c:yMode val="edge"/>
          <c:x val="0.27558238039628308"/>
          <c:y val="1.0374376279888091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9115346478342405E-2"/>
          <c:y val="0.25217632796376632"/>
          <c:w val="0.88839340230030495"/>
          <c:h val="0.67250737470106359"/>
        </c:manualLayout>
      </c:layout>
      <c:bar3DChart>
        <c:barDir val="col"/>
        <c:grouping val="clustered"/>
        <c:varyColors val="0"/>
        <c:ser>
          <c:idx val="0"/>
          <c:order val="0"/>
          <c:tx>
            <c:strRef>
              <c:f>Лист1!$B$1</c:f>
              <c:strCache>
                <c:ptCount val="1"/>
                <c:pt idx="0">
                  <c:v>Столбец1</c:v>
                </c:pt>
              </c:strCache>
            </c:strRef>
          </c:tx>
          <c:spPr>
            <a:gradFill>
              <a:gsLst>
                <a:gs pos="0">
                  <a:schemeClr val="accent5">
                    <a:lumMod val="20000"/>
                    <a:lumOff val="80000"/>
                  </a:schemeClr>
                </a:gs>
                <a:gs pos="16000">
                  <a:srgbClr val="00CCCC"/>
                </a:gs>
                <a:gs pos="47000">
                  <a:srgbClr val="9999FF"/>
                </a:gs>
                <a:gs pos="60001">
                  <a:srgbClr val="2E6792"/>
                </a:gs>
                <a:gs pos="71001">
                  <a:srgbClr val="3333CC"/>
                </a:gs>
                <a:gs pos="81000">
                  <a:srgbClr val="1170FF"/>
                </a:gs>
                <a:gs pos="100000">
                  <a:srgbClr val="006699"/>
                </a:gs>
              </a:gsLst>
              <a:lin ang="5400000" scaled="0"/>
            </a:gradFill>
          </c:spPr>
          <c:invertIfNegative val="0"/>
          <c:dLbls>
            <c:dLbl>
              <c:idx val="0"/>
              <c:layout>
                <c:manualLayout>
                  <c:x val="3.9351829034909032E-2"/>
                  <c:y val="-3.9301326968199282E-2"/>
                </c:manualLayout>
              </c:layout>
              <c:tx>
                <c:rich>
                  <a:bodyPr/>
                  <a:lstStyle/>
                  <a:p>
                    <a:pPr>
                      <a:defRPr sz="1169" b="1" i="0" u="none" strike="noStrike" baseline="0">
                        <a:solidFill>
                          <a:srgbClr val="000000"/>
                        </a:solidFill>
                        <a:latin typeface="Calibri"/>
                        <a:ea typeface="Calibri"/>
                        <a:cs typeface="Calibri"/>
                      </a:defRPr>
                    </a:pPr>
                    <a:r>
                      <a:rPr lang="en-US"/>
                      <a:t>866,9</a:t>
                    </a:r>
                  </a:p>
                </c:rich>
              </c:tx>
              <c:spPr>
                <a:noFill/>
                <a:ln w="25034">
                  <a:noFill/>
                </a:ln>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2F5F-4727-BB81-3D81F5377590}"/>
                </c:ext>
                <c:ext xmlns:c15="http://schemas.microsoft.com/office/drawing/2012/chart" uri="{CE6537A1-D6FC-4f65-9D91-7224C49458BB}"/>
              </c:extLst>
            </c:dLbl>
            <c:dLbl>
              <c:idx val="1"/>
              <c:layout>
                <c:manualLayout>
                  <c:x val="3.2824238202452179E-2"/>
                  <c:y val="-6.3492126750654118E-2"/>
                </c:manualLayout>
              </c:layout>
              <c:tx>
                <c:rich>
                  <a:bodyPr/>
                  <a:lstStyle/>
                  <a:p>
                    <a:pPr>
                      <a:defRPr sz="1169" b="1" i="0" u="none" strike="noStrike" baseline="0">
                        <a:solidFill>
                          <a:srgbClr val="000000"/>
                        </a:solidFill>
                        <a:latin typeface="Calibri"/>
                        <a:ea typeface="Calibri"/>
                        <a:cs typeface="Calibri"/>
                      </a:defRPr>
                    </a:pPr>
                    <a:r>
                      <a:rPr lang="en-US"/>
                      <a:t>891,5</a:t>
                    </a:r>
                  </a:p>
                </c:rich>
              </c:tx>
              <c:spPr>
                <a:noFill/>
                <a:ln w="25034">
                  <a:noFill/>
                </a:ln>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2F5F-4727-BB81-3D81F5377590}"/>
                </c:ext>
                <c:ext xmlns:c15="http://schemas.microsoft.com/office/drawing/2012/chart" uri="{CE6537A1-D6FC-4f65-9D91-7224C49458BB}"/>
              </c:extLst>
            </c:dLbl>
            <c:dLbl>
              <c:idx val="2"/>
              <c:layout>
                <c:manualLayout>
                  <c:x val="2.4519820187985288E-2"/>
                  <c:y val="-4.716981132075472E-2"/>
                </c:manualLayout>
              </c:layout>
              <c:tx>
                <c:rich>
                  <a:bodyPr/>
                  <a:lstStyle/>
                  <a:p>
                    <a:pPr>
                      <a:defRPr sz="1169" b="1" i="0" u="none" strike="noStrike" baseline="0">
                        <a:solidFill>
                          <a:srgbClr val="000000"/>
                        </a:solidFill>
                        <a:latin typeface="Calibri"/>
                        <a:ea typeface="Calibri"/>
                        <a:cs typeface="Calibri"/>
                      </a:defRPr>
                    </a:pPr>
                    <a:r>
                      <a:rPr lang="ru-RU"/>
                      <a:t>[]</a:t>
                    </a:r>
                  </a:p>
                </c:rich>
              </c:tx>
              <c:spPr>
                <a:noFill/>
                <a:ln w="25034">
                  <a:noFill/>
                </a:ln>
              </c:spP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2F5F-4727-BB81-3D81F5377590}"/>
                </c:ext>
                <c:ext xmlns:c15="http://schemas.microsoft.com/office/drawing/2012/chart" uri="{CE6537A1-D6FC-4f65-9D91-7224C49458BB}"/>
              </c:extLst>
            </c:dLbl>
            <c:spPr>
              <a:noFill/>
              <a:ln w="25034">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9 місяців 2023 р</c:v>
                </c:pt>
                <c:pt idx="1">
                  <c:v>9 місяців 2024 р</c:v>
                </c:pt>
              </c:strCache>
            </c:strRef>
          </c:cat>
          <c:val>
            <c:numRef>
              <c:f>Лист1!$B$2:$B$3</c:f>
              <c:numCache>
                <c:formatCode>General</c:formatCode>
                <c:ptCount val="2"/>
                <c:pt idx="0">
                  <c:v>866.9</c:v>
                </c:pt>
                <c:pt idx="1">
                  <c:v>891.5</c:v>
                </c:pt>
              </c:numCache>
            </c:numRef>
          </c:val>
          <c:shape val="cone"/>
          <c:extLst xmlns:c16r2="http://schemas.microsoft.com/office/drawing/2015/06/chart">
            <c:ext xmlns:c16="http://schemas.microsoft.com/office/drawing/2014/chart" uri="{C3380CC4-5D6E-409C-BE32-E72D297353CC}">
              <c16:uniqueId val="{00000003-2F5F-4727-BB81-3D81F5377590}"/>
            </c:ext>
          </c:extLst>
        </c:ser>
        <c:dLbls>
          <c:showLegendKey val="0"/>
          <c:showVal val="0"/>
          <c:showCatName val="0"/>
          <c:showSerName val="0"/>
          <c:showPercent val="0"/>
          <c:showBubbleSize val="0"/>
        </c:dLbls>
        <c:gapWidth val="150"/>
        <c:shape val="box"/>
        <c:axId val="584832648"/>
        <c:axId val="584836176"/>
        <c:axId val="0"/>
      </c:bar3DChart>
      <c:catAx>
        <c:axId val="584832648"/>
        <c:scaling>
          <c:orientation val="minMax"/>
        </c:scaling>
        <c:delete val="0"/>
        <c:axPos val="b"/>
        <c:numFmt formatCode="General"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584836176"/>
        <c:crosses val="autoZero"/>
        <c:auto val="1"/>
        <c:lblAlgn val="ctr"/>
        <c:lblOffset val="100"/>
        <c:noMultiLvlLbl val="0"/>
      </c:catAx>
      <c:valAx>
        <c:axId val="584836176"/>
        <c:scaling>
          <c:orientation val="minMax"/>
          <c:max val="950"/>
          <c:min val="150"/>
        </c:scaling>
        <c:delete val="0"/>
        <c:axPos val="l"/>
        <c:majorGridlines>
          <c:spPr>
            <a:ln>
              <a:solidFill>
                <a:schemeClr val="tx2">
                  <a:lumMod val="20000"/>
                  <a:lumOff val="80000"/>
                </a:schemeClr>
              </a:solidFill>
            </a:ln>
          </c:spPr>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584832648"/>
        <c:crosses val="autoZero"/>
        <c:crossBetween val="between"/>
        <c:majorUnit val="100"/>
        <c:minorUnit val="10"/>
      </c:valAx>
      <c:spPr>
        <a:noFill/>
        <a:ln w="25395">
          <a:noFill/>
        </a:ln>
      </c:spPr>
    </c:plotArea>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a:effectLst>
      <a:innerShdw blurRad="63500" dist="50800" dir="8100000">
        <a:schemeClr val="accent1">
          <a:lumMod val="20000"/>
          <a:lumOff val="80000"/>
          <a:alpha val="50000"/>
        </a:schemeClr>
      </a:innerShdw>
    </a:effectLst>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ru-RU" sz="1100"/>
              <a:t>Динаміка надходжень орендної плати за користування цілісним майновим комплексом та іншим майном, що перебуває в комунальній власності за 2021-2025 роки (тис.грн)</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Лист1!$C$1</c:f>
              <c:strCache>
                <c:ptCount val="1"/>
                <c:pt idx="0">
                  <c:v>Ряд 1</c:v>
                </c:pt>
              </c:strCache>
            </c:strRef>
          </c:tx>
          <c:spPr>
            <a:solidFill>
              <a:schemeClr val="accent3">
                <a:lumMod val="60000"/>
                <a:lumOff val="40000"/>
              </a:schemeClr>
            </a:solidFill>
          </c:spPr>
          <c:invertIfNegative val="0"/>
          <c:dLbls>
            <c:dLbl>
              <c:idx val="0"/>
              <c:layout>
                <c:manualLayout>
                  <c:x val="8.5607276618512567E-3"/>
                  <c:y val="-0.19233996792067659"/>
                </c:manualLayout>
              </c:layout>
              <c:tx>
                <c:rich>
                  <a:bodyPr/>
                  <a:lstStyle/>
                  <a:p>
                    <a:fld id="{58BCECF8-F4AC-42A5-B767-6E68E5BFF7D9}" type="VALUE">
                      <a:rPr lang="en-US">
                        <a:solidFill>
                          <a:srgbClr val="002060"/>
                        </a:solidFill>
                      </a:rPr>
                      <a:pPr/>
                      <a:t>[ЗНАЧЕННЯ]</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679-40E0-BDCF-6F06B9C7185D}"/>
                </c:ext>
                <c:ext xmlns:c15="http://schemas.microsoft.com/office/drawing/2012/chart" uri="{CE6537A1-D6FC-4f65-9D91-7224C49458BB}">
                  <c15:dlblFieldTable/>
                  <c15:showDataLabelsRange val="0"/>
                </c:ext>
              </c:extLst>
            </c:dLbl>
            <c:dLbl>
              <c:idx val="1"/>
              <c:layout>
                <c:manualLayout>
                  <c:x val="1.0700909577314071E-2"/>
                  <c:y val="-0.2018799212598426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79-40E0-BDCF-6F06B9C7185D}"/>
                </c:ext>
                <c:ext xmlns:c15="http://schemas.microsoft.com/office/drawing/2012/chart" uri="{CE6537A1-D6FC-4f65-9D91-7224C49458BB}"/>
              </c:extLst>
            </c:dLbl>
            <c:dLbl>
              <c:idx val="2"/>
              <c:layout>
                <c:manualLayout>
                  <c:x val="8.5607276618512567E-3"/>
                  <c:y val="-0.2537879119276756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679-40E0-BDCF-6F06B9C7185D}"/>
                </c:ext>
                <c:ext xmlns:c15="http://schemas.microsoft.com/office/drawing/2012/chart" uri="{CE6537A1-D6FC-4f65-9D91-7224C49458BB}"/>
              </c:extLst>
            </c:dLbl>
            <c:dLbl>
              <c:idx val="3"/>
              <c:layout>
                <c:manualLayout>
                  <c:x val="8.5607276618512567E-3"/>
                  <c:y val="-0.25589238845144358"/>
                </c:manualLayout>
              </c:layout>
              <c:tx>
                <c:rich>
                  <a:bodyPr/>
                  <a:lstStyle/>
                  <a:p>
                    <a:r>
                      <a:rPr lang="en-US"/>
                      <a:t>4 857,8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679-40E0-BDCF-6F06B9C7185D}"/>
                </c:ext>
                <c:ext xmlns:c15="http://schemas.microsoft.com/office/drawing/2012/chart" uri="{CE6537A1-D6FC-4f65-9D91-7224C49458BB}">
                  <c15:layout>
                    <c:manualLayout>
                      <c:w val="7.7453183520599253E-2"/>
                      <c:h val="6.1134441528142312E-2"/>
                    </c:manualLayout>
                  </c15:layout>
                </c:ext>
              </c:extLst>
            </c:dLbl>
            <c:dLbl>
              <c:idx val="4"/>
              <c:layout>
                <c:manualLayout>
                  <c:x val="8.5607276618512567E-3"/>
                  <c:y val="-0.26746646252551765"/>
                </c:manualLayout>
              </c:layout>
              <c:tx>
                <c:rich>
                  <a:bodyPr/>
                  <a:lstStyle/>
                  <a:p>
                    <a:r>
                      <a:rPr lang="en-US"/>
                      <a:t>4 900,0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679-40E0-BDCF-6F06B9C7185D}"/>
                </c:ext>
                <c:ext xmlns:c15="http://schemas.microsoft.com/office/drawing/2012/chart" uri="{CE6537A1-D6FC-4f65-9D91-7224C49458BB}">
                  <c15:layout>
                    <c:manualLayout>
                      <c:w val="7.7453183520599253E-2"/>
                      <c:h val="9.3541848935549732E-2"/>
                    </c:manualLayout>
                  </c15:layout>
                </c:ext>
              </c:extLst>
            </c:dLbl>
            <c:dLbl>
              <c:idx val="5"/>
              <c:layout>
                <c:manualLayout>
                  <c:x val="1.4981273408239701E-2"/>
                  <c:y val="-0.287037037037037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679-40E0-BDCF-6F06B9C7185D}"/>
                </c:ext>
                <c:ext xmlns:c15="http://schemas.microsoft.com/office/drawing/2012/chart" uri="{CE6537A1-D6FC-4f65-9D91-7224C49458BB}"/>
              </c:extLst>
            </c:dLbl>
            <c:dLbl>
              <c:idx val="6"/>
              <c:layout>
                <c:manualLayout>
                  <c:x val="6.4205457463884395E-3"/>
                  <c:y val="-0.2777777777777983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679-40E0-BDCF-6F06B9C7185D}"/>
                </c:ext>
                <c:ext xmlns:c15="http://schemas.microsoft.com/office/drawing/2012/chart" uri="{CE6537A1-D6FC-4f65-9D91-7224C49458BB}"/>
              </c:extLst>
            </c:dLbl>
            <c:spPr>
              <a:noFill/>
              <a:ln>
                <a:noFill/>
              </a:ln>
              <a:effectLst/>
            </c:spPr>
            <c:txPr>
              <a:bodyPr/>
              <a:lstStyle/>
              <a:p>
                <a:pPr>
                  <a:defRPr b="1">
                    <a:solidFill>
                      <a:srgbClr val="00206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Лист1!$B$2:$B$6</c:f>
              <c:strCache>
                <c:ptCount val="5"/>
                <c:pt idx="0">
                  <c:v>2021 рік</c:v>
                </c:pt>
                <c:pt idx="1">
                  <c:v>2022 рік</c:v>
                </c:pt>
                <c:pt idx="2">
                  <c:v>2023 рік</c:v>
                </c:pt>
                <c:pt idx="3">
                  <c:v>2024 рік (очікувані)</c:v>
                </c:pt>
                <c:pt idx="4">
                  <c:v>2025 рік (прогноз)</c:v>
                </c:pt>
              </c:strCache>
            </c:strRef>
          </c:cat>
          <c:val>
            <c:numRef>
              <c:f>Лист1!$C$2:$C$6</c:f>
              <c:numCache>
                <c:formatCode>#\ ##0.0</c:formatCode>
                <c:ptCount val="5"/>
                <c:pt idx="0">
                  <c:v>3774.4</c:v>
                </c:pt>
                <c:pt idx="1">
                  <c:v>3798.6</c:v>
                </c:pt>
                <c:pt idx="2">
                  <c:v>4438</c:v>
                </c:pt>
                <c:pt idx="3">
                  <c:v>4857.8</c:v>
                </c:pt>
                <c:pt idx="4">
                  <c:v>4900</c:v>
                </c:pt>
              </c:numCache>
            </c:numRef>
          </c:val>
          <c:extLst xmlns:c16r2="http://schemas.microsoft.com/office/drawing/2015/06/chart">
            <c:ext xmlns:c16="http://schemas.microsoft.com/office/drawing/2014/chart" uri="{C3380CC4-5D6E-409C-BE32-E72D297353CC}">
              <c16:uniqueId val="{00000007-5679-40E0-BDCF-6F06B9C7185D}"/>
            </c:ext>
          </c:extLst>
        </c:ser>
        <c:dLbls>
          <c:showLegendKey val="0"/>
          <c:showVal val="0"/>
          <c:showCatName val="0"/>
          <c:showSerName val="0"/>
          <c:showPercent val="0"/>
          <c:showBubbleSize val="0"/>
        </c:dLbls>
        <c:gapWidth val="150"/>
        <c:shape val="pyramid"/>
        <c:axId val="450993232"/>
        <c:axId val="450990880"/>
        <c:axId val="0"/>
      </c:bar3DChart>
      <c:catAx>
        <c:axId val="450993232"/>
        <c:scaling>
          <c:orientation val="minMax"/>
        </c:scaling>
        <c:delete val="0"/>
        <c:axPos val="b"/>
        <c:numFmt formatCode="General" sourceLinked="0"/>
        <c:majorTickMark val="out"/>
        <c:minorTickMark val="none"/>
        <c:tickLblPos val="nextTo"/>
        <c:txPr>
          <a:bodyPr/>
          <a:lstStyle/>
          <a:p>
            <a:pPr>
              <a:defRPr b="1"/>
            </a:pPr>
            <a:endParaRPr lang="ru-RU"/>
          </a:p>
        </c:txPr>
        <c:crossAx val="450990880"/>
        <c:crosses val="autoZero"/>
        <c:auto val="1"/>
        <c:lblAlgn val="ctr"/>
        <c:lblOffset val="100"/>
        <c:noMultiLvlLbl val="0"/>
      </c:catAx>
      <c:valAx>
        <c:axId val="450990880"/>
        <c:scaling>
          <c:orientation val="minMax"/>
        </c:scaling>
        <c:delete val="0"/>
        <c:axPos val="l"/>
        <c:majorGridlines>
          <c:spPr>
            <a:ln>
              <a:solidFill>
                <a:sysClr val="window" lastClr="FFFFFF">
                  <a:lumMod val="85000"/>
                </a:sysClr>
              </a:solidFill>
            </a:ln>
          </c:spPr>
        </c:majorGridlines>
        <c:numFmt formatCode="#\ ##0.0" sourceLinked="1"/>
        <c:majorTickMark val="out"/>
        <c:minorTickMark val="none"/>
        <c:tickLblPos val="nextTo"/>
        <c:crossAx val="450993232"/>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baseline="0">
                <a:solidFill>
                  <a:schemeClr val="tx1"/>
                </a:solidFill>
                <a:latin typeface="+mn-lt"/>
                <a:ea typeface="+mn-ea"/>
                <a:cs typeface="+mn-cs"/>
              </a:defRPr>
            </a:pPr>
            <a:r>
              <a:rPr lang="ru-RU" sz="1200"/>
              <a:t>             Динаміка надходжень державного мита до бюджету </a:t>
            </a:r>
          </a:p>
          <a:p>
            <a:pPr algn="ctr">
              <a:defRPr sz="1400"/>
            </a:pPr>
            <a:r>
              <a:rPr lang="ru-RU" sz="1200"/>
              <a:t>           Чорноморської МТГ за 2021-2025 роки, тис. грн</a:t>
            </a:r>
          </a:p>
        </c:rich>
      </c:tx>
      <c:layout>
        <c:manualLayout>
          <c:xMode val="edge"/>
          <c:yMode val="edge"/>
          <c:x val="0.20829150423976048"/>
          <c:y val="1.5303621027954031E-2"/>
        </c:manualLayout>
      </c:layout>
      <c:overlay val="0"/>
      <c:spPr>
        <a:noFill/>
        <a:ln>
          <a:noFill/>
        </a:ln>
        <a:effectLst/>
      </c:spPr>
      <c:txPr>
        <a:bodyPr rot="0" spcFirstLastPara="1" vertOverflow="ellipsis" vert="horz" wrap="square" anchor="ctr" anchorCtr="1"/>
        <a:lstStyle/>
        <a:p>
          <a:pPr algn="ctr">
            <a:defRPr sz="1400" b="1" i="0" u="none" strike="noStrike" kern="1200" baseline="0">
              <a:solidFill>
                <a:schemeClr val="tx1"/>
              </a:solidFill>
              <a:latin typeface="+mn-lt"/>
              <a:ea typeface="+mn-ea"/>
              <a:cs typeface="+mn-cs"/>
            </a:defRPr>
          </a:pPr>
          <a:endParaRPr lang="ru-RU"/>
        </a:p>
      </c:txPr>
    </c:title>
    <c:autoTitleDeleted val="0"/>
    <c:view3D>
      <c:rotX val="15"/>
      <c:rotY val="2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solidFill>
          <a:schemeClr val="bg1"/>
        </a:solidFill>
        <a:ln>
          <a:noFill/>
        </a:ln>
        <a:effectLst/>
        <a:sp3d/>
      </c:spPr>
    </c:sideWall>
    <c:backWall>
      <c:thickness val="0"/>
      <c:spPr>
        <a:solidFill>
          <a:schemeClr val="bg1"/>
        </a:solidFill>
        <a:ln>
          <a:noFill/>
        </a:ln>
        <a:effectLst/>
        <a:sp3d/>
      </c:spPr>
    </c:backWall>
    <c:plotArea>
      <c:layout>
        <c:manualLayout>
          <c:layoutTarget val="inner"/>
          <c:xMode val="edge"/>
          <c:yMode val="edge"/>
          <c:x val="0.24520349299792801"/>
          <c:y val="0.18961097298946453"/>
          <c:w val="0.75862914275316506"/>
          <c:h val="0.68022278336395092"/>
        </c:manualLayout>
      </c:layout>
      <c:bar3DChart>
        <c:barDir val="col"/>
        <c:grouping val="clustered"/>
        <c:varyColors val="0"/>
        <c:ser>
          <c:idx val="0"/>
          <c:order val="0"/>
          <c:tx>
            <c:strRef>
              <c:f>Лист1!$C$1</c:f>
              <c:strCache>
                <c:ptCount val="1"/>
                <c:pt idx="0">
                  <c:v>Ряд 1</c:v>
                </c:pt>
              </c:strCache>
            </c:strRef>
          </c:tx>
          <c:spPr>
            <a:solidFill>
              <a:schemeClr val="accent6">
                <a:lumMod val="60000"/>
                <a:lumOff val="40000"/>
              </a:schemeClr>
            </a:solidFill>
            <a:ln>
              <a:noFill/>
            </a:ln>
            <a:effectLst/>
            <a:sp3d/>
          </c:spPr>
          <c:invertIfNegative val="0"/>
          <c:dPt>
            <c:idx val="4"/>
            <c:invertIfNegative val="0"/>
            <c:bubble3D val="0"/>
            <c:spPr>
              <a:solidFill>
                <a:schemeClr val="accent6">
                  <a:lumMod val="60000"/>
                  <a:lumOff val="40000"/>
                </a:schemeClr>
              </a:solidFill>
              <a:ln>
                <a:noFill/>
              </a:ln>
              <a:effectLst/>
              <a:sp3d/>
            </c:spPr>
            <c:extLst xmlns:c16r2="http://schemas.microsoft.com/office/drawing/2015/06/chart">
              <c:ext xmlns:c16="http://schemas.microsoft.com/office/drawing/2014/chart" uri="{C3380CC4-5D6E-409C-BE32-E72D297353CC}">
                <c16:uniqueId val="{00000001-E0D4-46A4-968E-85051951DE4E}"/>
              </c:ext>
            </c:extLst>
          </c:dPt>
          <c:dLbls>
            <c:dLbl>
              <c:idx val="0"/>
              <c:layout>
                <c:manualLayout>
                  <c:x val="1.0223864197070153E-2"/>
                  <c:y val="-3.23633082550583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0D4-46A4-968E-85051951DE4E}"/>
                </c:ext>
                <c:ext xmlns:c15="http://schemas.microsoft.com/office/drawing/2012/chart" uri="{CE6537A1-D6FC-4f65-9D91-7224C49458BB}"/>
              </c:extLst>
            </c:dLbl>
            <c:dLbl>
              <c:idx val="1"/>
              <c:layout>
                <c:manualLayout>
                  <c:x val="1.6537467700258397E-2"/>
                  <c:y val="-9.708737864077669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0D4-46A4-968E-85051951DE4E}"/>
                </c:ext>
                <c:ext xmlns:c15="http://schemas.microsoft.com/office/drawing/2012/chart" uri="{CE6537A1-D6FC-4f65-9D91-7224C49458BB}"/>
              </c:extLst>
            </c:dLbl>
            <c:dLbl>
              <c:idx val="2"/>
              <c:layout>
                <c:manualLayout>
                  <c:x val="1.0335917312661499E-2"/>
                  <c:y val="-6.47249190938523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0D4-46A4-968E-85051951DE4E}"/>
                </c:ext>
                <c:ext xmlns:c15="http://schemas.microsoft.com/office/drawing/2012/chart" uri="{CE6537A1-D6FC-4f65-9D91-7224C49458BB}"/>
              </c:extLst>
            </c:dLbl>
            <c:dLbl>
              <c:idx val="3"/>
              <c:layout>
                <c:manualLayout>
                  <c:x val="1.2403100775193798E-2"/>
                  <c:y val="-6.47249190938511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0D4-46A4-968E-85051951DE4E}"/>
                </c:ext>
                <c:ext xmlns:c15="http://schemas.microsoft.com/office/drawing/2012/chart" uri="{CE6537A1-D6FC-4f65-9D91-7224C49458BB}"/>
              </c:extLst>
            </c:dLbl>
            <c:dLbl>
              <c:idx val="4"/>
              <c:layout>
                <c:manualLayout>
                  <c:x val="8.1511611996367746E-3"/>
                  <c:y val="-6.47240199674146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0D4-46A4-968E-85051951DE4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Лист1!$B$2:$B$7</c:f>
              <c:strCache>
                <c:ptCount val="5"/>
                <c:pt idx="0">
                  <c:v>2021 рік</c:v>
                </c:pt>
                <c:pt idx="1">
                  <c:v>2022 рік</c:v>
                </c:pt>
                <c:pt idx="2">
                  <c:v>2023 рік </c:v>
                </c:pt>
                <c:pt idx="3">
                  <c:v>2024 рік
(очікувані)</c:v>
                </c:pt>
                <c:pt idx="4">
                  <c:v>2025 рік
 (прогноз)</c:v>
                </c:pt>
              </c:strCache>
            </c:strRef>
          </c:cat>
          <c:val>
            <c:numRef>
              <c:f>Лист1!$C$2:$C$7</c:f>
              <c:numCache>
                <c:formatCode>#\ ##0.0</c:formatCode>
                <c:ptCount val="6"/>
                <c:pt idx="0">
                  <c:v>27.7</c:v>
                </c:pt>
                <c:pt idx="1">
                  <c:v>28.7</c:v>
                </c:pt>
                <c:pt idx="2">
                  <c:v>167.2</c:v>
                </c:pt>
                <c:pt idx="3">
                  <c:v>53.8</c:v>
                </c:pt>
                <c:pt idx="4">
                  <c:v>55</c:v>
                </c:pt>
              </c:numCache>
            </c:numRef>
          </c:val>
          <c:extLst xmlns:c16r2="http://schemas.microsoft.com/office/drawing/2015/06/chart">
            <c:ext xmlns:c16="http://schemas.microsoft.com/office/drawing/2014/chart" uri="{C3380CC4-5D6E-409C-BE32-E72D297353CC}">
              <c16:uniqueId val="{00000006-E0D4-46A4-968E-85051951DE4E}"/>
            </c:ext>
          </c:extLst>
        </c:ser>
        <c:dLbls>
          <c:showLegendKey val="0"/>
          <c:showVal val="0"/>
          <c:showCatName val="0"/>
          <c:showSerName val="0"/>
          <c:showPercent val="0"/>
          <c:showBubbleSize val="0"/>
        </c:dLbls>
        <c:gapWidth val="150"/>
        <c:shape val="box"/>
        <c:axId val="450991272"/>
        <c:axId val="450991664"/>
        <c:axId val="0"/>
      </c:bar3DChart>
      <c:catAx>
        <c:axId val="450991272"/>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crossAx val="450991664"/>
        <c:crosses val="autoZero"/>
        <c:auto val="1"/>
        <c:lblAlgn val="ctr"/>
        <c:lblOffset val="100"/>
        <c:noMultiLvlLbl val="0"/>
      </c:catAx>
      <c:valAx>
        <c:axId val="450991664"/>
        <c:scaling>
          <c:orientation val="minMax"/>
        </c:scaling>
        <c:delete val="0"/>
        <c:axPos val="l"/>
        <c:majorGridlines>
          <c:spPr>
            <a:ln w="9525" cap="flat" cmpd="sng" algn="ctr">
              <a:solidFill>
                <a:schemeClr val="bg2"/>
              </a:solidFill>
              <a:prstDash val="solid"/>
              <a:round/>
            </a:ln>
            <a:effectLst/>
          </c:spPr>
        </c:majorGridlines>
        <c:numFmt formatCode="#\ ##0.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450991272"/>
        <c:crosses val="autoZero"/>
        <c:crossBetween val="between"/>
      </c:valAx>
      <c:spPr>
        <a:noFill/>
        <a:ln>
          <a:noFill/>
        </a:ln>
        <a:effectLst/>
      </c:spPr>
    </c:plotArea>
    <c:plotVisOnly val="1"/>
    <c:dispBlanksAs val="gap"/>
    <c:showDLblsOverMax val="0"/>
  </c:chart>
  <c:spPr>
    <a:solidFill>
      <a:schemeClr val="bg1"/>
    </a:solidFill>
    <a:ln w="4127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Структура надходжень спеціального фонду до бюджету Чорноморської МТГ в 2025 році </a:t>
            </a:r>
          </a:p>
        </c:rich>
      </c:tx>
      <c:overlay val="0"/>
    </c:title>
    <c:autoTitleDeleted val="0"/>
    <c:view3D>
      <c:rotX val="20"/>
      <c:rotY val="220"/>
      <c:rAngAx val="0"/>
    </c:view3D>
    <c:floor>
      <c:thickness val="0"/>
    </c:floor>
    <c:sideWall>
      <c:thickness val="0"/>
    </c:sideWall>
    <c:backWall>
      <c:thickness val="0"/>
    </c:backWall>
    <c:plotArea>
      <c:layout>
        <c:manualLayout>
          <c:layoutTarget val="inner"/>
          <c:xMode val="edge"/>
          <c:yMode val="edge"/>
          <c:x val="7.7117882979753138E-2"/>
          <c:y val="0.14689318726463541"/>
          <c:w val="0.669208347887567"/>
          <c:h val="0.78981941116056165"/>
        </c:manualLayout>
      </c:layout>
      <c:pie3DChart>
        <c:varyColors val="1"/>
        <c:ser>
          <c:idx val="0"/>
          <c:order val="0"/>
          <c:tx>
            <c:strRef>
              <c:f>'спеціальний фонд'!$C$6</c:f>
              <c:strCache>
                <c:ptCount val="1"/>
                <c:pt idx="0">
                  <c:v>2020</c:v>
                </c:pt>
              </c:strCache>
            </c:strRef>
          </c:tx>
          <c:spPr>
            <a:solidFill>
              <a:schemeClr val="accent1"/>
            </a:solidFill>
            <a:scene3d>
              <a:camera prst="orthographicFront"/>
              <a:lightRig rig="threePt" dir="t"/>
            </a:scene3d>
            <a:sp3d prstMaterial="softEdge">
              <a:bevelT w="165100" prst="coolSlant"/>
            </a:sp3d>
          </c:spPr>
          <c:explosion val="21"/>
          <c:dPt>
            <c:idx val="0"/>
            <c:bubble3D val="0"/>
            <c:spPr>
              <a:solidFill>
                <a:srgbClr val="FF00FF"/>
              </a:solidFill>
              <a:scene3d>
                <a:camera prst="orthographicFront"/>
                <a:lightRig rig="threePt" dir="t"/>
              </a:scene3d>
              <a:sp3d prstMaterial="softEdge">
                <a:bevelT w="165100" prst="coolSlant"/>
              </a:sp3d>
            </c:spPr>
            <c:extLst xmlns:c16r2="http://schemas.microsoft.com/office/drawing/2015/06/chart">
              <c:ext xmlns:c16="http://schemas.microsoft.com/office/drawing/2014/chart" uri="{C3380CC4-5D6E-409C-BE32-E72D297353CC}">
                <c16:uniqueId val="{00000001-69B2-4EE7-ADEF-B2A3C0D06D14}"/>
              </c:ext>
            </c:extLst>
          </c:dPt>
          <c:dPt>
            <c:idx val="1"/>
            <c:bubble3D val="0"/>
            <c:spPr>
              <a:solidFill>
                <a:srgbClr val="FFFF00"/>
              </a:solidFill>
              <a:scene3d>
                <a:camera prst="orthographicFront"/>
                <a:lightRig rig="threePt" dir="t"/>
              </a:scene3d>
              <a:sp3d prstMaterial="softEdge">
                <a:bevelT w="165100" prst="coolSlant"/>
              </a:sp3d>
            </c:spPr>
            <c:extLst xmlns:c16r2="http://schemas.microsoft.com/office/drawing/2015/06/chart">
              <c:ext xmlns:c16="http://schemas.microsoft.com/office/drawing/2014/chart" uri="{C3380CC4-5D6E-409C-BE32-E72D297353CC}">
                <c16:uniqueId val="{00000003-69B2-4EE7-ADEF-B2A3C0D06D14}"/>
              </c:ext>
            </c:extLst>
          </c:dPt>
          <c:dPt>
            <c:idx val="2"/>
            <c:bubble3D val="0"/>
            <c:spPr>
              <a:solidFill>
                <a:srgbClr val="00FFFF"/>
              </a:solidFill>
              <a:scene3d>
                <a:camera prst="orthographicFront"/>
                <a:lightRig rig="threePt" dir="t"/>
              </a:scene3d>
              <a:sp3d prstMaterial="softEdge">
                <a:bevelT w="165100" prst="coolSlant"/>
              </a:sp3d>
            </c:spPr>
            <c:extLst xmlns:c16r2="http://schemas.microsoft.com/office/drawing/2015/06/chart">
              <c:ext xmlns:c16="http://schemas.microsoft.com/office/drawing/2014/chart" uri="{C3380CC4-5D6E-409C-BE32-E72D297353CC}">
                <c16:uniqueId val="{00000005-69B2-4EE7-ADEF-B2A3C0D06D14}"/>
              </c:ext>
            </c:extLst>
          </c:dPt>
          <c:dLbls>
            <c:dLbl>
              <c:idx val="0"/>
              <c:layout>
                <c:manualLayout>
                  <c:x val="-7.4573788912409469E-2"/>
                  <c:y val="7.6267748157986273E-2"/>
                </c:manualLayout>
              </c:layout>
              <c:tx>
                <c:rich>
                  <a:bodyPr/>
                  <a:lstStyle/>
                  <a:p>
                    <a:r>
                      <a:rPr lang="ru-RU"/>
                      <a:t>Власні надходження бюджетних установ; 11 450,3; </a:t>
                    </a:r>
                    <a:r>
                      <a:rPr lang="ru-RU">
                        <a:solidFill>
                          <a:srgbClr val="0070C0"/>
                        </a:solidFill>
                      </a:rPr>
                      <a:t>91,4 %</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69B2-4EE7-ADEF-B2A3C0D06D14}"/>
                </c:ext>
                <c:ext xmlns:c15="http://schemas.microsoft.com/office/drawing/2012/chart" uri="{CE6537A1-D6FC-4f65-9D91-7224C49458BB}">
                  <c15:layout>
                    <c:manualLayout>
                      <c:w val="0.19361847005896043"/>
                      <c:h val="0.28524112196818768"/>
                    </c:manualLayout>
                  </c15:layout>
                </c:ext>
              </c:extLst>
            </c:dLbl>
            <c:dLbl>
              <c:idx val="1"/>
              <c:layout>
                <c:manualLayout>
                  <c:x val="4.5537145911277395E-2"/>
                  <c:y val="0.18637937920803377"/>
                </c:manualLayout>
              </c:layout>
              <c:tx>
                <c:rich>
                  <a:bodyPr/>
                  <a:lstStyle/>
                  <a:p>
                    <a:r>
                      <a:rPr lang="ru-RU"/>
                      <a:t>Бюджет розвитку;</a:t>
                    </a:r>
                  </a:p>
                  <a:p>
                    <a:r>
                      <a:rPr lang="ru-RU"/>
                      <a:t>170,0; </a:t>
                    </a:r>
                  </a:p>
                  <a:p>
                    <a:r>
                      <a:rPr lang="ru-RU">
                        <a:solidFill>
                          <a:srgbClr val="0070C0"/>
                        </a:solidFill>
                      </a:rPr>
                      <a:t>1,4 %</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69B2-4EE7-ADEF-B2A3C0D06D14}"/>
                </c:ext>
                <c:ext xmlns:c15="http://schemas.microsoft.com/office/drawing/2012/chart" uri="{CE6537A1-D6FC-4f65-9D91-7224C49458BB}"/>
              </c:extLst>
            </c:dLbl>
            <c:dLbl>
              <c:idx val="2"/>
              <c:layout>
                <c:manualLayout>
                  <c:x val="4.1390977918246592E-3"/>
                  <c:y val="6.3938719616569661E-2"/>
                </c:manualLayout>
              </c:layout>
              <c:tx>
                <c:rich>
                  <a:bodyPr/>
                  <a:lstStyle/>
                  <a:p>
                    <a:r>
                      <a:rPr lang="ru-RU"/>
                      <a:t>Фонд охорони навколишнього природного середовища; </a:t>
                    </a:r>
                  </a:p>
                  <a:p>
                    <a:r>
                      <a:rPr lang="ru-RU" baseline="0"/>
                      <a:t>900,0</a:t>
                    </a:r>
                    <a:r>
                      <a:rPr lang="ru-RU"/>
                      <a:t>; </a:t>
                    </a:r>
                  </a:p>
                  <a:p>
                    <a:r>
                      <a:rPr lang="ru-RU">
                        <a:solidFill>
                          <a:srgbClr val="0070C0"/>
                        </a:solidFill>
                      </a:rPr>
                      <a:t>7,2 %</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69B2-4EE7-ADEF-B2A3C0D06D14}"/>
                </c:ext>
                <c:ext xmlns:c15="http://schemas.microsoft.com/office/drawing/2012/chart" uri="{CE6537A1-D6FC-4f65-9D91-7224C49458BB}"/>
              </c:extLst>
            </c:dLbl>
            <c:dLbl>
              <c:idx val="3"/>
              <c:layout>
                <c:manualLayout>
                  <c:x val="-5.4658759924337032E-2"/>
                  <c:y val="-6.2547843771183956E-2"/>
                </c:manualLayout>
              </c:layou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6-69B2-4EE7-ADEF-B2A3C0D06D14}"/>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'спеціальний фонд'!$B$7:$B$9</c:f>
              <c:strCache>
                <c:ptCount val="3"/>
                <c:pt idx="0">
                  <c:v>Власні надходження бюджетних установ</c:v>
                </c:pt>
                <c:pt idx="1">
                  <c:v>Бюджет розвитку</c:v>
                </c:pt>
                <c:pt idx="2">
                  <c:v>Фонд охорони навколишнього природного середовища</c:v>
                </c:pt>
              </c:strCache>
            </c:strRef>
          </c:cat>
          <c:val>
            <c:numRef>
              <c:f>'спеціальний фонд'!$C$7:$C$9</c:f>
              <c:numCache>
                <c:formatCode>#,##0.0</c:formatCode>
                <c:ptCount val="3"/>
                <c:pt idx="0">
                  <c:v>14130.9</c:v>
                </c:pt>
                <c:pt idx="1">
                  <c:v>7770.2</c:v>
                </c:pt>
                <c:pt idx="2">
                  <c:v>1335</c:v>
                </c:pt>
              </c:numCache>
            </c:numRef>
          </c:val>
          <c:extLst xmlns:c16r2="http://schemas.microsoft.com/office/drawing/2015/06/chart">
            <c:ext xmlns:c16="http://schemas.microsoft.com/office/drawing/2014/chart" uri="{C3380CC4-5D6E-409C-BE32-E72D297353CC}">
              <c16:uniqueId val="{00000007-69B2-4EE7-ADEF-B2A3C0D06D14}"/>
            </c:ext>
          </c:extLst>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noFill/>
    <a:scene3d>
      <a:camera prst="orthographicFront"/>
      <a:lightRig rig="threePt" dir="t"/>
    </a:scene3d>
    <a:sp3d prstMaterial="dkEdge"/>
  </c:sp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Освітня субвенція</c:v>
                </c:pt>
              </c:strCache>
            </c:strRef>
          </c:tx>
          <c:spPr>
            <a:solidFill>
              <a:schemeClr val="accent4">
                <a:lumMod val="40000"/>
                <a:lumOff val="60000"/>
              </a:schemeClr>
            </a:solidFill>
          </c:spPr>
          <c:invertIfNegative val="0"/>
          <c:dLbls>
            <c:dLbl>
              <c:idx val="0"/>
              <c:layout>
                <c:manualLayout>
                  <c:x val="9.7010741328299611E-3"/>
                  <c:y val="-5.3366317716032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FDE-418B-B9E5-024D32E00FE8}"/>
                </c:ext>
                <c:ext xmlns:c15="http://schemas.microsoft.com/office/drawing/2012/chart" uri="{CE6537A1-D6FC-4f65-9D91-7224C49458BB}"/>
              </c:extLst>
            </c:dLbl>
            <c:dLbl>
              <c:idx val="1"/>
              <c:layout>
                <c:manualLayout>
                  <c:x val="1.2752201899765239E-2"/>
                  <c:y val="-5.584789706164778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FDE-418B-B9E5-024D32E00FE8}"/>
                </c:ext>
                <c:ext xmlns:c15="http://schemas.microsoft.com/office/drawing/2012/chart" uri="{CE6537A1-D6FC-4f65-9D91-7224C49458BB}"/>
              </c:extLst>
            </c:dLbl>
            <c:dLbl>
              <c:idx val="2"/>
              <c:layout>
                <c:manualLayout>
                  <c:x val="8.6702070011921532E-3"/>
                  <c:y val="-1.53256704980843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FDE-418B-B9E5-024D32E00FE8}"/>
                </c:ext>
                <c:ext xmlns:c15="http://schemas.microsoft.com/office/drawing/2012/chart" uri="{CE6537A1-D6FC-4f65-9D91-7224C49458BB}"/>
              </c:extLst>
            </c:dLbl>
            <c:dLbl>
              <c:idx val="3"/>
              <c:layout>
                <c:manualLayout>
                  <c:x val="1.0837758751490113E-2"/>
                  <c:y val="-5.10855683269481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FDE-418B-B9E5-024D32E00FE8}"/>
                </c:ext>
                <c:ext xmlns:c15="http://schemas.microsoft.com/office/drawing/2012/chart" uri="{CE6537A1-D6FC-4f65-9D91-7224C49458BB}"/>
              </c:extLst>
            </c:dLbl>
            <c:dLbl>
              <c:idx val="4"/>
              <c:layout>
                <c:manualLayout>
                  <c:x val="1.9507965752682346E-2"/>
                  <c:y val="8.828957355940220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FDE-418B-B9E5-024D32E00FE8}"/>
                </c:ext>
                <c:ext xmlns:c15="http://schemas.microsoft.com/office/drawing/2012/chart" uri="{CE6537A1-D6FC-4f65-9D91-7224C49458BB}">
                  <c15:layout>
                    <c:manualLayout>
                      <c:w val="7.2428656399525879E-2"/>
                      <c:h val="0.12592592592592591"/>
                    </c:manualLayout>
                  </c15:layout>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2021 рік</c:v>
                </c:pt>
                <c:pt idx="1">
                  <c:v>2022 рік</c:v>
                </c:pt>
                <c:pt idx="2">
                  <c:v>2023 рік</c:v>
                </c:pt>
                <c:pt idx="3">
                  <c:v>2024 рік 
8 міс.
</c:v>
                </c:pt>
                <c:pt idx="4">
                  <c:v>2025 рік
 8 міс.
</c:v>
                </c:pt>
              </c:strCache>
            </c:strRef>
          </c:cat>
          <c:val>
            <c:numRef>
              <c:f>Лист1!$B$2:$B$6</c:f>
              <c:numCache>
                <c:formatCode>0.0</c:formatCode>
                <c:ptCount val="5"/>
                <c:pt idx="0">
                  <c:v>148.6</c:v>
                </c:pt>
                <c:pt idx="1">
                  <c:v>148.9</c:v>
                </c:pt>
                <c:pt idx="2">
                  <c:v>126.9</c:v>
                </c:pt>
                <c:pt idx="3">
                  <c:v>102.8</c:v>
                </c:pt>
                <c:pt idx="4">
                  <c:v>103</c:v>
                </c:pt>
              </c:numCache>
            </c:numRef>
          </c:val>
          <c:extLst xmlns:c16r2="http://schemas.microsoft.com/office/drawing/2015/06/chart">
            <c:ext xmlns:c16="http://schemas.microsoft.com/office/drawing/2014/chart" uri="{C3380CC4-5D6E-409C-BE32-E72D297353CC}">
              <c16:uniqueId val="{00000005-EFDE-418B-B9E5-024D32E00FE8}"/>
            </c:ext>
          </c:extLst>
        </c:ser>
        <c:dLbls>
          <c:showLegendKey val="0"/>
          <c:showVal val="0"/>
          <c:showCatName val="0"/>
          <c:showSerName val="0"/>
          <c:showPercent val="0"/>
          <c:showBubbleSize val="0"/>
        </c:dLbls>
        <c:gapWidth val="150"/>
        <c:shape val="cylinder"/>
        <c:axId val="592548944"/>
        <c:axId val="592550512"/>
        <c:axId val="0"/>
      </c:bar3DChart>
      <c:catAx>
        <c:axId val="592548944"/>
        <c:scaling>
          <c:orientation val="minMax"/>
        </c:scaling>
        <c:delete val="0"/>
        <c:axPos val="b"/>
        <c:numFmt formatCode="General" sourceLinked="0"/>
        <c:majorTickMark val="out"/>
        <c:minorTickMark val="none"/>
        <c:tickLblPos val="nextTo"/>
        <c:txPr>
          <a:bodyPr/>
          <a:lstStyle/>
          <a:p>
            <a:pPr>
              <a:defRPr sz="1100" b="1"/>
            </a:pPr>
            <a:endParaRPr lang="ru-RU"/>
          </a:p>
        </c:txPr>
        <c:crossAx val="592550512"/>
        <c:crosses val="autoZero"/>
        <c:auto val="1"/>
        <c:lblAlgn val="ctr"/>
        <c:lblOffset val="100"/>
        <c:noMultiLvlLbl val="0"/>
      </c:catAx>
      <c:valAx>
        <c:axId val="592550512"/>
        <c:scaling>
          <c:orientation val="minMax"/>
          <c:min val="0"/>
        </c:scaling>
        <c:delete val="0"/>
        <c:axPos val="l"/>
        <c:majorGridlines/>
        <c:numFmt formatCode="0.0" sourceLinked="1"/>
        <c:majorTickMark val="out"/>
        <c:minorTickMark val="none"/>
        <c:tickLblPos val="nextTo"/>
        <c:crossAx val="592548944"/>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Реверсна дотація за 2022-2025рр. </a:t>
            </a:r>
          </a:p>
        </c:rich>
      </c:tx>
      <c:layout>
        <c:manualLayout>
          <c:xMode val="edge"/>
          <c:yMode val="edge"/>
          <c:x val="0.18263343557603359"/>
          <c:y val="1.3452532407248219E-2"/>
        </c:manualLayout>
      </c:layout>
      <c:overlay val="0"/>
    </c:title>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Лист1!$B$1</c:f>
              <c:strCache>
                <c:ptCount val="1"/>
                <c:pt idx="0">
                  <c:v>Ряд 1</c:v>
                </c:pt>
              </c:strCache>
            </c:strRef>
          </c:tx>
          <c:spPr>
            <a:solidFill>
              <a:schemeClr val="accent5">
                <a:lumMod val="40000"/>
                <a:lumOff val="60000"/>
              </a:schemeClr>
            </a:solidFill>
          </c:spPr>
          <c:invertIfNegative val="0"/>
          <c:dLbls>
            <c:dLbl>
              <c:idx val="0"/>
              <c:layout>
                <c:manualLayout>
                  <c:x val="9.8551014456526274E-3"/>
                  <c:y val="-0.32452557066730298"/>
                </c:manualLayout>
              </c:layout>
              <c:spPr>
                <a:noFill/>
                <a:ln>
                  <a:noFill/>
                </a:ln>
                <a:effectLst/>
              </c:spPr>
              <c:txPr>
                <a:bodyPr/>
                <a:lstStyle/>
                <a:p>
                  <a:pPr>
                    <a:defRPr sz="1200" b="1">
                      <a:solidFill>
                        <a:srgbClr val="FF0000"/>
                      </a:solidFill>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82E-40BE-B406-794AC91DABBF}"/>
                </c:ext>
                <c:ext xmlns:c15="http://schemas.microsoft.com/office/drawing/2012/chart" uri="{CE6537A1-D6FC-4f65-9D91-7224C49458BB}"/>
              </c:extLst>
            </c:dLbl>
            <c:dLbl>
              <c:idx val="1"/>
              <c:layout>
                <c:manualLayout>
                  <c:x val="1.46175061450652E-2"/>
                  <c:y val="-0.18802195180147929"/>
                </c:manualLayout>
              </c:layout>
              <c:spPr>
                <a:noFill/>
                <a:ln>
                  <a:noFill/>
                </a:ln>
                <a:effectLst/>
              </c:spPr>
              <c:txPr>
                <a:bodyPr/>
                <a:lstStyle/>
                <a:p>
                  <a:pPr>
                    <a:defRPr sz="1200" b="1">
                      <a:solidFill>
                        <a:srgbClr val="FF0000"/>
                      </a:solidFill>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2E-40BE-B406-794AC91DABBF}"/>
                </c:ext>
                <c:ext xmlns:c15="http://schemas.microsoft.com/office/drawing/2012/chart" uri="{CE6537A1-D6FC-4f65-9D91-7224C49458BB}"/>
              </c:extLst>
            </c:dLbl>
            <c:dLbl>
              <c:idx val="2"/>
              <c:layout>
                <c:manualLayout>
                  <c:x val="1.1374244886055832E-2"/>
                  <c:y val="-0.1356854635594793"/>
                </c:manualLayout>
              </c:layout>
              <c:spPr>
                <a:noFill/>
                <a:ln>
                  <a:noFill/>
                </a:ln>
                <a:effectLst/>
              </c:spPr>
              <c:txPr>
                <a:bodyPr/>
                <a:lstStyle/>
                <a:p>
                  <a:pPr>
                    <a:defRPr sz="1200" b="1">
                      <a:solidFill>
                        <a:srgbClr val="FF0000"/>
                      </a:solidFill>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2E-40BE-B406-794AC91DABBF}"/>
                </c:ext>
                <c:ext xmlns:c15="http://schemas.microsoft.com/office/drawing/2012/chart" uri="{CE6537A1-D6FC-4f65-9D91-7224C49458BB}"/>
              </c:extLst>
            </c:dLbl>
            <c:dLbl>
              <c:idx val="3"/>
              <c:layout>
                <c:manualLayout>
                  <c:x val="1.8515852185143525E-2"/>
                  <c:y val="-0.31493889021448079"/>
                </c:manualLayout>
              </c:layout>
              <c:spPr>
                <a:noFill/>
                <a:ln>
                  <a:noFill/>
                </a:ln>
                <a:effectLst/>
              </c:spPr>
              <c:txPr>
                <a:bodyPr/>
                <a:lstStyle/>
                <a:p>
                  <a:pPr>
                    <a:defRPr sz="1200" b="1">
                      <a:solidFill>
                        <a:srgbClr val="FF0000"/>
                      </a:solidFill>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2E-40BE-B406-794AC91DABBF}"/>
                </c:ext>
                <c:ext xmlns:c15="http://schemas.microsoft.com/office/drawing/2012/chart" uri="{CE6537A1-D6FC-4f65-9D91-7224C49458BB}"/>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2022 рік</c:v>
                </c:pt>
                <c:pt idx="1">
                  <c:v>2023 рік </c:v>
                </c:pt>
                <c:pt idx="2">
                  <c:v>2024 рік</c:v>
                </c:pt>
                <c:pt idx="3">
                  <c:v>2025 рік</c:v>
                </c:pt>
              </c:strCache>
            </c:strRef>
          </c:cat>
          <c:val>
            <c:numRef>
              <c:f>Лист1!$B$2:$B$5</c:f>
              <c:numCache>
                <c:formatCode>#\ ##0.0</c:formatCode>
                <c:ptCount val="4"/>
                <c:pt idx="0">
                  <c:v>46217.7</c:v>
                </c:pt>
                <c:pt idx="1">
                  <c:v>10294.700000000001</c:v>
                </c:pt>
                <c:pt idx="2">
                  <c:v>0</c:v>
                </c:pt>
                <c:pt idx="3">
                  <c:v>63874.8</c:v>
                </c:pt>
              </c:numCache>
            </c:numRef>
          </c:val>
          <c:extLst xmlns:c16r2="http://schemas.microsoft.com/office/drawing/2015/06/chart">
            <c:ext xmlns:c16="http://schemas.microsoft.com/office/drawing/2014/chart" uri="{C3380CC4-5D6E-409C-BE32-E72D297353CC}">
              <c16:uniqueId val="{00000004-982E-40BE-B406-794AC91DABBF}"/>
            </c:ext>
          </c:extLst>
        </c:ser>
        <c:dLbls>
          <c:showLegendKey val="0"/>
          <c:showVal val="0"/>
          <c:showCatName val="0"/>
          <c:showSerName val="0"/>
          <c:showPercent val="0"/>
          <c:showBubbleSize val="0"/>
        </c:dLbls>
        <c:gapWidth val="150"/>
        <c:shape val="cylinder"/>
        <c:axId val="592550120"/>
        <c:axId val="592549728"/>
        <c:axId val="0"/>
      </c:bar3DChart>
      <c:catAx>
        <c:axId val="592550120"/>
        <c:scaling>
          <c:orientation val="minMax"/>
        </c:scaling>
        <c:delete val="0"/>
        <c:axPos val="b"/>
        <c:numFmt formatCode="General" sourceLinked="0"/>
        <c:majorTickMark val="out"/>
        <c:minorTickMark val="none"/>
        <c:tickLblPos val="nextTo"/>
        <c:txPr>
          <a:bodyPr/>
          <a:lstStyle/>
          <a:p>
            <a:pPr>
              <a:defRPr sz="1100" b="1"/>
            </a:pPr>
            <a:endParaRPr lang="ru-RU"/>
          </a:p>
        </c:txPr>
        <c:crossAx val="592549728"/>
        <c:crosses val="autoZero"/>
        <c:auto val="1"/>
        <c:lblAlgn val="ctr"/>
        <c:lblOffset val="100"/>
        <c:noMultiLvlLbl val="0"/>
      </c:catAx>
      <c:valAx>
        <c:axId val="592549728"/>
        <c:scaling>
          <c:orientation val="minMax"/>
          <c:max val="22900"/>
          <c:min val="0"/>
        </c:scaling>
        <c:delete val="0"/>
        <c:axPos val="l"/>
        <c:majorGridlines>
          <c:spPr>
            <a:ln>
              <a:solidFill>
                <a:schemeClr val="bg1">
                  <a:lumMod val="95000"/>
                </a:schemeClr>
              </a:solidFill>
            </a:ln>
          </c:spPr>
        </c:majorGridlines>
        <c:numFmt formatCode="#\ ##0.0" sourceLinked="1"/>
        <c:majorTickMark val="out"/>
        <c:minorTickMark val="none"/>
        <c:tickLblPos val="none"/>
        <c:crossAx val="592550120"/>
        <c:crosses val="autoZero"/>
        <c:crossBetween val="between"/>
        <c:majorUnit val="5000"/>
        <c:minorUnit val="10"/>
      </c:valAx>
      <c:spPr>
        <a:scene3d>
          <a:camera prst="orthographicFront"/>
          <a:lightRig rig="threePt" dir="t"/>
        </a:scene3d>
        <a:sp3d>
          <a:bevelB/>
        </a:sp3d>
      </c:spPr>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a:latin typeface="Times New Roman" pitchFamily="18" charset="0"/>
                <a:cs typeface="Times New Roman" pitchFamily="18" charset="0"/>
              </a:defRPr>
            </a:pPr>
            <a:r>
              <a:rPr lang="ru-RU" sz="1050">
                <a:latin typeface="Times New Roman" pitchFamily="18" charset="0"/>
                <a:cs typeface="Times New Roman" pitchFamily="18" charset="0"/>
              </a:rPr>
              <a:t>Структура видатків загального фонду бюджету  </a:t>
            </a:r>
          </a:p>
          <a:p>
            <a:pPr algn="ctr">
              <a:defRPr sz="1050">
                <a:latin typeface="Times New Roman" pitchFamily="18" charset="0"/>
                <a:cs typeface="Times New Roman" pitchFamily="18" charset="0"/>
              </a:defRPr>
            </a:pPr>
            <a:r>
              <a:rPr lang="ru-RU" sz="1050">
                <a:latin typeface="Times New Roman" pitchFamily="18" charset="0"/>
                <a:cs typeface="Times New Roman" pitchFamily="18" charset="0"/>
              </a:rPr>
              <a:t>Чорноморсько</a:t>
            </a:r>
            <a:r>
              <a:rPr lang="uk-UA" sz="1050">
                <a:latin typeface="Times New Roman" pitchFamily="18" charset="0"/>
                <a:cs typeface="Times New Roman" pitchFamily="18" charset="0"/>
              </a:rPr>
              <a:t>ї</a:t>
            </a:r>
            <a:r>
              <a:rPr lang="uk-UA" sz="1050" baseline="0">
                <a:latin typeface="Times New Roman" pitchFamily="18" charset="0"/>
                <a:cs typeface="Times New Roman" pitchFamily="18" charset="0"/>
              </a:rPr>
              <a:t>  МТГ </a:t>
            </a:r>
            <a:r>
              <a:rPr lang="ru-RU" sz="1050">
                <a:latin typeface="Times New Roman" pitchFamily="18" charset="0"/>
                <a:cs typeface="Times New Roman" pitchFamily="18" charset="0"/>
              </a:rPr>
              <a:t> </a:t>
            </a:r>
          </a:p>
          <a:p>
            <a:pPr algn="ctr">
              <a:defRPr sz="1050">
                <a:latin typeface="Times New Roman" pitchFamily="18" charset="0"/>
                <a:cs typeface="Times New Roman" pitchFamily="18" charset="0"/>
              </a:defRPr>
            </a:pPr>
            <a:r>
              <a:rPr lang="ru-RU" sz="1050">
                <a:latin typeface="Times New Roman" pitchFamily="18" charset="0"/>
                <a:cs typeface="Times New Roman" pitchFamily="18" charset="0"/>
              </a:rPr>
              <a:t>у 2025 році за галузями економіки  - 1</a:t>
            </a:r>
            <a:r>
              <a:rPr lang="ru-RU" sz="1050" baseline="0">
                <a:latin typeface="Times New Roman" pitchFamily="18" charset="0"/>
                <a:cs typeface="Times New Roman" pitchFamily="18" charset="0"/>
              </a:rPr>
              <a:t> 134,4 </a:t>
            </a:r>
            <a:r>
              <a:rPr lang="ru-RU" sz="1050">
                <a:latin typeface="Times New Roman" pitchFamily="18" charset="0"/>
                <a:cs typeface="Times New Roman" pitchFamily="18" charset="0"/>
              </a:rPr>
              <a:t>млн</a:t>
            </a:r>
            <a:r>
              <a:rPr lang="ru-RU" sz="1050" baseline="0">
                <a:latin typeface="Times New Roman" pitchFamily="18" charset="0"/>
                <a:cs typeface="Times New Roman" pitchFamily="18" charset="0"/>
              </a:rPr>
              <a:t> </a:t>
            </a:r>
            <a:r>
              <a:rPr lang="ru-RU" sz="1050">
                <a:latin typeface="Times New Roman" pitchFamily="18" charset="0"/>
                <a:cs typeface="Times New Roman" pitchFamily="18" charset="0"/>
              </a:rPr>
              <a:t>грн</a:t>
            </a:r>
          </a:p>
        </c:rich>
      </c:tx>
      <c:layout>
        <c:manualLayout>
          <c:xMode val="edge"/>
          <c:yMode val="edge"/>
          <c:x val="0.27457209430377194"/>
          <c:y val="2.7280519044067291E-2"/>
        </c:manualLayout>
      </c:layout>
      <c:overlay val="0"/>
    </c:title>
    <c:autoTitleDeleted val="0"/>
    <c:view3D>
      <c:rotX val="30"/>
      <c:rotY val="240"/>
      <c:rAngAx val="0"/>
    </c:view3D>
    <c:floor>
      <c:thickness val="0"/>
    </c:floor>
    <c:sideWall>
      <c:thickness val="0"/>
    </c:sideWall>
    <c:backWall>
      <c:thickness val="0"/>
    </c:backWall>
    <c:plotArea>
      <c:layout>
        <c:manualLayout>
          <c:layoutTarget val="inner"/>
          <c:xMode val="edge"/>
          <c:yMode val="edge"/>
          <c:x val="3.2643746664444369E-2"/>
          <c:y val="0.15326358216906083"/>
          <c:w val="0.93895717286705649"/>
          <c:h val="0.80722766598361539"/>
        </c:manualLayout>
      </c:layout>
      <c:pie3DChart>
        <c:varyColors val="1"/>
        <c:ser>
          <c:idx val="0"/>
          <c:order val="0"/>
          <c:tx>
            <c:strRef>
              <c:f>Лист1!$B$1</c:f>
              <c:strCache>
                <c:ptCount val="1"/>
                <c:pt idx="0">
                  <c:v>Розподіл видатків загального фонду бюджету Чорноморської міської територіальної громади  у 2021 році за галузями економіки </c:v>
                </c:pt>
              </c:strCache>
            </c:strRef>
          </c:tx>
          <c:explosion val="45"/>
          <c:dPt>
            <c:idx val="1"/>
            <c:bubble3D val="0"/>
            <c:explosion val="35"/>
            <c:extLst xmlns:c16r2="http://schemas.microsoft.com/office/drawing/2015/06/chart">
              <c:ext xmlns:c16="http://schemas.microsoft.com/office/drawing/2014/chart" uri="{C3380CC4-5D6E-409C-BE32-E72D297353CC}">
                <c16:uniqueId val="{00000000-F083-409C-BF28-3C7BFB71FE00}"/>
              </c:ext>
            </c:extLst>
          </c:dPt>
          <c:dLbls>
            <c:dLbl>
              <c:idx val="0"/>
              <c:layout>
                <c:manualLayout>
                  <c:x val="-3.6348086380158226E-2"/>
                  <c:y val="-0.1287603704709325"/>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0996365191361984"/>
                      <c:h val="0.16321839080459771"/>
                    </c:manualLayout>
                  </c15:layout>
                </c:ext>
              </c:extLst>
            </c:dLbl>
            <c:dLbl>
              <c:idx val="1"/>
              <c:layout>
                <c:manualLayout>
                  <c:x val="2.9933718195424338E-2"/>
                  <c:y val="0.14793646483844691"/>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F083-409C-BF28-3C7BFB71FE00}"/>
                </c:ext>
                <c:ext xmlns:c15="http://schemas.microsoft.com/office/drawing/2012/chart" uri="{CE6537A1-D6FC-4f65-9D91-7224C49458BB}">
                  <c15:layout>
                    <c:manualLayout>
                      <c:w val="0.13523626256147103"/>
                      <c:h val="0.13678070413612092"/>
                    </c:manualLayout>
                  </c15:layout>
                </c:ext>
              </c:extLst>
            </c:dLbl>
            <c:dLbl>
              <c:idx val="2"/>
              <c:layout>
                <c:manualLayout>
                  <c:x val="-1.1855385459755311E-2"/>
                  <c:y val="-0.1246130871572088"/>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8.5471035171278669E-3"/>
                  <c:y val="-6.6730020816363408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0788950451110224"/>
                      <c:h val="0.16704980842911882"/>
                    </c:manualLayout>
                  </c15:layout>
                </c:ext>
              </c:extLst>
            </c:dLbl>
            <c:dLbl>
              <c:idx val="4"/>
              <c:layout>
                <c:manualLayout>
                  <c:x val="-7.0558050032071837E-4"/>
                  <c:y val="-9.6761245361571185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0570878768441308"/>
                      <c:h val="0.19003831417624517"/>
                    </c:manualLayout>
                  </c15:layout>
                </c:ext>
              </c:extLst>
            </c:dLbl>
            <c:dLbl>
              <c:idx val="5"/>
              <c:layout>
                <c:manualLayout>
                  <c:x val="-1.4966859097712208E-3"/>
                  <c:y val="0.13308021842097323"/>
                </c:manualLayout>
              </c:layout>
              <c:spPr>
                <a:solidFill>
                  <a:schemeClr val="bg1"/>
                </a:solidFill>
                <a:ln>
                  <a:noFill/>
                </a:ln>
                <a:effectLst/>
              </c:spPr>
              <c:txPr>
                <a:bodyPr/>
                <a:lstStyle/>
                <a:p>
                  <a:pPr>
                    <a:defRPr sz="800" b="1" baseline="0">
                      <a:solidFill>
                        <a:sysClr val="windowText" lastClr="000000"/>
                      </a:solidFill>
                      <a:latin typeface="Times New Roman" pitchFamily="18" charset="0"/>
                      <a:cs typeface="Times New Roman" pitchFamily="18" charset="0"/>
                    </a:defRPr>
                  </a:pPr>
                  <a:endParaRPr lang="ru-RU"/>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6"/>
              <c:layout>
                <c:manualLayout>
                  <c:x val="-0.1195579304992264"/>
                  <c:y val="2.4282740519504025E-3"/>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7"/>
              <c:layout>
                <c:manualLayout>
                  <c:x val="-2.8465147757749013E-2"/>
                  <c:y val="-5.7471264367816091E-4"/>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8"/>
              <c:layout>
                <c:manualLayout>
                  <c:x val="2.4957532168645692E-2"/>
                  <c:y val="-5.7471264367816091E-4"/>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9"/>
              <c:layout>
                <c:manualLayout>
                  <c:x val="-2.5715289774997478E-3"/>
                  <c:y val="4.4063671889727173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F083-409C-BF28-3C7BFB71FE00}"/>
                </c:ext>
                <c:ext xmlns:c15="http://schemas.microsoft.com/office/drawing/2012/chart" uri="{CE6537A1-D6FC-4f65-9D91-7224C49458BB}">
                  <c15:layout>
                    <c:manualLayout>
                      <c:w val="0.19922813924575214"/>
                      <c:h val="0.14604609768606508"/>
                    </c:manualLayout>
                  </c15:layout>
                </c:ext>
              </c:extLst>
            </c:dLbl>
            <c:dLbl>
              <c:idx val="10"/>
              <c:layout>
                <c:manualLayout>
                  <c:x val="-9.3100934544823981E-3"/>
                  <c:y val="-1.1712673846803632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1"/>
              <c:spPr>
                <a:solidFill>
                  <a:schemeClr val="bg1">
                    <a:alpha val="0"/>
                  </a:schemeClr>
                </a:solidFill>
                <a:ln>
                  <a:noFill/>
                </a:ln>
                <a:effectLst/>
              </c:spPr>
              <c:txPr>
                <a:bodyPr/>
                <a:lstStyle/>
                <a:p>
                  <a:pPr>
                    <a:defRPr sz="800" b="1" baseline="0">
                      <a:solidFill>
                        <a:schemeClr val="tx1"/>
                      </a:solidFill>
                      <a:latin typeface="Times New Roman" pitchFamily="18" charset="0"/>
                      <a:cs typeface="Times New Roman" pitchFamily="18" charset="0"/>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12"/>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C-F083-409C-BF28-3C7BFB71FE00}"/>
                </c:ext>
                <c:ext xmlns:c15="http://schemas.microsoft.com/office/drawing/2012/chart" uri="{CE6537A1-D6FC-4f65-9D91-7224C49458BB}"/>
              </c:extLst>
            </c:dLbl>
            <c:dLbl>
              <c:idx val="13"/>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F083-409C-BF28-3C7BFB71FE00}"/>
                </c:ext>
                <c:ext xmlns:c15="http://schemas.microsoft.com/office/drawing/2012/chart" uri="{CE6537A1-D6FC-4f65-9D91-7224C49458BB}"/>
              </c:extLst>
            </c:dLbl>
            <c:spPr>
              <a:solidFill>
                <a:schemeClr val="bg1"/>
              </a:solidFill>
              <a:ln>
                <a:noFill/>
              </a:ln>
              <a:effectLst/>
            </c:spPr>
            <c:txPr>
              <a:bodyPr/>
              <a:lstStyle/>
              <a:p>
                <a:pPr>
                  <a:defRPr sz="800" b="1" baseline="0">
                    <a:solidFill>
                      <a:schemeClr val="tx1"/>
                    </a:solidFill>
                    <a:latin typeface="Times New Roman" pitchFamily="18" charset="0"/>
                    <a:cs typeface="Times New Roman" pitchFamily="18" charset="0"/>
                  </a:defRPr>
                </a:pPr>
                <a:endParaRPr lang="ru-RU"/>
              </a:p>
            </c:txPr>
            <c:dLblPos val="bestFit"/>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Лист1!$A$2:$A$12</c:f>
              <c:strCache>
                <c:ptCount val="11"/>
                <c:pt idx="0">
                  <c:v>Державне управління</c:v>
                </c:pt>
                <c:pt idx="1">
                  <c:v>Освіта</c:v>
                </c:pt>
                <c:pt idx="2">
                  <c:v>Охорона здоров'я</c:v>
                </c:pt>
                <c:pt idx="3">
                  <c:v>Соціальний захист</c:v>
                </c:pt>
                <c:pt idx="4">
                  <c:v>Культура та мистецтво</c:v>
                </c:pt>
                <c:pt idx="5">
                  <c:v>Фізична культура і спорт</c:v>
                </c:pt>
                <c:pt idx="6">
                  <c:v>Житлово - комунальне господарство</c:v>
                </c:pt>
                <c:pt idx="7">
                  <c:v>Резервний фонд</c:v>
                </c:pt>
                <c:pt idx="8">
                  <c:v>Економічна діяльність</c:v>
                </c:pt>
                <c:pt idx="9">
                  <c:v>Міжбюджетні трансферти</c:v>
                </c:pt>
                <c:pt idx="10">
                  <c:v>Інші діяльність</c:v>
                </c:pt>
              </c:strCache>
            </c:strRef>
          </c:cat>
          <c:val>
            <c:numRef>
              <c:f>Лист1!$B$2:$B$12</c:f>
              <c:numCache>
                <c:formatCode>#\ ##0.0</c:formatCode>
                <c:ptCount val="11"/>
                <c:pt idx="0">
                  <c:v>168.3657</c:v>
                </c:pt>
                <c:pt idx="1">
                  <c:v>395.06599999999997</c:v>
                </c:pt>
                <c:pt idx="2">
                  <c:v>58.085999999999999</c:v>
                </c:pt>
                <c:pt idx="3">
                  <c:v>76.609354999999994</c:v>
                </c:pt>
                <c:pt idx="4">
                  <c:v>29.133700000000001</c:v>
                </c:pt>
                <c:pt idx="5">
                  <c:v>18.221800000000002</c:v>
                </c:pt>
                <c:pt idx="6">
                  <c:v>181.132284</c:v>
                </c:pt>
                <c:pt idx="7">
                  <c:v>10</c:v>
                </c:pt>
                <c:pt idx="8">
                  <c:v>97.888800000000003</c:v>
                </c:pt>
                <c:pt idx="9">
                  <c:v>68.386700000000005</c:v>
                </c:pt>
                <c:pt idx="10">
                  <c:v>32.499200000000002</c:v>
                </c:pt>
              </c:numCache>
            </c:numRef>
          </c:val>
          <c:extLst xmlns:c16r2="http://schemas.microsoft.com/office/drawing/2015/06/chart">
            <c:ext xmlns:c16="http://schemas.microsoft.com/office/drawing/2014/chart" uri="{C3380CC4-5D6E-409C-BE32-E72D297353CC}">
              <c16:uniqueId val="{0000000E-F083-409C-BF28-3C7BFB71FE00}"/>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r>
              <a:rPr lang="ru-RU" sz="1050">
                <a:solidFill>
                  <a:schemeClr val="tx1"/>
                </a:solidFill>
              </a:rPr>
              <a:t>Структура видатків загального фонду бюджету громади в розрізі бюджетних програм Управління освіти Чорноморської міської ради Одеського району Одеської області на 2025 рік </a:t>
            </a:r>
          </a:p>
          <a:p>
            <a:pPr>
              <a:defRPr sz="1050">
                <a:solidFill>
                  <a:schemeClr val="tx1"/>
                </a:solidFill>
              </a:defRPr>
            </a:pPr>
            <a:r>
              <a:rPr lang="ru-RU" sz="1050">
                <a:solidFill>
                  <a:schemeClr val="tx1"/>
                </a:solidFill>
              </a:rPr>
              <a:t>398,4 млн.грн</a:t>
            </a:r>
          </a:p>
        </c:rich>
      </c:tx>
      <c:layout>
        <c:manualLayout>
          <c:xMode val="edge"/>
          <c:yMode val="edge"/>
          <c:x val="0.19271337317775036"/>
          <c:y val="8.9130387627166436E-4"/>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title>
    <c:autoTitleDeleted val="0"/>
    <c:view3D>
      <c:rotX val="40"/>
      <c:rotY val="4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420105619327705E-2"/>
          <c:y val="0.35214870752077493"/>
          <c:w val="0.95268817204301071"/>
          <c:h val="0.63135257498585173"/>
        </c:manualLayout>
      </c:layout>
      <c:pie3DChart>
        <c:varyColors val="1"/>
        <c:ser>
          <c:idx val="0"/>
          <c:order val="0"/>
          <c:tx>
            <c:strRef>
              <c:f>Аркуш1!$B$1</c:f>
              <c:strCache>
                <c:ptCount val="1"/>
                <c:pt idx="0">
                  <c:v>Продаж</c:v>
                </c:pt>
              </c:strCache>
            </c:strRef>
          </c:tx>
          <c:explosion val="23"/>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B96F-492E-B793-EA6A34F11AF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B96F-492E-B793-EA6A34F11AF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B96F-492E-B793-EA6A34F11AF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B96F-492E-B793-EA6A34F11AF9}"/>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B96F-492E-B793-EA6A34F11AF9}"/>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B96F-492E-B793-EA6A34F11AF9}"/>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B96F-492E-B793-EA6A34F11AF9}"/>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F-B96F-492E-B793-EA6A34F11AF9}"/>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1-B96F-492E-B793-EA6A34F11AF9}"/>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3-B96F-492E-B793-EA6A34F11AF9}"/>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5-B96F-492E-B793-EA6A34F11AF9}"/>
              </c:ext>
            </c:extLst>
          </c:dPt>
          <c:dLbls>
            <c:dLbl>
              <c:idx val="0"/>
              <c:layout>
                <c:manualLayout>
                  <c:x val="-0.12538795395673596"/>
                  <c:y val="1.8258824204351504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B96F-492E-B793-EA6A34F11AF9}"/>
                </c:ext>
                <c:ext xmlns:c15="http://schemas.microsoft.com/office/drawing/2012/chart" uri="{CE6537A1-D6FC-4f65-9D91-7224C49458BB}">
                  <c15:layout>
                    <c:manualLayout>
                      <c:w val="0.21862076835597949"/>
                      <c:h val="7.8852459016393442E-2"/>
                    </c:manualLayout>
                  </c15:layout>
                </c:ext>
              </c:extLst>
            </c:dLbl>
            <c:dLbl>
              <c:idx val="1"/>
              <c:layout>
                <c:manualLayout>
                  <c:x val="0.19559558803275529"/>
                  <c:y val="-0.18902356467736614"/>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B96F-492E-B793-EA6A34F11AF9}"/>
                </c:ext>
                <c:ext xmlns:c15="http://schemas.microsoft.com/office/drawing/2012/chart" uri="{CE6537A1-D6FC-4f65-9D91-7224C49458BB}"/>
              </c:extLst>
            </c:dLbl>
            <c:dLbl>
              <c:idx val="2"/>
              <c:layout>
                <c:manualLayout>
                  <c:x val="-5.4216867469879519E-2"/>
                  <c:y val="0.21398212620116699"/>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B96F-492E-B793-EA6A34F11AF9}"/>
                </c:ext>
                <c:ext xmlns:c15="http://schemas.microsoft.com/office/drawing/2012/chart" uri="{CE6537A1-D6FC-4f65-9D91-7224C49458BB}"/>
              </c:extLst>
            </c:dLbl>
            <c:dLbl>
              <c:idx val="3"/>
              <c:layout>
                <c:manualLayout>
                  <c:x val="-0.18435711349334347"/>
                  <c:y val="0.12500661590854856"/>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B96F-492E-B793-EA6A34F11AF9}"/>
                </c:ext>
                <c:ext xmlns:c15="http://schemas.microsoft.com/office/drawing/2012/chart" uri="{CE6537A1-D6FC-4f65-9D91-7224C49458BB}"/>
              </c:extLst>
            </c:dLbl>
            <c:dLbl>
              <c:idx val="4"/>
              <c:layout>
                <c:manualLayout>
                  <c:x val="-0.25267582139581951"/>
                  <c:y val="1.8025856272098219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B56D8DF9-881B-477A-AEC6-044BE861CE25}" type="CATEGORYNAME">
                      <a:rPr lang="ru-RU"/>
                      <a:pPr>
                        <a:defRPr sz="1100" b="1"/>
                      </a:pPr>
                      <a:t>[ІМ’Я КАТЕГОРІЇ]</a:t>
                    </a:fld>
                    <a:r>
                      <a:rPr lang="ru-RU" baseline="0"/>
                      <a:t>
3,7
</a:t>
                    </a:r>
                    <a:fld id="{30F71C0C-C9DF-40D5-AB3A-D562412AD1B1}" type="PERCENTAGE">
                      <a:rPr lang="ru-RU" baseline="0"/>
                      <a:pPr>
                        <a:defRPr sz="1100" b="1"/>
                      </a:pPr>
                      <a:t>[ВІДСОТОК]</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B96F-492E-B793-EA6A34F11AF9}"/>
                </c:ext>
                <c:ext xmlns:c15="http://schemas.microsoft.com/office/drawing/2012/chart" uri="{CE6537A1-D6FC-4f65-9D91-7224C49458BB}">
                  <c15:layout>
                    <c:manualLayout>
                      <c:w val="0.15699963975091349"/>
                      <c:h val="0.20727693874331282"/>
                    </c:manualLayout>
                  </c15:layout>
                  <c15:dlblFieldTable/>
                  <c15:showDataLabelsRange val="0"/>
                </c:ext>
              </c:extLst>
            </c:dLbl>
            <c:dLbl>
              <c:idx val="5"/>
              <c:layout>
                <c:manualLayout>
                  <c:x val="-0.1179322012459286"/>
                  <c:y val="-9.4525281447257109E-2"/>
                </c:manualLayout>
              </c:layout>
              <c:tx>
                <c:rich>
                  <a:bodyPr/>
                  <a:lstStyle/>
                  <a:p>
                    <a:fld id="{2F31BEE7-3CD1-4B8C-B93C-4B024E02A198}" type="CATEGORYNAME">
                      <a:rPr lang="ru-RU" baseline="0"/>
                      <a:pPr/>
                      <a:t>[ІМ’Я КАТЕГОРІЇ]</a:t>
                    </a:fld>
                    <a:endParaRPr lang="ru-RU" baseline="0"/>
                  </a:p>
                  <a:p>
                    <a:fld id="{414BCB1B-3EFC-4F78-9626-C7B23D02A278}" type="VALUE">
                      <a:rPr lang="ru-RU" baseline="0"/>
                      <a:pPr/>
                      <a:t>[ЗНАЧЕННЯ]</a:t>
                    </a:fld>
                    <a:r>
                      <a:rPr lang="ru-RU" baseline="0"/>
                      <a:t>3</a:t>
                    </a:r>
                  </a:p>
                  <a:p>
                    <a:r>
                      <a:rPr lang="ru-RU" baseline="0"/>
                      <a:t>0,05%</a:t>
                    </a:r>
                  </a:p>
                </c:rich>
              </c:tx>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B96F-492E-B793-EA6A34F11AF9}"/>
                </c:ext>
                <c:ext xmlns:c15="http://schemas.microsoft.com/office/drawing/2012/chart" uri="{CE6537A1-D6FC-4f65-9D91-7224C49458BB}">
                  <c15:dlblFieldTable/>
                  <c15:showDataLabelsRange val="0"/>
                </c:ext>
              </c:extLst>
            </c:dLbl>
            <c:dLbl>
              <c:idx val="6"/>
              <c:layout>
                <c:manualLayout>
                  <c:x val="7.7605619327704448E-2"/>
                  <c:y val="-5.2663391249647515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fld id="{4D996CAA-8540-4132-87C1-E98C8C62E01F}" type="CATEGORYNAME">
                      <a:rPr lang="ru-RU"/>
                      <a:pPr>
                        <a:defRPr sz="1100" b="1"/>
                      </a:pPr>
                      <a:t>[ІМ’Я КАТЕГОРІЇ]</a:t>
                    </a:fld>
                    <a:r>
                      <a:rPr lang="ru-RU" baseline="0"/>
                      <a:t>
</a:t>
                    </a:r>
                    <a:fld id="{7CC9A9A4-6508-4612-B7D3-551A6234FEA9}" type="VALUE">
                      <a:rPr lang="ru-RU" baseline="0"/>
                      <a:pPr>
                        <a:defRPr sz="1100" b="1"/>
                      </a:pPr>
                      <a:t>[ЗНАЧЕННЯ]</a:t>
                    </a:fld>
                    <a:r>
                      <a:rPr lang="ru-RU" baseline="0"/>
                      <a:t>
</a:t>
                    </a:r>
                    <a:fld id="{C40D12B9-196D-4459-8339-A7A147768100}" type="PERCENTAGE">
                      <a:rPr lang="ru-RU" baseline="0"/>
                      <a:pPr>
                        <a:defRPr sz="1100" b="1"/>
                      </a:pPr>
                      <a:t>[ВІДСОТОК]</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B96F-492E-B793-EA6A34F11AF9}"/>
                </c:ext>
                <c:ext xmlns:c15="http://schemas.microsoft.com/office/drawing/2012/chart" uri="{CE6537A1-D6FC-4f65-9D91-7224C49458BB}">
                  <c15:layout>
                    <c:manualLayout>
                      <c:w val="0.23258024222875751"/>
                      <c:h val="0.1680716253443526"/>
                    </c:manualLayout>
                  </c15:layout>
                  <c15:dlblFieldTable/>
                  <c15:showDataLabelsRange val="0"/>
                </c:ext>
              </c:extLst>
            </c:dLbl>
            <c:dLbl>
              <c:idx val="7"/>
              <c:layout>
                <c:manualLayout>
                  <c:x val="0.23255533946810866"/>
                  <c:y val="-9.4845122665451947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B96F-492E-B793-EA6A34F11AF9}"/>
                </c:ext>
                <c:ext xmlns:c15="http://schemas.microsoft.com/office/drawing/2012/chart" uri="{CE6537A1-D6FC-4f65-9D91-7224C49458BB}">
                  <c15:layout>
                    <c:manualLayout>
                      <c:w val="0.20264851697459385"/>
                      <c:h val="0.10502416706108458"/>
                    </c:manualLayout>
                  </c15:layout>
                </c:ext>
              </c:extLst>
            </c:dLbl>
            <c:dLbl>
              <c:idx val="8"/>
              <c:layout>
                <c:manualLayout>
                  <c:x val="0.25708258229769471"/>
                  <c:y val="-6.8322596039131475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B96F-492E-B793-EA6A34F11AF9}"/>
                </c:ext>
                <c:ext xmlns:c15="http://schemas.microsoft.com/office/drawing/2012/chart" uri="{CE6537A1-D6FC-4f65-9D91-7224C49458BB}">
                  <c15:layout>
                    <c:manualLayout>
                      <c:w val="0.14667658296835834"/>
                      <c:h val="0.13167577413479054"/>
                    </c:manualLayout>
                  </c15:layout>
                </c:ext>
              </c:extLst>
            </c:dLbl>
            <c:dLbl>
              <c:idx val="9"/>
              <c:layout>
                <c:manualLayout>
                  <c:x val="0.13310786452898207"/>
                  <c:y val="2.9268562504067158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B96F-492E-B793-EA6A34F11AF9}"/>
                </c:ext>
                <c:ext xmlns:c15="http://schemas.microsoft.com/office/drawing/2012/chart" uri="{CE6537A1-D6FC-4f65-9D91-7224C49458BB}"/>
              </c:extLst>
            </c:dLbl>
            <c:dLbl>
              <c:idx val="10"/>
              <c:layout>
                <c:manualLayout>
                  <c:x val="0.14499968377446795"/>
                  <c:y val="0.16351879568772901"/>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5-B96F-492E-B793-EA6A34F11AF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Аркуш1!$A$2:$A$12</c:f>
              <c:strCache>
                <c:ptCount val="11"/>
                <c:pt idx="0">
                  <c:v>Дошкільна освіта</c:v>
                </c:pt>
                <c:pt idx="1">
                  <c:v>Заклади загальної середньої освіти</c:v>
                </c:pt>
                <c:pt idx="2">
                  <c:v>Спеціальні заклади загальної середньої освіти</c:v>
                </c:pt>
                <c:pt idx="3">
                  <c:v>Позашкільні заклади освіти</c:v>
                </c:pt>
                <c:pt idx="4">
                  <c:v>Керівництво і управління</c:v>
                </c:pt>
                <c:pt idx="5">
                  <c:v>Інші  заходи у сфері освіти</c:v>
                </c:pt>
                <c:pt idx="6">
                  <c:v>Центр професійного розвитку педагогічних працівників</c:v>
                </c:pt>
                <c:pt idx="7">
                  <c:v>Інклюзивно-ресурсний центр</c:v>
                </c:pt>
                <c:pt idx="8">
                  <c:v>Інші заклади освіти</c:v>
                </c:pt>
                <c:pt idx="9">
                  <c:v>Дитячо-юнацькі спортивні школи</c:v>
                </c:pt>
                <c:pt idx="10">
                  <c:v>Заходи у сфері соціального захисту</c:v>
                </c:pt>
              </c:strCache>
            </c:strRef>
          </c:cat>
          <c:val>
            <c:numRef>
              <c:f>Аркуш1!$B$2:$B$12</c:f>
              <c:numCache>
                <c:formatCode>0.0</c:formatCode>
                <c:ptCount val="11"/>
                <c:pt idx="0">
                  <c:v>101.8437</c:v>
                </c:pt>
                <c:pt idx="1">
                  <c:v>187.71789999999999</c:v>
                </c:pt>
                <c:pt idx="2">
                  <c:v>25.2196</c:v>
                </c:pt>
                <c:pt idx="3">
                  <c:v>22.476900000000001</c:v>
                </c:pt>
                <c:pt idx="4">
                  <c:v>5.9546000000000001</c:v>
                </c:pt>
                <c:pt idx="5">
                  <c:v>1.2949999999999999</c:v>
                </c:pt>
                <c:pt idx="6">
                  <c:v>4.1254999999999997</c:v>
                </c:pt>
                <c:pt idx="7">
                  <c:v>0.70299999999999996</c:v>
                </c:pt>
                <c:pt idx="8">
                  <c:v>27.706399999999999</c:v>
                </c:pt>
                <c:pt idx="9">
                  <c:v>12.646800000000001</c:v>
                </c:pt>
                <c:pt idx="10">
                  <c:v>8.7393999999999998</c:v>
                </c:pt>
              </c:numCache>
            </c:numRef>
          </c:val>
          <c:extLst xmlns:c16r2="http://schemas.microsoft.com/office/drawing/2015/06/chart">
            <c:ext xmlns:c16="http://schemas.microsoft.com/office/drawing/2014/chart" uri="{C3380CC4-5D6E-409C-BE32-E72D297353CC}">
              <c16:uniqueId val="{00000016-B96F-492E-B793-EA6A34F11AF9}"/>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Структура видатків загального фонду  Управління освіти Чорноморської міської ради Одеського району Одеської області</a:t>
            </a:r>
          </a:p>
          <a:p>
            <a:pPr>
              <a:defRPr>
                <a:latin typeface="Times New Roman" pitchFamily="18" charset="0"/>
                <a:cs typeface="Times New Roman" pitchFamily="18" charset="0"/>
              </a:defRPr>
            </a:pPr>
            <a:r>
              <a:rPr lang="ru-RU" sz="1200">
                <a:latin typeface="Times New Roman" pitchFamily="18" charset="0"/>
                <a:cs typeface="Times New Roman" pitchFamily="18" charset="0"/>
              </a:rPr>
              <a:t> на 2025 рік за  кодами економічної</a:t>
            </a:r>
            <a:r>
              <a:rPr lang="ru-RU" sz="1200" baseline="0">
                <a:latin typeface="Times New Roman" pitchFamily="18" charset="0"/>
                <a:cs typeface="Times New Roman" pitchFamily="18" charset="0"/>
              </a:rPr>
              <a:t> класифікації в</a:t>
            </a:r>
            <a:r>
              <a:rPr lang="ru-RU" sz="1200">
                <a:latin typeface="Times New Roman" pitchFamily="18" charset="0"/>
                <a:cs typeface="Times New Roman" pitchFamily="18" charset="0"/>
              </a:rPr>
              <a:t>идатків </a:t>
            </a:r>
          </a:p>
          <a:p>
            <a:pPr>
              <a:defRPr>
                <a:latin typeface="Times New Roman" pitchFamily="18" charset="0"/>
                <a:cs typeface="Times New Roman" pitchFamily="18" charset="0"/>
              </a:defRPr>
            </a:pPr>
            <a:r>
              <a:rPr lang="ru-RU" sz="1200">
                <a:latin typeface="Times New Roman" pitchFamily="18" charset="0"/>
                <a:cs typeface="Times New Roman" pitchFamily="18" charset="0"/>
              </a:rPr>
              <a:t>Всього 398,4 млн грн</a:t>
            </a:r>
          </a:p>
        </c:rich>
      </c:tx>
      <c:layout>
        <c:manualLayout>
          <c:xMode val="edge"/>
          <c:yMode val="edge"/>
          <c:x val="0.13293840934304491"/>
          <c:y val="0"/>
        </c:manualLayout>
      </c:layout>
      <c:overlay val="0"/>
    </c:title>
    <c:autoTitleDeleted val="0"/>
    <c:view3D>
      <c:rotX val="80"/>
      <c:rotY val="140"/>
      <c:rAngAx val="0"/>
    </c:view3D>
    <c:floor>
      <c:thickness val="0"/>
    </c:floor>
    <c:sideWall>
      <c:thickness val="0"/>
    </c:sideWall>
    <c:backWall>
      <c:thickness val="0"/>
    </c:backWall>
    <c:plotArea>
      <c:layout>
        <c:manualLayout>
          <c:layoutTarget val="inner"/>
          <c:xMode val="edge"/>
          <c:yMode val="edge"/>
          <c:x val="1.9027991277606553E-2"/>
          <c:y val="0.12801177024469268"/>
          <c:w val="0.63975343705252463"/>
          <c:h val="0.85467744279058433"/>
        </c:manualLayout>
      </c:layout>
      <c:pie3DChart>
        <c:varyColors val="1"/>
        <c:ser>
          <c:idx val="0"/>
          <c:order val="0"/>
          <c:tx>
            <c:strRef>
              <c:f>Лист1!$C$4</c:f>
              <c:strCache>
                <c:ptCount val="1"/>
                <c:pt idx="0">
                  <c:v>2021  рік (план)</c:v>
                </c:pt>
              </c:strCache>
            </c:strRef>
          </c:tx>
          <c:explosion val="25"/>
          <c:dPt>
            <c:idx val="0"/>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1-01CC-4AAB-A1A1-7DC91074CF57}"/>
              </c:ext>
            </c:extLst>
          </c:dPt>
          <c:dPt>
            <c:idx val="1"/>
            <c:bubble3D val="0"/>
            <c:spPr>
              <a:solidFill>
                <a:srgbClr val="00B0F0"/>
              </a:solidFill>
            </c:spPr>
            <c:extLst xmlns:c16r2="http://schemas.microsoft.com/office/drawing/2015/06/chart">
              <c:ext xmlns:c16="http://schemas.microsoft.com/office/drawing/2014/chart" uri="{C3380CC4-5D6E-409C-BE32-E72D297353CC}">
                <c16:uniqueId val="{00000003-01CC-4AAB-A1A1-7DC91074CF57}"/>
              </c:ext>
            </c:extLst>
          </c:dPt>
          <c:dPt>
            <c:idx val="2"/>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5-01CC-4AAB-A1A1-7DC91074CF57}"/>
              </c:ext>
            </c:extLst>
          </c:dPt>
          <c:dLbls>
            <c:dLbl>
              <c:idx val="0"/>
              <c:layout>
                <c:manualLayout>
                  <c:x val="0.1160185284929441"/>
                  <c:y val="7.032314159229526E-2"/>
                </c:manualLayout>
              </c:layout>
              <c:tx>
                <c:rich>
                  <a:bodyPr/>
                  <a:lstStyle/>
                  <a:p>
                    <a:r>
                      <a:rPr lang="ru-RU"/>
                      <a:t>Оплата праці з нарахуваннями; 295,5(74,2%)</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01CC-4AAB-A1A1-7DC91074CF57}"/>
                </c:ext>
                <c:ext xmlns:c15="http://schemas.microsoft.com/office/drawing/2012/chart" uri="{CE6537A1-D6FC-4f65-9D91-7224C49458BB}"/>
              </c:extLst>
            </c:dLbl>
            <c:dLbl>
              <c:idx val="1"/>
              <c:layout>
                <c:manualLayout>
                  <c:x val="7.9999250093738594E-2"/>
                  <c:y val="-0.23334567739602621"/>
                </c:manualLayout>
              </c:layout>
              <c:tx>
                <c:rich>
                  <a:bodyPr/>
                  <a:lstStyle/>
                  <a:p>
                    <a:r>
                      <a:rPr lang="ru-RU"/>
                      <a:t>Комунальні послуги та енергоносії; 36,1 (9,1%)</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01CC-4AAB-A1A1-7DC91074CF57}"/>
                </c:ext>
                <c:ext xmlns:c15="http://schemas.microsoft.com/office/drawing/2012/chart" uri="{CE6537A1-D6FC-4f65-9D91-7224C49458BB}"/>
              </c:extLst>
            </c:dLbl>
            <c:dLbl>
              <c:idx val="2"/>
              <c:layout>
                <c:manualLayout>
                  <c:x val="0.14015789603239875"/>
                  <c:y val="-0.24982955008583146"/>
                </c:manualLayout>
              </c:layout>
              <c:tx>
                <c:rich>
                  <a:bodyPr/>
                  <a:lstStyle/>
                  <a:p>
                    <a:r>
                      <a:rPr lang="ru-RU"/>
                      <a:t>Продукти харчування; 36,3 (9,1%)</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01CC-4AAB-A1A1-7DC91074CF57}"/>
                </c:ext>
                <c:ext xmlns:c15="http://schemas.microsoft.com/office/drawing/2012/chart" uri="{CE6537A1-D6FC-4f65-9D91-7224C49458BB}"/>
              </c:extLst>
            </c:dLbl>
            <c:dLbl>
              <c:idx val="3"/>
              <c:layout>
                <c:manualLayout>
                  <c:x val="0.1785289576502164"/>
                  <c:y val="-0.22067763961558418"/>
                </c:manualLayout>
              </c:layout>
              <c:tx>
                <c:rich>
                  <a:bodyPr/>
                  <a:lstStyle/>
                  <a:p>
                    <a:r>
                      <a:rPr lang="ru-RU"/>
                      <a:t>Оплата послуг (крім комунальних);21,1 ( 5,3%)</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6-01CC-4AAB-A1A1-7DC91074CF57}"/>
                </c:ext>
                <c:ext xmlns:c15="http://schemas.microsoft.com/office/drawing/2012/chart" uri="{CE6537A1-D6FC-4f65-9D91-7224C49458BB}"/>
              </c:extLst>
            </c:dLbl>
            <c:dLbl>
              <c:idx val="4"/>
              <c:layout>
                <c:manualLayout>
                  <c:x val="0.24407448496201994"/>
                  <c:y val="-8.7721526958620247E-2"/>
                </c:manualLayout>
              </c:layout>
              <c:tx>
                <c:rich>
                  <a:bodyPr/>
                  <a:lstStyle/>
                  <a:p>
                    <a:r>
                      <a:rPr lang="ru-RU"/>
                      <a:t>Предмети,матеріали, обладнання та інвентар; 6,9 (1,7%)</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01CC-4AAB-A1A1-7DC91074CF57}"/>
                </c:ext>
                <c:ext xmlns:c15="http://schemas.microsoft.com/office/drawing/2012/chart" uri="{CE6537A1-D6FC-4f65-9D91-7224C49458BB}"/>
              </c:extLst>
            </c:dLbl>
            <c:dLbl>
              <c:idx val="5"/>
              <c:layout>
                <c:manualLayout>
                  <c:x val="8.6648439840864691E-2"/>
                  <c:y val="0"/>
                </c:manualLayout>
              </c:layout>
              <c:tx>
                <c:rich>
                  <a:bodyPr/>
                  <a:lstStyle/>
                  <a:p>
                    <a:r>
                      <a:rPr lang="ru-RU"/>
                      <a:t>Інші</a:t>
                    </a:r>
                    <a:r>
                      <a:rPr lang="ru-RU" baseline="0"/>
                      <a:t> виплати населенню</a:t>
                    </a:r>
                    <a:r>
                      <a:rPr lang="ru-RU"/>
                      <a:t>; 0,9; (0,2%)</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8-01CC-4AAB-A1A1-7DC91074CF57}"/>
                </c:ext>
                <c:ext xmlns:c15="http://schemas.microsoft.com/office/drawing/2012/chart" uri="{CE6537A1-D6FC-4f65-9D91-7224C49458BB}"/>
              </c:extLst>
            </c:dLbl>
            <c:dLbl>
              <c:idx val="6"/>
              <c:tx>
                <c:rich>
                  <a:bodyPr/>
                  <a:lstStyle/>
                  <a:p>
                    <a:r>
                      <a:rPr lang="ru-RU"/>
                      <a:t>інші видатки; 1,6; (0,4%)</a:t>
                    </a:r>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01CC-4AAB-A1A1-7DC91074CF57}"/>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Лист1!$B$5:$B$11</c:f>
              <c:strCache>
                <c:ptCount val="7"/>
                <c:pt idx="0">
                  <c:v>Оплата праці з нарахуваннями</c:v>
                </c:pt>
                <c:pt idx="1">
                  <c:v>Комунальні послуги та енергоносії</c:v>
                </c:pt>
                <c:pt idx="2">
                  <c:v>Продукти харчування</c:v>
                </c:pt>
                <c:pt idx="3">
                  <c:v>Оплата послуг (крім комунальних)</c:v>
                </c:pt>
                <c:pt idx="4">
                  <c:v>Предмети,матеріали, обладнання та інвентар</c:v>
                </c:pt>
                <c:pt idx="5">
                  <c:v>Медикаменти та перев'язувальні матеріали</c:v>
                </c:pt>
                <c:pt idx="6">
                  <c:v>інші видатки</c:v>
                </c:pt>
              </c:strCache>
            </c:strRef>
          </c:cat>
          <c:val>
            <c:numRef>
              <c:f>Лист1!$C$5:$C$11</c:f>
              <c:numCache>
                <c:formatCode>#,##0.0</c:formatCode>
                <c:ptCount val="7"/>
                <c:pt idx="0">
                  <c:v>308.5</c:v>
                </c:pt>
                <c:pt idx="1">
                  <c:v>20.9</c:v>
                </c:pt>
                <c:pt idx="2">
                  <c:v>21</c:v>
                </c:pt>
                <c:pt idx="3">
                  <c:v>8.6</c:v>
                </c:pt>
                <c:pt idx="4">
                  <c:v>6.6</c:v>
                </c:pt>
                <c:pt idx="5">
                  <c:v>2.2999999999999998</c:v>
                </c:pt>
                <c:pt idx="6">
                  <c:v>1.6000000000000023</c:v>
                </c:pt>
              </c:numCache>
            </c:numRef>
          </c:val>
          <c:extLst xmlns:c16r2="http://schemas.microsoft.com/office/drawing/2015/06/chart">
            <c:ext xmlns:c16="http://schemas.microsoft.com/office/drawing/2014/chart" uri="{C3380CC4-5D6E-409C-BE32-E72D297353CC}">
              <c16:uniqueId val="{0000000A-01CC-4AAB-A1A1-7DC91074CF57}"/>
            </c:ext>
          </c:extLst>
        </c:ser>
        <c:dLbls>
          <c:showLegendKey val="0"/>
          <c:showVal val="0"/>
          <c:showCatName val="0"/>
          <c:showSerName val="0"/>
          <c:showPercent val="0"/>
          <c:showBubbleSize val="0"/>
          <c:showLeaderLines val="1"/>
        </c:dLbls>
      </c:pie3DChart>
    </c:plotArea>
    <c:plotVisOnly val="1"/>
    <c:dispBlanksAs val="gap"/>
    <c:showDLblsOverMax val="0"/>
  </c:chart>
  <c:spPr>
    <a:scene3d>
      <a:camera prst="orthographicFront"/>
      <a:lightRig rig="threePt" dir="t"/>
    </a:scene3d>
    <a:sp3d>
      <a:bevelT/>
      <a:bevelB/>
    </a:sp3d>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500"/>
              <a:t>Порівняльний аналіз доходів бюджету Чорноморької МТГ, тис. грн</a:t>
            </a:r>
          </a:p>
        </c:rich>
      </c:tx>
      <c:layout>
        <c:manualLayout>
          <c:xMode val="edge"/>
          <c:yMode val="edge"/>
          <c:x val="0.11939283697132796"/>
          <c:y val="2.400601856546560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1814694840360145"/>
          <c:y val="0.24114824143327368"/>
          <c:w val="0.85320283724864976"/>
          <c:h val="0.72590531996239771"/>
        </c:manualLayout>
      </c:layout>
      <c:barChart>
        <c:barDir val="col"/>
        <c:grouping val="clustered"/>
        <c:varyColors val="1"/>
        <c:ser>
          <c:idx val="0"/>
          <c:order val="0"/>
          <c:tx>
            <c:strRef>
              <c:f>Аркуш1!$B$1</c:f>
              <c:strCache>
                <c:ptCount val="1"/>
                <c:pt idx="0">
                  <c:v>Стовпець3</c:v>
                </c:pt>
              </c:strCache>
            </c:strRef>
          </c:tx>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13D9-44D4-B1F0-5BC5F75311D9}"/>
              </c:ext>
            </c:extLst>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13D9-44D4-B1F0-5BC5F75311D9}"/>
              </c:ext>
            </c:extLst>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13D9-44D4-B1F0-5BC5F75311D9}"/>
              </c:ext>
            </c:extLst>
          </c:dPt>
          <c:dPt>
            <c:idx val="3"/>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13D9-44D4-B1F0-5BC5F75311D9}"/>
              </c:ext>
            </c:extLst>
          </c:dPt>
          <c:dPt>
            <c:idx val="4"/>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13D9-44D4-B1F0-5BC5F75311D9}"/>
              </c:ext>
            </c:extLst>
          </c:dPt>
          <c:dLbls>
            <c:dLbl>
              <c:idx val="1"/>
              <c:layout>
                <c:manualLayout>
                  <c:x val="-8.0807147317019457E-17"/>
                  <c:y val="-1.392272885485561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3D9-44D4-B1F0-5BC5F75311D9}"/>
                </c:ext>
                <c:ext xmlns:c15="http://schemas.microsoft.com/office/drawing/2012/chart" uri="{CE6537A1-D6FC-4f65-9D91-7224C49458BB}"/>
              </c:extLst>
            </c:dLbl>
            <c:dLbl>
              <c:idx val="2"/>
              <c:layout>
                <c:manualLayout>
                  <c:x val="-2.1097046413502108E-3"/>
                  <c:y val="-1.7403411068569439E-2"/>
                </c:manualLayout>
              </c:layout>
              <c:tx>
                <c:rich>
                  <a:bodyPr/>
                  <a:lstStyle/>
                  <a:p>
                    <a:r>
                      <a:rPr lang="en-US"/>
                      <a:t>1</a:t>
                    </a:r>
                    <a:r>
                      <a:rPr lang="en-US" baseline="0"/>
                      <a:t> 121 981,1</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3D9-44D4-B1F0-5BC5F75311D9}"/>
                </c:ext>
                <c:ext xmlns:c15="http://schemas.microsoft.com/office/drawing/2012/chart" uri="{CE6537A1-D6FC-4f65-9D91-7224C49458BB}"/>
              </c:extLst>
            </c:dLbl>
            <c:dLbl>
              <c:idx val="3"/>
              <c:layout>
                <c:manualLayout>
                  <c:x val="0"/>
                  <c:y val="-1.0442046641141695E-2"/>
                </c:manualLayout>
              </c:layout>
              <c:tx>
                <c:rich>
                  <a:bodyPr/>
                  <a:lstStyle/>
                  <a:p>
                    <a:r>
                      <a:rPr lang="en-US"/>
                      <a:t>1 258 183,9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3D9-44D4-B1F0-5BC5F75311D9}"/>
                </c:ext>
                <c:ext xmlns:c15="http://schemas.microsoft.com/office/drawing/2012/chart" uri="{CE6537A1-D6FC-4f65-9D91-7224C49458BB}"/>
              </c:extLst>
            </c:dLbl>
            <c:dLbl>
              <c:idx val="4"/>
              <c:layout>
                <c:manualLayout>
                  <c:x val="6.2348416890925058E-3"/>
                  <c:y val="-1.3922591820122759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r>
                      <a:rPr lang="en-US"/>
                      <a:t>1</a:t>
                    </a:r>
                    <a:r>
                      <a:rPr lang="en-US" baseline="0"/>
                      <a:t> 156 909,8</a:t>
                    </a:r>
                    <a:endParaRPr lang="en-US"/>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3D9-44D4-B1F0-5BC5F75311D9}"/>
                </c:ext>
                <c:ext xmlns:c15="http://schemas.microsoft.com/office/drawing/2012/chart" uri="{CE6537A1-D6FC-4f65-9D91-7224C49458BB}">
                  <c15:layout>
                    <c:manualLayout>
                      <c:w val="0.14288696557558406"/>
                      <c:h val="7.652293550323263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Аркуш1!$A$2:$A$6</c:f>
              <c:strCache>
                <c:ptCount val="5"/>
                <c:pt idx="0">
                  <c:v>2021 рік</c:v>
                </c:pt>
                <c:pt idx="1">
                  <c:v>2022рік</c:v>
                </c:pt>
                <c:pt idx="2">
                  <c:v>2023 рік</c:v>
                </c:pt>
                <c:pt idx="3">
                  <c:v>очікуване 2024 рік</c:v>
                </c:pt>
                <c:pt idx="4">
                  <c:v>проєкт 2025 рік</c:v>
                </c:pt>
              </c:strCache>
            </c:strRef>
          </c:cat>
          <c:val>
            <c:numRef>
              <c:f>Аркуш1!$B$2:$B$6</c:f>
              <c:numCache>
                <c:formatCode>#\ ##0.0</c:formatCode>
                <c:ptCount val="5"/>
                <c:pt idx="0">
                  <c:v>916756</c:v>
                </c:pt>
                <c:pt idx="1">
                  <c:v>894267.6</c:v>
                </c:pt>
                <c:pt idx="2">
                  <c:v>1121981.1000000001</c:v>
                </c:pt>
                <c:pt idx="3">
                  <c:v>1258183.8999999999</c:v>
                </c:pt>
                <c:pt idx="4">
                  <c:v>1156909.8</c:v>
                </c:pt>
              </c:numCache>
            </c:numRef>
          </c:val>
          <c:extLst xmlns:c16r2="http://schemas.microsoft.com/office/drawing/2015/06/chart">
            <c:ext xmlns:c16="http://schemas.microsoft.com/office/drawing/2014/chart" uri="{C3380CC4-5D6E-409C-BE32-E72D297353CC}">
              <c16:uniqueId val="{0000000A-13D9-44D4-B1F0-5BC5F75311D9}"/>
            </c:ext>
          </c:extLst>
        </c:ser>
        <c:dLbls>
          <c:dLblPos val="outEnd"/>
          <c:showLegendKey val="0"/>
          <c:showVal val="1"/>
          <c:showCatName val="0"/>
          <c:showSerName val="0"/>
          <c:showPercent val="0"/>
          <c:showBubbleSize val="0"/>
        </c:dLbls>
        <c:gapWidth val="100"/>
        <c:overlap val="-24"/>
        <c:axId val="586547912"/>
        <c:axId val="586546344"/>
      </c:barChart>
      <c:catAx>
        <c:axId val="5865479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586546344"/>
        <c:crosses val="autoZero"/>
        <c:auto val="1"/>
        <c:lblAlgn val="ctr"/>
        <c:lblOffset val="100"/>
        <c:noMultiLvlLbl val="0"/>
      </c:catAx>
      <c:valAx>
        <c:axId val="586546344"/>
        <c:scaling>
          <c:orientation val="minMax"/>
          <c:max val="1300000"/>
          <c:min val="-200000"/>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547912"/>
        <c:crosses val="autoZero"/>
        <c:crossBetween val="between"/>
        <c:majorUnit val="300000"/>
        <c:minorUnit val="3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411450972480233"/>
          <c:y val="0.2218819456078665"/>
          <c:w val="0.31467713170471906"/>
          <c:h val="0.63546449897646251"/>
        </c:manualLayout>
      </c:layout>
      <c:doughnutChart>
        <c:varyColors val="1"/>
        <c:ser>
          <c:idx val="0"/>
          <c:order val="0"/>
          <c:tx>
            <c:strRef>
              <c:f>'бюджет розвитку'!$C$6</c:f>
              <c:strCache>
                <c:ptCount val="1"/>
                <c:pt idx="0">
                  <c:v>2019рік</c:v>
                </c:pt>
              </c:strCache>
            </c:strRef>
          </c:tx>
          <c:explosion val="25"/>
          <c:dLbls>
            <c:dLbl>
              <c:idx val="0"/>
              <c:layout>
                <c:manualLayout>
                  <c:x val="0.18376068376068391"/>
                  <c:y val="0.10787486515641863"/>
                </c:manualLayout>
              </c:layout>
              <c:tx>
                <c:rich>
                  <a:bodyPr/>
                  <a:lstStyle/>
                  <a:p>
                    <a:r>
                      <a:rPr lang="ru-RU">
                        <a:latin typeface="Times New Roman" pitchFamily="18" charset="0"/>
                        <a:cs typeface="Times New Roman" pitchFamily="18" charset="0"/>
                      </a:rPr>
                      <a:t>П</a:t>
                    </a:r>
                    <a:r>
                      <a:rPr lang="ru-RU"/>
                      <a:t>одаток на доходи фізичних осіб
</a:t>
                    </a:r>
                    <a:r>
                      <a:rPr lang="ru-RU">
                        <a:solidFill>
                          <a:srgbClr val="002060"/>
                        </a:solidFill>
                      </a:rPr>
                      <a:t>621,0</a:t>
                    </a:r>
                    <a:r>
                      <a:rPr lang="ru-RU"/>
                      <a:t>
</a:t>
                    </a:r>
                    <a:r>
                      <a:rPr lang="ru-RU" sz="1200">
                        <a:solidFill>
                          <a:srgbClr val="7030A0"/>
                        </a:solidFill>
                      </a:rPr>
                      <a:t>59,9%</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42F1-4074-8B89-952BA9D9F88D}"/>
                </c:ext>
                <c:ext xmlns:c15="http://schemas.microsoft.com/office/drawing/2012/chart" uri="{CE6537A1-D6FC-4f65-9D91-7224C49458BB}"/>
              </c:extLst>
            </c:dLbl>
            <c:dLbl>
              <c:idx val="1"/>
              <c:layout>
                <c:manualLayout>
                  <c:x val="-0.21164626480513465"/>
                  <c:y val="-0.12146022069821925"/>
                </c:manualLayout>
              </c:layout>
              <c:tx>
                <c:rich>
                  <a:bodyPr/>
                  <a:lstStyle/>
                  <a:p>
                    <a:r>
                      <a:rPr lang="ru-RU">
                        <a:latin typeface="Times New Roman" pitchFamily="18" charset="0"/>
                        <a:cs typeface="Times New Roman" pitchFamily="18" charset="0"/>
                      </a:rPr>
                      <a:t>П</a:t>
                    </a:r>
                    <a:r>
                      <a:rPr lang="ru-RU"/>
                      <a:t>одаток на майно
</a:t>
                    </a:r>
                    <a:r>
                      <a:rPr lang="ru-RU">
                        <a:solidFill>
                          <a:srgbClr val="002060"/>
                        </a:solidFill>
                      </a:rPr>
                      <a:t>231,8</a:t>
                    </a:r>
                    <a:r>
                      <a:rPr lang="ru-RU"/>
                      <a:t>
</a:t>
                    </a:r>
                    <a:r>
                      <a:rPr lang="ru-RU" sz="1200">
                        <a:solidFill>
                          <a:srgbClr val="7030A0"/>
                        </a:solidFill>
                      </a:rPr>
                      <a:t>22,4</a:t>
                    </a:r>
                    <a:r>
                      <a:rPr lang="ru-RU" sz="1200" baseline="0">
                        <a:solidFill>
                          <a:srgbClr val="7030A0"/>
                        </a:solidFill>
                      </a:rPr>
                      <a:t> </a:t>
                    </a:r>
                    <a:r>
                      <a:rPr lang="ru-RU" sz="1200">
                        <a:solidFill>
                          <a:srgbClr val="7030A0"/>
                        </a:solidFill>
                      </a:rPr>
                      <a:t>%</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42F1-4074-8B89-952BA9D9F88D}"/>
                </c:ext>
                <c:ext xmlns:c15="http://schemas.microsoft.com/office/drawing/2012/chart" uri="{CE6537A1-D6FC-4f65-9D91-7224C49458BB}"/>
              </c:extLst>
            </c:dLbl>
            <c:dLbl>
              <c:idx val="2"/>
              <c:layout>
                <c:manualLayout>
                  <c:x val="-0.27991452991457444"/>
                  <c:y val="-0.12825654771876918"/>
                </c:manualLayout>
              </c:layout>
              <c:tx>
                <c:rich>
                  <a:bodyPr/>
                  <a:lstStyle/>
                  <a:p>
                    <a:r>
                      <a:rPr lang="ru-RU">
                        <a:latin typeface="Times New Roman" pitchFamily="18" charset="0"/>
                        <a:cs typeface="Times New Roman" pitchFamily="18" charset="0"/>
                      </a:rPr>
                      <a:t>А</a:t>
                    </a:r>
                    <a:r>
                      <a:rPr lang="ru-RU"/>
                      <a:t>кцизний податок
</a:t>
                    </a:r>
                    <a:r>
                      <a:rPr lang="ru-RU">
                        <a:solidFill>
                          <a:srgbClr val="002060"/>
                        </a:solidFill>
                      </a:rPr>
                      <a:t>59,5</a:t>
                    </a:r>
                  </a:p>
                  <a:p>
                    <a:r>
                      <a:rPr lang="ru-RU" sz="1200">
                        <a:solidFill>
                          <a:srgbClr val="7030A0"/>
                        </a:solidFill>
                      </a:rPr>
                      <a:t>5,7</a:t>
                    </a:r>
                    <a:r>
                      <a:rPr lang="ru-RU" sz="1200" baseline="0">
                        <a:solidFill>
                          <a:srgbClr val="7030A0"/>
                        </a:solidFill>
                      </a:rPr>
                      <a:t> </a:t>
                    </a:r>
                    <a:r>
                      <a:rPr lang="ru-RU" sz="1200">
                        <a:solidFill>
                          <a:srgbClr val="7030A0"/>
                        </a:solidFill>
                      </a:rPr>
                      <a:t>%</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2-42F1-4074-8B89-952BA9D9F88D}"/>
                </c:ext>
                <c:ext xmlns:c15="http://schemas.microsoft.com/office/drawing/2012/chart" uri="{CE6537A1-D6FC-4f65-9D91-7224C49458BB}"/>
              </c:extLst>
            </c:dLbl>
            <c:dLbl>
              <c:idx val="3"/>
              <c:layout>
                <c:manualLayout>
                  <c:x val="-9.6153846153859551E-2"/>
                  <c:y val="-0.23861004076618444"/>
                </c:manualLayout>
              </c:layout>
              <c:tx>
                <c:rich>
                  <a:bodyPr/>
                  <a:lstStyle/>
                  <a:p>
                    <a:r>
                      <a:rPr lang="ru-RU">
                        <a:latin typeface="Times New Roman" pitchFamily="18" charset="0"/>
                        <a:cs typeface="Times New Roman" pitchFamily="18" charset="0"/>
                      </a:rPr>
                      <a:t>Є</a:t>
                    </a:r>
                    <a:r>
                      <a:rPr lang="ru-RU"/>
                      <a:t>диний податок
</a:t>
                    </a:r>
                    <a:r>
                      <a:rPr lang="ru-RU">
                        <a:solidFill>
                          <a:srgbClr val="002060"/>
                        </a:solidFill>
                      </a:rPr>
                      <a:t>106,5</a:t>
                    </a:r>
                    <a:r>
                      <a:rPr lang="ru-RU"/>
                      <a:t>
</a:t>
                    </a:r>
                    <a:r>
                      <a:rPr lang="ru-RU" sz="1200">
                        <a:solidFill>
                          <a:srgbClr val="7030A0"/>
                        </a:solidFill>
                      </a:rPr>
                      <a:t>10,3%</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42F1-4074-8B89-952BA9D9F88D}"/>
                </c:ext>
                <c:ext xmlns:c15="http://schemas.microsoft.com/office/drawing/2012/chart" uri="{CE6537A1-D6FC-4f65-9D91-7224C49458BB}"/>
              </c:extLst>
            </c:dLbl>
            <c:dLbl>
              <c:idx val="4"/>
              <c:layout>
                <c:manualLayout>
                  <c:x val="0.19658119658121578"/>
                  <c:y val="-5.6094929881341932E-2"/>
                </c:manualLayout>
              </c:layout>
              <c:tx>
                <c:rich>
                  <a:bodyPr/>
                  <a:lstStyle/>
                  <a:p>
                    <a:r>
                      <a:rPr lang="ru-RU">
                        <a:latin typeface="Times New Roman" pitchFamily="18" charset="0"/>
                        <a:cs typeface="Times New Roman" pitchFamily="18" charset="0"/>
                      </a:rPr>
                      <a:t>І</a:t>
                    </a:r>
                    <a:r>
                      <a:rPr lang="ru-RU"/>
                      <a:t>нши податки і збори
</a:t>
                    </a:r>
                    <a:r>
                      <a:rPr lang="ru-RU">
                        <a:solidFill>
                          <a:srgbClr val="002060"/>
                        </a:solidFill>
                      </a:rPr>
                      <a:t>18,2</a:t>
                    </a:r>
                    <a:r>
                      <a:rPr lang="ru-RU"/>
                      <a:t>
</a:t>
                    </a:r>
                    <a:r>
                      <a:rPr lang="ru-RU" sz="1200">
                        <a:solidFill>
                          <a:srgbClr val="7030A0"/>
                        </a:solidFill>
                      </a:rPr>
                      <a:t>1,7</a:t>
                    </a:r>
                    <a:r>
                      <a:rPr lang="ru-RU" sz="1200" baseline="0">
                        <a:solidFill>
                          <a:srgbClr val="7030A0"/>
                        </a:solidFill>
                      </a:rPr>
                      <a:t> </a:t>
                    </a:r>
                    <a:r>
                      <a:rPr lang="ru-RU" sz="1200">
                        <a:solidFill>
                          <a:srgbClr val="7030A0"/>
                        </a:solidFill>
                      </a:rPr>
                      <a:t>%</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4-42F1-4074-8B89-952BA9D9F88D}"/>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42F1-4074-8B89-952BA9D9F88D}"/>
                </c:ext>
                <c:ext xmlns:c15="http://schemas.microsoft.com/office/drawing/2012/chart" uri="{CE6537A1-D6FC-4f65-9D91-7224C49458BB}"/>
              </c:extLst>
            </c:dLbl>
            <c:spPr>
              <a:noFill/>
              <a:ln>
                <a:noFill/>
              </a:ln>
              <a:effectLst/>
            </c:spPr>
            <c:txPr>
              <a:bodyPr/>
              <a:lstStyle/>
              <a:p>
                <a:pPr>
                  <a:defRPr sz="1100" b="1">
                    <a:solidFill>
                      <a:srgbClr val="0070C0"/>
                    </a:solidFill>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'бюджет розвитку'!$B$7:$B$12</c:f>
              <c:strCache>
                <c:ptCount val="5"/>
                <c:pt idx="0">
                  <c:v>Податок на доходи фізичних осіб</c:v>
                </c:pt>
                <c:pt idx="1">
                  <c:v>Податок на майно</c:v>
                </c:pt>
                <c:pt idx="2">
                  <c:v>Акцизний податок</c:v>
                </c:pt>
                <c:pt idx="3">
                  <c:v>Єдиний податок</c:v>
                </c:pt>
                <c:pt idx="4">
                  <c:v>Інши податки і збори</c:v>
                </c:pt>
              </c:strCache>
            </c:strRef>
          </c:cat>
          <c:val>
            <c:numRef>
              <c:f>'бюджет розвитку'!$C$7:$C$12</c:f>
              <c:numCache>
                <c:formatCode>#,##0.0</c:formatCode>
                <c:ptCount val="6"/>
                <c:pt idx="0">
                  <c:v>365</c:v>
                </c:pt>
                <c:pt idx="1">
                  <c:v>187.1</c:v>
                </c:pt>
                <c:pt idx="2">
                  <c:v>34.800000000000004</c:v>
                </c:pt>
                <c:pt idx="3">
                  <c:v>59</c:v>
                </c:pt>
                <c:pt idx="4">
                  <c:v>13.300000000000054</c:v>
                </c:pt>
              </c:numCache>
            </c:numRef>
          </c:val>
          <c:extLst xmlns:c16r2="http://schemas.microsoft.com/office/drawing/2015/06/chart">
            <c:ext xmlns:c16="http://schemas.microsoft.com/office/drawing/2014/chart" uri="{C3380CC4-5D6E-409C-BE32-E72D297353CC}">
              <c16:uniqueId val="{00000006-42F1-4074-8B89-952BA9D9F88D}"/>
            </c:ext>
          </c:extLst>
        </c:ser>
        <c:dLbls>
          <c:showLegendKey val="0"/>
          <c:showVal val="0"/>
          <c:showCatName val="0"/>
          <c:showSerName val="0"/>
          <c:showPercent val="0"/>
          <c:showBubbleSize val="0"/>
          <c:showLeaderLines val="1"/>
        </c:dLbls>
        <c:firstSliceAng val="0"/>
        <c:holeSize val="50"/>
      </c:doughnutChart>
    </c:plotArea>
    <c:plotVisOnly val="1"/>
    <c:dispBlanksAs val="zero"/>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50" normalizeH="0" baseline="0">
                <a:ln>
                  <a:noFill/>
                </a:ln>
                <a:solidFill>
                  <a:srgbClr val="002060"/>
                </a:solidFill>
                <a:latin typeface="+mj-lt"/>
                <a:ea typeface="+mj-ea"/>
                <a:cs typeface="+mj-cs"/>
              </a:defRPr>
            </a:pPr>
            <a:r>
              <a:rPr lang="ru-RU" sz="1200">
                <a:solidFill>
                  <a:srgbClr val="002060"/>
                </a:solidFill>
              </a:rPr>
              <a:t>Податок на доходи фізичних осіб Чорноморської міської територіальної громади</a:t>
            </a:r>
            <a:r>
              <a:rPr lang="ru-RU" sz="1200" baseline="0">
                <a:solidFill>
                  <a:srgbClr val="002060"/>
                </a:solidFill>
              </a:rPr>
              <a:t> </a:t>
            </a:r>
          </a:p>
          <a:p>
            <a:pPr>
              <a:defRPr>
                <a:solidFill>
                  <a:srgbClr val="002060"/>
                </a:solidFill>
              </a:defRPr>
            </a:pPr>
            <a:r>
              <a:rPr lang="ru-RU" sz="1200" baseline="0">
                <a:solidFill>
                  <a:srgbClr val="002060"/>
                </a:solidFill>
              </a:rPr>
              <a:t>за 2021-2025 рр. (контингент)</a:t>
            </a:r>
            <a:endParaRPr lang="ru-RU" sz="1200">
              <a:solidFill>
                <a:srgbClr val="002060"/>
              </a:solidFill>
            </a:endParaRPr>
          </a:p>
        </c:rich>
      </c:tx>
      <c:layout>
        <c:manualLayout>
          <c:xMode val="edge"/>
          <c:yMode val="edge"/>
          <c:x val="0.16477989962608106"/>
          <c:y val="1.0332710298895508E-3"/>
        </c:manualLayout>
      </c:layout>
      <c:overlay val="0"/>
      <c:spPr>
        <a:noFill/>
        <a:ln>
          <a:noFill/>
        </a:ln>
        <a:effectLst/>
      </c:spPr>
      <c:txPr>
        <a:bodyPr rot="0" spcFirstLastPara="1" vertOverflow="ellipsis" vert="horz" wrap="square" anchor="ctr" anchorCtr="1"/>
        <a:lstStyle/>
        <a:p>
          <a:pPr>
            <a:defRPr sz="1600" b="1" i="0" u="none" strike="noStrike" kern="1200" cap="none" spc="50" normalizeH="0" baseline="0">
              <a:ln>
                <a:noFill/>
              </a:ln>
              <a:solidFill>
                <a:srgbClr val="002060"/>
              </a:solidFill>
              <a:latin typeface="+mj-lt"/>
              <a:ea typeface="+mj-ea"/>
              <a:cs typeface="+mj-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760749117393041E-2"/>
          <c:y val="0.24375909405900173"/>
          <c:w val="0.89543108059359877"/>
          <c:h val="0.63138620188085293"/>
        </c:manualLayout>
      </c:layout>
      <c:bar3DChart>
        <c:barDir val="col"/>
        <c:grouping val="clustered"/>
        <c:varyColors val="0"/>
        <c:ser>
          <c:idx val="0"/>
          <c:order val="0"/>
          <c:spPr>
            <a:solidFill>
              <a:schemeClr val="accent6">
                <a:alpha val="70000"/>
              </a:schemeClr>
            </a:solidFill>
            <a:ln>
              <a:noFill/>
            </a:ln>
            <a:effectLst/>
            <a:sp3d/>
          </c:spPr>
          <c:invertIfNegative val="0"/>
          <c:dLbls>
            <c:dLbl>
              <c:idx val="0"/>
              <c:layout>
                <c:manualLayout>
                  <c:x val="1.2701795854735605E-2"/>
                  <c:y val="-2.6549313614447539E-2"/>
                </c:manualLayout>
              </c:layout>
              <c:tx>
                <c:rich>
                  <a:bodyPr/>
                  <a:lstStyle/>
                  <a:p>
                    <a:r>
                      <a:rPr lang="en-US"/>
                      <a:t>631,8</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0-8B41-4B39-88A4-2EA0E6A78D9A}"/>
                </c:ext>
                <c:ext xmlns:c15="http://schemas.microsoft.com/office/drawing/2012/chart" uri="{CE6537A1-D6FC-4f65-9D91-7224C49458BB}"/>
              </c:extLst>
            </c:dLbl>
            <c:dLbl>
              <c:idx val="1"/>
              <c:layout>
                <c:manualLayout>
                  <c:x val="1.474460242232754E-2"/>
                  <c:y val="-1.0478059397396126E-2"/>
                </c:manualLayout>
              </c:layout>
              <c:tx>
                <c:rich>
                  <a:bodyPr/>
                  <a:lstStyle/>
                  <a:p>
                    <a:r>
                      <a:rPr lang="en-US"/>
                      <a:t>713,7</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1-8B41-4B39-88A4-2EA0E6A78D9A}"/>
                </c:ext>
                <c:ext xmlns:c15="http://schemas.microsoft.com/office/drawing/2012/chart" uri="{CE6537A1-D6FC-4f65-9D91-7224C49458BB}"/>
              </c:extLst>
            </c:dLbl>
            <c:dLbl>
              <c:idx val="2"/>
              <c:layout>
                <c:manualLayout>
                  <c:x val="1.6819281489749639E-2"/>
                  <c:y val="-1.8572711646885672E-2"/>
                </c:manualLayout>
              </c:layout>
              <c:tx>
                <c:rich>
                  <a:bodyPr/>
                  <a:lstStyle/>
                  <a:p>
                    <a:r>
                      <a:rPr lang="en-US"/>
                      <a:t>962,8</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2-8B41-4B39-88A4-2EA0E6A78D9A}"/>
                </c:ext>
                <c:ext xmlns:c15="http://schemas.microsoft.com/office/drawing/2012/chart" uri="{CE6537A1-D6FC-4f65-9D91-7224C49458BB}"/>
              </c:extLst>
            </c:dLbl>
            <c:dLbl>
              <c:idx val="3"/>
              <c:layout>
                <c:manualLayout>
                  <c:x val="2.1095526946238841E-2"/>
                  <c:y val="-1.3254977001844458E-2"/>
                </c:manualLayout>
              </c:layout>
              <c:tx>
                <c:rich>
                  <a:bodyPr/>
                  <a:lstStyle/>
                  <a:p>
                    <a:r>
                      <a:rPr lang="en-US"/>
                      <a:t>836,5</a:t>
                    </a:r>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3-8B41-4B39-88A4-2EA0E6A78D9A}"/>
                </c:ext>
                <c:ext xmlns:c15="http://schemas.microsoft.com/office/drawing/2012/chart" uri="{CE6537A1-D6FC-4f65-9D91-7224C49458BB}"/>
              </c:extLst>
            </c:dLbl>
            <c:dLbl>
              <c:idx val="4"/>
              <c:layout>
                <c:manualLayout>
                  <c:x val="8.1715010126620635E-3"/>
                  <c:y val="2.1310320742147192E-2"/>
                </c:manualLayout>
              </c:layout>
              <c:tx>
                <c:rich>
                  <a:bodyPr/>
                  <a:lstStyle/>
                  <a:p>
                    <a:r>
                      <a:rPr lang="en-US"/>
                      <a:t>970,3</a:t>
                    </a:r>
                  </a:p>
                  <a:p>
                    <a:endParaRPr lang="en-US"/>
                  </a:p>
                </c:rich>
              </c:tx>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4-8B41-4B39-88A4-2EA0E6A78D9A}"/>
                </c:ext>
                <c:ext xmlns:c15="http://schemas.microsoft.com/office/drawing/2012/chart" uri="{CE6537A1-D6FC-4f65-9D91-7224C49458BB}"/>
              </c:extLst>
            </c:dLbl>
            <c:spPr>
              <a:noFill/>
              <a:ln>
                <a:noFill/>
              </a:ln>
              <a:effectLst>
                <a:glow rad="228600">
                  <a:schemeClr val="accent2">
                    <a:satMod val="175000"/>
                    <a:alpha val="40000"/>
                  </a:schemeClr>
                </a:glow>
              </a:effectLst>
            </c:spPr>
            <c:txPr>
              <a:bodyPr rot="0" spcFirstLastPara="1" vertOverflow="ellipsis" vert="horz" wrap="square" lIns="38100" tIns="19050" rIns="38100" bIns="19050" anchor="ctr" anchorCtr="1">
                <a:spAutoFit/>
              </a:bodyPr>
              <a:lstStyle/>
              <a:p>
                <a:pPr>
                  <a:defRPr sz="1100" b="1" i="0" u="none" strike="noStrike" kern="1200" baseline="0">
                    <a:ln>
                      <a:noFill/>
                    </a:ln>
                    <a:solidFill>
                      <a:srgbClr val="002060"/>
                    </a:solidFill>
                    <a:latin typeface="+mn-lt"/>
                    <a:ea typeface="+mn-ea"/>
                    <a:cs typeface="+mn-cs"/>
                  </a:defRPr>
                </a:pPr>
                <a:endParaRPr lang="ru-RU"/>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Лист1!$D$5:$H$5</c:f>
              <c:strCache>
                <c:ptCount val="5"/>
                <c:pt idx="0">
                  <c:v>2021 рік</c:v>
                </c:pt>
                <c:pt idx="1">
                  <c:v>2022 рік</c:v>
                </c:pt>
                <c:pt idx="2">
                  <c:v>2023 рік</c:v>
                </c:pt>
                <c:pt idx="3">
                  <c:v>2024 рік 
(очік. факт)</c:v>
                </c:pt>
                <c:pt idx="4">
                  <c:v>2025 рік
(прогноз)</c:v>
                </c:pt>
              </c:strCache>
            </c:strRef>
          </c:cat>
          <c:val>
            <c:numRef>
              <c:f>Лист1!$D$6:$H$6</c:f>
              <c:numCache>
                <c:formatCode>#\ ##0.0</c:formatCode>
                <c:ptCount val="5"/>
                <c:pt idx="0">
                  <c:v>673.9</c:v>
                </c:pt>
                <c:pt idx="1">
                  <c:v>713.7</c:v>
                </c:pt>
                <c:pt idx="2">
                  <c:v>962.8</c:v>
                </c:pt>
                <c:pt idx="3">
                  <c:v>836.5</c:v>
                </c:pt>
                <c:pt idx="4">
                  <c:v>970.3</c:v>
                </c:pt>
              </c:numCache>
            </c:numRef>
          </c:val>
          <c:shape val="cylinder"/>
          <c:extLst xmlns:c16r2="http://schemas.microsoft.com/office/drawing/2015/06/chart">
            <c:ext xmlns:c16="http://schemas.microsoft.com/office/drawing/2014/chart" uri="{C3380CC4-5D6E-409C-BE32-E72D297353CC}">
              <c16:uniqueId val="{00000005-8B41-4B39-88A4-2EA0E6A78D9A}"/>
            </c:ext>
            <c:ext xmlns:c15="http://schemas.microsoft.com/office/drawing/2012/chart" uri="{02D57815-91ED-43cb-92C2-25804820EDAC}">
              <c15:filteredSeriesTitle>
                <c15:tx>
                  <c:v>Зведений бюджет</c:v>
                </c15:tx>
              </c15:filteredSeriesTitle>
            </c:ext>
          </c:extLst>
        </c:ser>
        <c:dLbls>
          <c:showLegendKey val="0"/>
          <c:showVal val="1"/>
          <c:showCatName val="0"/>
          <c:showSerName val="0"/>
          <c:showPercent val="0"/>
          <c:showBubbleSize val="0"/>
        </c:dLbls>
        <c:gapWidth val="80"/>
        <c:shape val="box"/>
        <c:axId val="586545168"/>
        <c:axId val="586545560"/>
        <c:axId val="0"/>
      </c:bar3DChart>
      <c:catAx>
        <c:axId val="586545168"/>
        <c:scaling>
          <c:orientation val="minMax"/>
        </c:scaling>
        <c:delete val="0"/>
        <c:axPos val="b"/>
        <c:title>
          <c:tx>
            <c:rich>
              <a:bodyPr rot="0" spcFirstLastPara="1" vertOverflow="ellipsis" vert="horz" wrap="square" anchor="ctr" anchorCtr="1"/>
              <a:lstStyle/>
              <a:p>
                <a:pPr>
                  <a:defRPr sz="800" b="1" i="0" u="none" strike="noStrike" kern="1200" cap="all" baseline="0">
                    <a:ln>
                      <a:noFill/>
                    </a:ln>
                    <a:solidFill>
                      <a:srgbClr val="002060"/>
                    </a:solidFill>
                    <a:latin typeface="+mn-lt"/>
                    <a:ea typeface="+mn-ea"/>
                    <a:cs typeface="Times New Roman" panose="02020603050405020304" pitchFamily="18" charset="0"/>
                  </a:defRPr>
                </a:pPr>
                <a:r>
                  <a:rPr lang="ru-RU" sz="800" i="0">
                    <a:solidFill>
                      <a:srgbClr val="002060"/>
                    </a:solidFill>
                    <a:latin typeface="+mn-lt"/>
                    <a:cs typeface="Times New Roman" panose="02020603050405020304" pitchFamily="18" charset="0"/>
                  </a:rPr>
                  <a:t>млн.грн</a:t>
                </a:r>
              </a:p>
            </c:rich>
          </c:tx>
          <c:layout>
            <c:manualLayout>
              <c:xMode val="edge"/>
              <c:yMode val="edge"/>
              <c:x val="6.5334345055209353E-2"/>
              <c:y val="0.2074482501434545"/>
            </c:manualLayout>
          </c:layout>
          <c:overlay val="0"/>
          <c:spPr>
            <a:noFill/>
            <a:ln>
              <a:noFill/>
            </a:ln>
            <a:effectLst/>
          </c:spPr>
          <c:txPr>
            <a:bodyPr rot="0" spcFirstLastPara="1" vertOverflow="ellipsis" vert="horz" wrap="square" anchor="ctr" anchorCtr="1"/>
            <a:lstStyle/>
            <a:p>
              <a:pPr>
                <a:defRPr sz="800" b="1" i="0" u="none" strike="noStrike" kern="1200" cap="all" baseline="0">
                  <a:ln>
                    <a:noFill/>
                  </a:ln>
                  <a:solidFill>
                    <a:srgbClr val="002060"/>
                  </a:solidFill>
                  <a:latin typeface="+mn-lt"/>
                  <a:ea typeface="+mn-ea"/>
                  <a:cs typeface="Times New Roman" panose="02020603050405020304" pitchFamily="18" charset="0"/>
                </a:defRPr>
              </a:pPr>
              <a:endParaRPr lang="ru-RU"/>
            </a:p>
          </c:txPr>
        </c:title>
        <c:numFmt formatCode="General" sourceLinked="1"/>
        <c:majorTickMark val="out"/>
        <c:minorTickMark val="none"/>
        <c:tickLblPos val="nextTo"/>
        <c:spPr>
          <a:noFill/>
          <a:ln w="15875" cap="flat" cmpd="sng" algn="ctr">
            <a:solidFill>
              <a:schemeClr val="tx1">
                <a:lumMod val="25000"/>
                <a:lumOff val="75000"/>
              </a:schemeClr>
            </a:solidFill>
            <a:round/>
          </a:ln>
          <a:effectLst>
            <a:innerShdw blurRad="63500" dist="50800" dir="10800000">
              <a:prstClr val="black">
                <a:alpha val="50000"/>
              </a:prstClr>
            </a:innerShdw>
          </a:effectLst>
        </c:spPr>
        <c:txPr>
          <a:bodyPr rot="-60000000" spcFirstLastPara="1" vertOverflow="ellipsis" vert="horz" wrap="square" anchor="ctr" anchorCtr="1"/>
          <a:lstStyle/>
          <a:p>
            <a:pPr>
              <a:defRPr sz="1100" b="1" i="0" u="none" strike="noStrike" kern="1200" cap="none" spc="20" normalizeH="0" baseline="0">
                <a:ln>
                  <a:noFill/>
                </a:ln>
                <a:solidFill>
                  <a:srgbClr val="002060"/>
                </a:solidFill>
                <a:latin typeface="+mn-lt"/>
                <a:ea typeface="+mn-ea"/>
                <a:cs typeface="+mn-cs"/>
              </a:defRPr>
            </a:pPr>
            <a:endParaRPr lang="ru-RU"/>
          </a:p>
        </c:txPr>
        <c:crossAx val="586545560"/>
        <c:crosses val="autoZero"/>
        <c:auto val="0"/>
        <c:lblAlgn val="ctr"/>
        <c:lblOffset val="100"/>
        <c:noMultiLvlLbl val="0"/>
      </c:catAx>
      <c:valAx>
        <c:axId val="586545560"/>
        <c:scaling>
          <c:orientation val="minMax"/>
        </c:scaling>
        <c:delete val="0"/>
        <c:axPos val="l"/>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spc="20" baseline="0">
                <a:ln>
                  <a:noFill/>
                </a:ln>
                <a:solidFill>
                  <a:schemeClr val="tx1">
                    <a:lumMod val="65000"/>
                    <a:lumOff val="35000"/>
                  </a:schemeClr>
                </a:solidFill>
                <a:latin typeface="+mn-lt"/>
                <a:ea typeface="+mn-ea"/>
                <a:cs typeface="+mn-cs"/>
              </a:defRPr>
            </a:pPr>
            <a:endParaRPr lang="ru-RU"/>
          </a:p>
        </c:txPr>
        <c:crossAx val="586545168"/>
        <c:crossesAt val="1"/>
        <c:crossBetween val="between"/>
      </c:valAx>
      <c:spPr>
        <a:noFill/>
        <a:ln>
          <a:gradFill>
            <a:gsLst>
              <a:gs pos="0">
                <a:schemeClr val="accent1">
                  <a:lumMod val="5000"/>
                  <a:lumOff val="95000"/>
                </a:schemeClr>
              </a:gs>
              <a:gs pos="55204">
                <a:srgbClr val="C2D3E8"/>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accent1">
        <a:lumMod val="20000"/>
        <a:lumOff val="80000"/>
      </a:schemeClr>
    </a:solidFill>
    <a:ln w="25400" cap="flat" cmpd="sng" algn="ctr">
      <a:solidFill>
        <a:schemeClr val="tx1">
          <a:lumMod val="15000"/>
          <a:lumOff val="85000"/>
        </a:schemeClr>
      </a:solidFill>
      <a:round/>
    </a:ln>
    <a:effectLst>
      <a:glow rad="228600">
        <a:schemeClr val="bg1">
          <a:alpha val="40000"/>
        </a:schemeClr>
      </a:glow>
    </a:effectLst>
  </c:spPr>
  <c:txPr>
    <a:bodyPr rot="0" vert="horz"/>
    <a:lstStyle/>
    <a:p>
      <a:pPr>
        <a:defRPr b="1">
          <a:ln>
            <a:noFill/>
          </a:ln>
        </a:defRPr>
      </a:pPr>
      <a:endParaRPr lang="ru-RU"/>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150" b="1" i="0">
                <a:solidFill>
                  <a:srgbClr val="002060"/>
                </a:solidFill>
                <a:latin typeface="Times New Roman" panose="02020603050405020304" pitchFamily="18" charset="0"/>
                <a:cs typeface="Times New Roman" panose="02020603050405020304" pitchFamily="18" charset="0"/>
              </a:rPr>
              <a:t>Структура надходження акцизного податку до бюджету Чорноморської міської територіальної громади у 2025 році (млн грн)</a:t>
            </a:r>
          </a:p>
        </c:rich>
      </c:tx>
      <c:layout>
        <c:manualLayout>
          <c:xMode val="edge"/>
          <c:yMode val="edge"/>
          <c:x val="0.1063205476508419"/>
          <c:y val="9.6269542590807951E-3"/>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dPt>
            <c:idx val="0"/>
            <c:bubble3D val="0"/>
            <c:explosion val="4"/>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FEF-44F1-966C-04C5452FFD0C}"/>
              </c:ext>
            </c:extLst>
          </c:dPt>
          <c:dPt>
            <c:idx val="1"/>
            <c:bubble3D val="0"/>
            <c:explosion val="6"/>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FEF-44F1-966C-04C5452FFD0C}"/>
              </c:ext>
            </c:extLst>
          </c:dPt>
          <c:dPt>
            <c:idx val="2"/>
            <c:bubble3D val="0"/>
            <c:explosion val="3"/>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FEF-44F1-966C-04C5452FFD0C}"/>
              </c:ext>
            </c:extLst>
          </c:dPt>
          <c:dPt>
            <c:idx val="3"/>
            <c:bubble3D val="0"/>
            <c:explosion val="5"/>
            <c:spPr>
              <a:solidFill>
                <a:schemeClr val="accent4">
                  <a:lumMod val="60000"/>
                  <a:lumOff val="40000"/>
                </a:schemeClr>
              </a:solidFill>
              <a:ln w="19050">
                <a:solidFill>
                  <a:schemeClr val="accent4">
                    <a:lumMod val="60000"/>
                    <a:lumOff val="40000"/>
                    <a:alpha val="79000"/>
                  </a:schemeClr>
                </a:solidFill>
              </a:ln>
              <a:effectLst/>
            </c:spPr>
            <c:extLst xmlns:c16r2="http://schemas.microsoft.com/office/drawing/2015/06/chart">
              <c:ext xmlns:c16="http://schemas.microsoft.com/office/drawing/2014/chart" uri="{C3380CC4-5D6E-409C-BE32-E72D297353CC}">
                <c16:uniqueId val="{00000007-EFEF-44F1-966C-04C5452FFD0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FEF-44F1-966C-04C5452FFD0C}"/>
              </c:ext>
            </c:extLst>
          </c:dPt>
          <c:dLbls>
            <c:dLbl>
              <c:idx val="0"/>
              <c:layout>
                <c:manualLayout>
                  <c:x val="0.29239766081871332"/>
                  <c:y val="-0.24709182598307375"/>
                </c:manualLayout>
              </c:layout>
              <c:tx>
                <c:rich>
                  <a:bodyPr/>
                  <a:lstStyle/>
                  <a:p>
                    <a:r>
                      <a:rPr lang="ru-RU" sz="1000">
                        <a:latin typeface="Times New Roman" panose="02020603050405020304" pitchFamily="18" charset="0"/>
                        <a:cs typeface="Times New Roman" panose="02020603050405020304" pitchFamily="18" charset="0"/>
                      </a:rPr>
                      <a:t>Акцизний податок з </a:t>
                    </a:r>
                    <a:r>
                      <a:rPr lang="ru-RU" sz="1000" b="1" u="sng">
                        <a:latin typeface="Times New Roman" panose="02020603050405020304" pitchFamily="18" charset="0"/>
                        <a:cs typeface="Times New Roman" panose="02020603050405020304" pitchFamily="18" charset="0"/>
                      </a:rPr>
                      <a:t>вироблених</a:t>
                    </a:r>
                    <a:r>
                      <a:rPr lang="ru-RU" sz="1000">
                        <a:latin typeface="Times New Roman" panose="02020603050405020304" pitchFamily="18" charset="0"/>
                        <a:cs typeface="Times New Roman" panose="02020603050405020304" pitchFamily="18" charset="0"/>
                      </a:rPr>
                      <a:t> в Україні підакцизних товарів - </a:t>
                    </a:r>
                    <a:r>
                      <a:rPr lang="ru-RU" sz="1000" b="1" u="sng">
                        <a:latin typeface="Times New Roman" panose="02020603050405020304" pitchFamily="18" charset="0"/>
                        <a:cs typeface="Times New Roman" panose="02020603050405020304" pitchFamily="18" charset="0"/>
                      </a:rPr>
                      <a:t>пальне</a:t>
                    </a:r>
                  </a:p>
                </c:rich>
              </c:tx>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1-EFEF-44F1-966C-04C5452FFD0C}"/>
                </c:ext>
                <c:ext xmlns:c15="http://schemas.microsoft.com/office/drawing/2012/chart" uri="{CE6537A1-D6FC-4f65-9D91-7224C49458BB}"/>
              </c:extLst>
            </c:dLbl>
            <c:dLbl>
              <c:idx val="1"/>
              <c:layout>
                <c:manualLayout>
                  <c:x val="0.2886561259330403"/>
                  <c:y val="6.891417009059147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sz="1000" baseline="0">
                        <a:latin typeface="Times New Roman" panose="02020603050405020304" pitchFamily="18" charset="0"/>
                        <a:cs typeface="Times New Roman" panose="02020603050405020304" pitchFamily="18" charset="0"/>
                      </a:rPr>
                      <a:t>Акцизний податок з </a:t>
                    </a:r>
                    <a:r>
                      <a:rPr lang="ru-RU" sz="1000" b="1" u="sng" baseline="0">
                        <a:latin typeface="Times New Roman" panose="02020603050405020304" pitchFamily="18" charset="0"/>
                        <a:cs typeface="Times New Roman" panose="02020603050405020304" pitchFamily="18" charset="0"/>
                      </a:rPr>
                      <a:t>ввезених</a:t>
                    </a:r>
                    <a:r>
                      <a:rPr lang="ru-RU" sz="1000" baseline="0">
                        <a:latin typeface="Times New Roman" panose="02020603050405020304" pitchFamily="18" charset="0"/>
                        <a:cs typeface="Times New Roman" panose="02020603050405020304" pitchFamily="18" charset="0"/>
                      </a:rPr>
                      <a:t> на митну територію України підакцизних товарів - </a:t>
                    </a:r>
                    <a:r>
                      <a:rPr lang="ru-RU" sz="1000" b="1" u="sng" baseline="0">
                        <a:latin typeface="Times New Roman" panose="02020603050405020304" pitchFamily="18" charset="0"/>
                        <a:cs typeface="Times New Roman" panose="02020603050405020304" pitchFamily="18" charset="0"/>
                      </a:rPr>
                      <a:t>пальне</a:t>
                    </a:r>
                    <a:r>
                      <a:rPr lang="ru-RU" sz="1000" b="1" baseline="0">
                        <a:latin typeface="Times New Roman" panose="02020603050405020304" pitchFamily="18" charset="0"/>
                        <a:cs typeface="Times New Roman" panose="02020603050405020304" pitchFamily="18" charset="0"/>
                      </a:rPr>
                      <a:t>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3-EFEF-44F1-966C-04C5452FFD0C}"/>
                </c:ext>
                <c:ext xmlns:c15="http://schemas.microsoft.com/office/drawing/2012/chart" uri="{CE6537A1-D6FC-4f65-9D91-7224C49458BB}">
                  <c15:layout>
                    <c:manualLayout>
                      <c:w val="0.17996326288597811"/>
                      <c:h val="0.26145200291094178"/>
                    </c:manualLayout>
                  </c15:layout>
                </c:ext>
              </c:extLst>
            </c:dLbl>
            <c:dLbl>
              <c:idx val="2"/>
              <c:layout>
                <c:manualLayout>
                  <c:x val="-0.32163749673470909"/>
                  <c:y val="-1.4548428541975864E-2"/>
                </c:manualLayout>
              </c:layout>
              <c:tx>
                <c:rich>
                  <a:bodyPr/>
                  <a:lstStyle/>
                  <a:p>
                    <a:r>
                      <a:rPr lang="ru-RU" sz="1000" b="0">
                        <a:latin typeface="Times New Roman" panose="02020603050405020304" pitchFamily="18" charset="0"/>
                        <a:cs typeface="Times New Roman" panose="02020603050405020304" pitchFamily="18" charset="0"/>
                      </a:rPr>
                      <a:t>Акцизний податок з реалізації виробниками та/або імпортерами </a:t>
                    </a:r>
                    <a:r>
                      <a:rPr lang="ru-RU" sz="1000" b="1" u="sng">
                        <a:latin typeface="Times New Roman" panose="02020603050405020304" pitchFamily="18" charset="0"/>
                        <a:cs typeface="Times New Roman" panose="02020603050405020304" pitchFamily="18" charset="0"/>
                      </a:rPr>
                      <a:t>тютюну</a:t>
                    </a:r>
                    <a:r>
                      <a:rPr lang="ru-RU" sz="1000" b="0">
                        <a:latin typeface="Times New Roman" panose="02020603050405020304" pitchFamily="18" charset="0"/>
                        <a:cs typeface="Times New Roman" panose="02020603050405020304" pitchFamily="18" charset="0"/>
                      </a:rPr>
                      <a:t> </a:t>
                    </a:r>
                  </a:p>
                </c:rich>
              </c:tx>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5-EFEF-44F1-966C-04C5452FFD0C}"/>
                </c:ext>
                <c:ext xmlns:c15="http://schemas.microsoft.com/office/drawing/2012/chart" uri="{CE6537A1-D6FC-4f65-9D91-7224C49458BB}"/>
              </c:extLst>
            </c:dLbl>
            <c:dLbl>
              <c:idx val="3"/>
              <c:layout>
                <c:manualLayout>
                  <c:x val="-0.31384015594541909"/>
                  <c:y val="-0.13798634438015808"/>
                </c:manualLayout>
              </c:layout>
              <c:tx>
                <c:rich>
                  <a:bodyPr/>
                  <a:lstStyle/>
                  <a:p>
                    <a:r>
                      <a:rPr lang="ru-RU" sz="1000" baseline="0">
                        <a:latin typeface="Times New Roman" panose="02020603050405020304" pitchFamily="18" charset="0"/>
                        <a:cs typeface="Times New Roman" panose="02020603050405020304" pitchFamily="18" charset="0"/>
                      </a:rPr>
                      <a:t>Акцизний податок з реалізації суб'єктами господарювання роздрібної торгівлі </a:t>
                    </a:r>
                    <a:r>
                      <a:rPr lang="ru-RU" sz="1000" b="1" u="sng" baseline="0">
                        <a:latin typeface="Times New Roman" panose="02020603050405020304" pitchFamily="18" charset="0"/>
                        <a:cs typeface="Times New Roman" panose="02020603050405020304" pitchFamily="18" charset="0"/>
                      </a:rPr>
                      <a:t>алкоголю</a:t>
                    </a:r>
                    <a:r>
                      <a:rPr lang="ru-RU" sz="1000" baseline="0">
                        <a:latin typeface="Times New Roman" panose="02020603050405020304" pitchFamily="18" charset="0"/>
                        <a:cs typeface="Times New Roman" panose="02020603050405020304" pitchFamily="18" charset="0"/>
                      </a:rPr>
                      <a:t> </a:t>
                    </a:r>
                  </a:p>
                </c:rich>
              </c:tx>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7-EFEF-44F1-966C-04C5452FFD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1"/>
            <c:showPercent val="1"/>
            <c:showBubbleSize val="0"/>
            <c:showLeaderLines val="0"/>
            <c:extLst xmlns:c16r2="http://schemas.microsoft.com/office/drawing/2015/06/chart">
              <c:ext xmlns:c15="http://schemas.microsoft.com/office/drawing/2012/chart" uri="{CE6537A1-D6FC-4f65-9D91-7224C49458BB}"/>
            </c:extLst>
          </c:dLbls>
          <c:cat>
            <c:multiLvlStrRef>
              <c:f>Лист1!$A$1:$B$5</c:f>
              <c:multiLvlStrCache>
                <c:ptCount val="5"/>
                <c:lvl>
                  <c:pt idx="0">
                    <c:v>2,5</c:v>
                  </c:pt>
                  <c:pt idx="1">
                    <c:v>9,0</c:v>
                  </c:pt>
                  <c:pt idx="2">
                    <c:v>15,5</c:v>
                  </c:pt>
                  <c:pt idx="3">
                    <c:v>14,2</c:v>
                  </c:pt>
                  <c:pt idx="4">
                    <c:v>41,2 млн грн</c:v>
                  </c:pt>
                </c:lvl>
                <c:lvl>
                  <c:pt idx="0">
                    <c:v>Акцизний податок з вироблених в Україні підакцизних товарів - пальне</c:v>
                  </c:pt>
                  <c:pt idx="1">
                    <c:v>Акцизний податок з ввезених на митну територію України підакцизних товарів - пальне</c:v>
                  </c:pt>
                  <c:pt idx="2">
                    <c:v>Акцизний податок з реалізації виробниками та/або імпортерами тютюну</c:v>
                  </c:pt>
                  <c:pt idx="3">
                    <c:v>Акцизний податок з реалізації суб'єктами господарювання роздрібної торгівлі алкоголю</c:v>
                  </c:pt>
                </c:lvl>
              </c:multiLvlStrCache>
            </c:multiLvlStrRef>
          </c:cat>
          <c:val>
            <c:numRef>
              <c:f>Лист1!$C$1:$C$5</c:f>
              <c:numCache>
                <c:formatCode>0.00%</c:formatCode>
                <c:ptCount val="5"/>
                <c:pt idx="0">
                  <c:v>6.3E-2</c:v>
                </c:pt>
                <c:pt idx="1">
                  <c:v>0.2273</c:v>
                </c:pt>
                <c:pt idx="2">
                  <c:v>0.37619999999999998</c:v>
                </c:pt>
                <c:pt idx="3">
                  <c:v>0.34499999999999997</c:v>
                </c:pt>
              </c:numCache>
            </c:numRef>
          </c:val>
          <c:extLst xmlns:c16r2="http://schemas.microsoft.com/office/drawing/2015/06/chart">
            <c:ext xmlns:c16="http://schemas.microsoft.com/office/drawing/2014/chart" uri="{C3380CC4-5D6E-409C-BE32-E72D297353CC}">
              <c16:uniqueId val="{0000000A-EFEF-44F1-966C-04C5452FFD0C}"/>
            </c:ext>
          </c:extLst>
        </c:ser>
        <c:dLbls>
          <c:showLegendKey val="0"/>
          <c:showVal val="0"/>
          <c:showCatName val="0"/>
          <c:showSerName val="0"/>
          <c:showPercent val="1"/>
          <c:showBubbleSize val="0"/>
          <c:showLeaderLines val="0"/>
        </c:dLbls>
        <c:firstSliceAng val="36"/>
        <c:holeSize val="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462236818387612E-2"/>
          <c:y val="1.4257579871481582E-2"/>
          <c:w val="0.89113895747709782"/>
          <c:h val="0.59518051587747045"/>
        </c:manualLayout>
      </c:layout>
      <c:bar3DChart>
        <c:barDir val="col"/>
        <c:grouping val="stacked"/>
        <c:varyColors val="0"/>
        <c:ser>
          <c:idx val="0"/>
          <c:order val="0"/>
          <c:tx>
            <c:strRef>
              <c:f>Лист1!$B$1</c:f>
              <c:strCache>
                <c:ptCount val="1"/>
                <c:pt idx="0">
                  <c:v>Акцизний податок з реалізації суб'єктами господарювання роздрібної торгівлі підакцизних товарів, та тютюнових виробів</c:v>
                </c:pt>
              </c:strCache>
            </c:strRef>
          </c:tx>
          <c:spPr>
            <a:gradFill rotWithShape="1">
              <a:gsLst>
                <a:gs pos="0">
                  <a:schemeClr val="accent6">
                    <a:shade val="15000"/>
                    <a:satMod val="180000"/>
                  </a:schemeClr>
                </a:gs>
                <a:gs pos="50000">
                  <a:schemeClr val="accent6">
                    <a:shade val="45000"/>
                    <a:satMod val="170000"/>
                  </a:schemeClr>
                </a:gs>
                <a:gs pos="70000">
                  <a:schemeClr val="accent6">
                    <a:tint val="99000"/>
                    <a:shade val="65000"/>
                    <a:satMod val="155000"/>
                  </a:schemeClr>
                </a:gs>
                <a:gs pos="100000">
                  <a:schemeClr val="accent6">
                    <a:tint val="95500"/>
                    <a:shade val="100000"/>
                    <a:satMod val="155000"/>
                  </a:schemeClr>
                </a:gs>
              </a:gsLst>
              <a:lin ang="16200000" scaled="0"/>
            </a:gradFill>
            <a:ln>
              <a:noFill/>
            </a:ln>
            <a:effectLst>
              <a:outerShdw blurRad="63500" dist="38100" dir="5400000" rotWithShape="0">
                <a:srgbClr val="000000">
                  <a:alpha val="45000"/>
                </a:srgbClr>
              </a:outerShdw>
            </a:effectLst>
            <a:scene3d>
              <a:camera prst="orthographicFront">
                <a:rot lat="0" lon="0" rev="0"/>
              </a:camera>
              <a:lightRig rig="glow" dir="t">
                <a:rot lat="0" lon="0" rev="6360000"/>
              </a:lightRig>
            </a:scene3d>
            <a:sp3d prstMaterial="flat">
              <a:bevelT w="95250" h="101600"/>
              <a:contourClr>
                <a:scrgbClr r="0" g="0" b="0">
                  <a:satMod val="300000"/>
                </a:scrgbClr>
              </a:contourClr>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2021 рік</c:v>
                </c:pt>
                <c:pt idx="1">
                  <c:v>2022 рік</c:v>
                </c:pt>
                <c:pt idx="2">
                  <c:v>2023 рік</c:v>
                </c:pt>
                <c:pt idx="3">
                  <c:v>2024 рік (очікувані)</c:v>
                </c:pt>
                <c:pt idx="4">
                  <c:v>2025 рік (проєкт)</c:v>
                </c:pt>
              </c:strCache>
            </c:strRef>
          </c:cat>
          <c:val>
            <c:numRef>
              <c:f>Лист1!$B$2:$B$6</c:f>
              <c:numCache>
                <c:formatCode>#\ ##0.0</c:formatCode>
                <c:ptCount val="5"/>
                <c:pt idx="0">
                  <c:v>18.64</c:v>
                </c:pt>
                <c:pt idx="1">
                  <c:v>19.72</c:v>
                </c:pt>
                <c:pt idx="2">
                  <c:v>26.6</c:v>
                </c:pt>
                <c:pt idx="3">
                  <c:v>36.9</c:v>
                </c:pt>
                <c:pt idx="4">
                  <c:v>41.3</c:v>
                </c:pt>
              </c:numCache>
            </c:numRef>
          </c:val>
          <c:extLst xmlns:c16r2="http://schemas.microsoft.com/office/drawing/2015/06/chart">
            <c:ext xmlns:c16="http://schemas.microsoft.com/office/drawing/2014/chart" uri="{C3380CC4-5D6E-409C-BE32-E72D297353CC}">
              <c16:uniqueId val="{00000000-12DB-4AF5-9DE0-7403A03D9063}"/>
            </c:ext>
          </c:extLst>
        </c:ser>
        <c:ser>
          <c:idx val="1"/>
          <c:order val="1"/>
          <c:tx>
            <c:strRef>
              <c:f>Лист1!$C$1</c:f>
              <c:strCache>
                <c:ptCount val="1"/>
                <c:pt idx="0">
                  <c:v>Акцизний податок з вироблених в Україні та ввезених на територію України підакцизних товарів - пальне</c:v>
                </c:pt>
              </c:strCache>
            </c:strRef>
          </c:tx>
          <c:spPr>
            <a:gradFill rotWithShape="1">
              <a:gsLst>
                <a:gs pos="0">
                  <a:schemeClr val="accent5">
                    <a:shade val="15000"/>
                    <a:satMod val="180000"/>
                  </a:schemeClr>
                </a:gs>
                <a:gs pos="50000">
                  <a:schemeClr val="accent5">
                    <a:shade val="45000"/>
                    <a:satMod val="170000"/>
                  </a:schemeClr>
                </a:gs>
                <a:gs pos="70000">
                  <a:schemeClr val="accent5">
                    <a:tint val="99000"/>
                    <a:shade val="65000"/>
                    <a:satMod val="155000"/>
                  </a:schemeClr>
                </a:gs>
                <a:gs pos="100000">
                  <a:schemeClr val="accent5">
                    <a:tint val="95500"/>
                    <a:shade val="100000"/>
                    <a:satMod val="155000"/>
                  </a:schemeClr>
                </a:gs>
              </a:gsLst>
              <a:lin ang="16200000" scaled="0"/>
            </a:gradFill>
            <a:ln>
              <a:noFill/>
            </a:ln>
            <a:effectLst>
              <a:outerShdw blurRad="63500" dist="38100" dir="5400000" rotWithShape="0">
                <a:srgbClr val="000000">
                  <a:alpha val="45000"/>
                </a:srgbClr>
              </a:outerShdw>
            </a:effectLst>
            <a:scene3d>
              <a:camera prst="orthographicFront">
                <a:rot lat="0" lon="0" rev="0"/>
              </a:camera>
              <a:lightRig rig="glow" dir="t">
                <a:rot lat="0" lon="0" rev="6360000"/>
              </a:lightRig>
            </a:scene3d>
            <a:sp3d prstMaterial="flat">
              <a:bevelT w="95250" h="101600"/>
              <a:contourClr>
                <a:scrgbClr r="0" g="0" b="0">
                  <a:satMod val="300000"/>
                </a:scrgbClr>
              </a:contourClr>
            </a:sp3d>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2021 рік</c:v>
                </c:pt>
                <c:pt idx="1">
                  <c:v>2022 рік</c:v>
                </c:pt>
                <c:pt idx="2">
                  <c:v>2023 рік</c:v>
                </c:pt>
                <c:pt idx="3">
                  <c:v>2024 рік (очікувані)</c:v>
                </c:pt>
                <c:pt idx="4">
                  <c:v>2025 рік (проєкт)</c:v>
                </c:pt>
              </c:strCache>
            </c:strRef>
          </c:cat>
          <c:val>
            <c:numRef>
              <c:f>Лист1!$C$2:$C$6</c:f>
              <c:numCache>
                <c:formatCode>#\ ##0.0</c:formatCode>
                <c:ptCount val="5"/>
                <c:pt idx="0">
                  <c:v>21.72</c:v>
                </c:pt>
                <c:pt idx="1">
                  <c:v>5.41</c:v>
                </c:pt>
                <c:pt idx="2">
                  <c:v>21.3</c:v>
                </c:pt>
                <c:pt idx="3">
                  <c:v>15.8</c:v>
                </c:pt>
                <c:pt idx="4">
                  <c:v>18.2</c:v>
                </c:pt>
              </c:numCache>
            </c:numRef>
          </c:val>
          <c:extLst xmlns:c16r2="http://schemas.microsoft.com/office/drawing/2015/06/chart">
            <c:ext xmlns:c16="http://schemas.microsoft.com/office/drawing/2014/chart" uri="{C3380CC4-5D6E-409C-BE32-E72D297353CC}">
              <c16:uniqueId val="{00000001-12DB-4AF5-9DE0-7403A03D9063}"/>
            </c:ext>
          </c:extLst>
        </c:ser>
        <c:dLbls>
          <c:showLegendKey val="0"/>
          <c:showVal val="1"/>
          <c:showCatName val="0"/>
          <c:showSerName val="0"/>
          <c:showPercent val="0"/>
          <c:showBubbleSize val="0"/>
        </c:dLbls>
        <c:gapWidth val="143"/>
        <c:shape val="box"/>
        <c:axId val="586547128"/>
        <c:axId val="590939392"/>
        <c:axId val="0"/>
      </c:bar3DChart>
      <c:catAx>
        <c:axId val="58654712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0939392"/>
        <c:crosses val="autoZero"/>
        <c:auto val="1"/>
        <c:lblAlgn val="ctr"/>
        <c:lblOffset val="100"/>
        <c:noMultiLvlLbl val="0"/>
      </c:catAx>
      <c:valAx>
        <c:axId val="590939392"/>
        <c:scaling>
          <c:orientation val="minMax"/>
          <c:max val="45"/>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86547128"/>
        <c:crosses val="autoZero"/>
        <c:crossBetween val="between"/>
      </c:valAx>
      <c:spPr>
        <a:noFill/>
        <a:ln>
          <a:noFill/>
        </a:ln>
        <a:effectLst/>
      </c:spPr>
    </c:plotArea>
    <c:legend>
      <c:legendPos val="b"/>
      <c:layout>
        <c:manualLayout>
          <c:xMode val="edge"/>
          <c:yMode val="edge"/>
          <c:x val="2.6723389434140637E-2"/>
          <c:y val="0.75493638023507936"/>
          <c:w val="0.94470077496237137"/>
          <c:h val="0.202678306516033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accent4">
                    <a:lumMod val="50000"/>
                  </a:schemeClr>
                </a:solidFill>
                <a:latin typeface="+mn-lt"/>
                <a:ea typeface="+mn-ea"/>
                <a:cs typeface="+mn-cs"/>
              </a:defRPr>
            </a:pPr>
            <a:r>
              <a:rPr lang="ru-RU" sz="1050" i="1">
                <a:solidFill>
                  <a:schemeClr val="tx1"/>
                </a:solidFill>
              </a:rPr>
              <a:t>Надходження плати за землю до бюджету Чорноморської МТГ за 2021-2025 роки (млн грн)</a:t>
            </a:r>
          </a:p>
        </c:rich>
      </c:tx>
      <c:layout>
        <c:manualLayout>
          <c:xMode val="edge"/>
          <c:yMode val="edge"/>
          <c:x val="0.15030260468598344"/>
          <c:y val="3.8647342995169081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accent4">
                  <a:lumMod val="50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outerShdw blurRad="50800" dist="50800" dir="5400000" algn="ctr" rotWithShape="0">
            <a:srgbClr val="000000">
              <a:alpha val="99000"/>
            </a:srgbClr>
          </a:outerShdw>
        </a:effectLst>
        <a:sp3d/>
      </c:spPr>
    </c:sideWall>
    <c:backWall>
      <c:thickness val="0"/>
      <c:spPr>
        <a:noFill/>
        <a:ln>
          <a:noFill/>
        </a:ln>
        <a:effectLst>
          <a:outerShdw blurRad="647700" dist="977900" dir="9540000" sx="165000" sy="165000" algn="ctr" rotWithShape="0">
            <a:srgbClr val="000000">
              <a:alpha val="65000"/>
            </a:srgbClr>
          </a:outerShdw>
        </a:effectLst>
        <a:sp3d/>
      </c:spPr>
    </c:backWall>
    <c:plotArea>
      <c:layout>
        <c:manualLayout>
          <c:layoutTarget val="inner"/>
          <c:xMode val="edge"/>
          <c:yMode val="edge"/>
          <c:x val="8.8695512006408628E-2"/>
          <c:y val="8.7557132494953116E-2"/>
          <c:w val="0.89052501167686371"/>
          <c:h val="0.79468492525390844"/>
        </c:manualLayout>
      </c:layout>
      <c:bar3DChart>
        <c:barDir val="col"/>
        <c:grouping val="stacked"/>
        <c:varyColors val="0"/>
        <c:ser>
          <c:idx val="0"/>
          <c:order val="0"/>
          <c:tx>
            <c:strRef>
              <c:f>Лист1!$B$2</c:f>
              <c:strCache>
                <c:ptCount val="1"/>
                <c:pt idx="0">
                  <c:v>Земельний податок з юридичних та фізичних осіб</c:v>
                </c:pt>
              </c:strCache>
            </c:strRef>
          </c:tx>
          <c:spPr>
            <a:solidFill>
              <a:schemeClr val="accent4">
                <a:lumMod val="60000"/>
                <a:lumOff val="40000"/>
              </a:schemeClr>
            </a:solidFill>
            <a:ln>
              <a:noFill/>
            </a:ln>
            <a:effectLst>
              <a:outerShdw blurRad="63500" dist="38100" dir="5400000" rotWithShape="0">
                <a:schemeClr val="accent4">
                  <a:lumMod val="60000"/>
                  <a:lumOff val="40000"/>
                  <a:alpha val="45000"/>
                </a:schemeClr>
              </a:outerShdw>
            </a:effectLst>
            <a:scene3d>
              <a:camera prst="orthographicFront">
                <a:rot lat="0" lon="0" rev="0"/>
              </a:camera>
              <a:lightRig rig="glow" dir="t">
                <a:rot lat="0" lon="0" rev="6360000"/>
              </a:lightRig>
            </a:scene3d>
            <a:sp3d prstMaterial="flat">
              <a:bevelT w="95250" h="101600"/>
              <a:contourClr>
                <a:scrgbClr r="0" g="0" b="0">
                  <a:satMod val="300000"/>
                </a:scrgbClr>
              </a:contourClr>
            </a:sp3d>
          </c:spPr>
          <c:invertIfNegative val="0"/>
          <c:dLbls>
            <c:dLbl>
              <c:idx val="0"/>
              <c:layout>
                <c:manualLayout>
                  <c:x val="4.1356492969396195E-3"/>
                  <c:y val="-1.69275316723035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E55-4218-8D2D-4D4E1665A33D}"/>
                </c:ext>
                <c:ext xmlns:c15="http://schemas.microsoft.com/office/drawing/2012/chart" uri="{CE6537A1-D6FC-4f65-9D91-7224C49458BB}"/>
              </c:extLst>
            </c:dLbl>
            <c:dLbl>
              <c:idx val="1"/>
              <c:layout>
                <c:manualLayout>
                  <c:x val="2.497580372537658E-3"/>
                  <c:y val="-4.23172880521365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E55-4218-8D2D-4D4E1665A33D}"/>
                </c:ext>
                <c:ext xmlns:c15="http://schemas.microsoft.com/office/drawing/2012/chart" uri="{CE6537A1-D6FC-4f65-9D91-7224C49458BB}"/>
              </c:extLst>
            </c:dLbl>
            <c:dLbl>
              <c:idx val="2"/>
              <c:layout>
                <c:manualLayout>
                  <c:x val="4.1356492969396195E-3"/>
                  <c:y val="-1.06195798777094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E55-4218-8D2D-4D4E1665A33D}"/>
                </c:ext>
                <c:ext xmlns:c15="http://schemas.microsoft.com/office/drawing/2012/chart" uri="{CE6537A1-D6FC-4f65-9D91-7224C49458BB}"/>
              </c:extLst>
            </c:dLbl>
            <c:dLbl>
              <c:idx val="3"/>
              <c:layout>
                <c:manualLayout>
                  <c:x val="2.067824648469733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E55-4218-8D2D-4D4E1665A33D}"/>
                </c:ext>
                <c:ext xmlns:c15="http://schemas.microsoft.com/office/drawing/2012/chart" uri="{CE6537A1-D6FC-4f65-9D91-7224C49458BB}"/>
              </c:extLst>
            </c:dLbl>
            <c:dLbl>
              <c:idx val="4"/>
              <c:layout>
                <c:manualLayout>
                  <c:x val="0"/>
                  <c:y val="-1.69275316723034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E55-4218-8D2D-4D4E1665A33D}"/>
                </c:ext>
                <c:ext xmlns:c15="http://schemas.microsoft.com/office/drawing/2012/chart" uri="{CE6537A1-D6FC-4f65-9D91-7224C49458BB}"/>
              </c:extLst>
            </c:dLbl>
            <c:dLbl>
              <c:idx val="5"/>
              <c:layout>
                <c:manualLayout>
                  <c:x val="2.067824648469658E-3"/>
                  <c:y val="-2.53914431617246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E55-4218-8D2D-4D4E1665A33D}"/>
                </c:ext>
                <c:ext xmlns:c15="http://schemas.microsoft.com/office/drawing/2012/chart" uri="{CE6537A1-D6FC-4f65-9D91-7224C49458BB}"/>
              </c:extLst>
            </c:dLbl>
            <c:spPr>
              <a:noFill/>
              <a:ln>
                <a:noFill/>
              </a:ln>
              <a:effectLst>
                <a:glow rad="127000">
                  <a:schemeClr val="bg1"/>
                </a:glo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Лист1!$A$3:$A$7</c:f>
              <c:strCache>
                <c:ptCount val="5"/>
                <c:pt idx="0">
                  <c:v>2021</c:v>
                </c:pt>
                <c:pt idx="1">
                  <c:v>2022</c:v>
                </c:pt>
                <c:pt idx="2">
                  <c:v>2023</c:v>
                </c:pt>
                <c:pt idx="3">
                  <c:v>2024 очікувані</c:v>
                </c:pt>
                <c:pt idx="4">
                  <c:v>2025 проєкт</c:v>
                </c:pt>
              </c:strCache>
            </c:strRef>
          </c:cat>
          <c:val>
            <c:numRef>
              <c:f>Лист1!$B$3:$B$7</c:f>
              <c:numCache>
                <c:formatCode>0.0</c:formatCode>
                <c:ptCount val="5"/>
                <c:pt idx="0">
                  <c:v>77.8</c:v>
                </c:pt>
                <c:pt idx="1">
                  <c:v>46.7</c:v>
                </c:pt>
                <c:pt idx="2">
                  <c:v>52.1</c:v>
                </c:pt>
                <c:pt idx="3">
                  <c:v>56.2</c:v>
                </c:pt>
                <c:pt idx="4">
                  <c:v>62</c:v>
                </c:pt>
              </c:numCache>
            </c:numRef>
          </c:val>
          <c:extLst xmlns:c16r2="http://schemas.microsoft.com/office/drawing/2015/06/chart">
            <c:ext xmlns:c16="http://schemas.microsoft.com/office/drawing/2014/chart" uri="{C3380CC4-5D6E-409C-BE32-E72D297353CC}">
              <c16:uniqueId val="{00000000-B6C7-44DC-BFE7-35BF7D53C356}"/>
            </c:ext>
          </c:extLst>
        </c:ser>
        <c:ser>
          <c:idx val="1"/>
          <c:order val="1"/>
          <c:tx>
            <c:strRef>
              <c:f>Лист1!$C$2</c:f>
              <c:strCache>
                <c:ptCount val="1"/>
                <c:pt idx="0">
                  <c:v>Орендна плата з юридичних та фізичних осіб</c:v>
                </c:pt>
              </c:strCache>
            </c:strRef>
          </c:tx>
          <c:spPr>
            <a:solidFill>
              <a:schemeClr val="accent3">
                <a:lumMod val="60000"/>
                <a:lumOff val="40000"/>
              </a:schemeClr>
            </a:solidFill>
            <a:ln>
              <a:solidFill>
                <a:schemeClr val="bg1"/>
              </a:solidFill>
            </a:ln>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bg1"/>
              </a:contourClr>
            </a:sp3d>
          </c:spPr>
          <c:invertIfNegative val="0"/>
          <c:dLbls>
            <c:dLbl>
              <c:idx val="0"/>
              <c:layout>
                <c:manualLayout>
                  <c:x val="1.041046247006247E-2"/>
                  <c:y val="7.456822245045449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E55-4218-8D2D-4D4E1665A33D}"/>
                </c:ext>
                <c:ext xmlns:c15="http://schemas.microsoft.com/office/drawing/2012/chart" uri="{CE6537A1-D6FC-4f65-9D91-7224C49458BB}">
                  <c15:layout>
                    <c:manualLayout>
                      <c:w val="4.5750946571308369E-2"/>
                      <c:h val="7.4763437179048264E-2"/>
                    </c:manualLayout>
                  </c15:layout>
                </c:ext>
              </c:extLst>
            </c:dLbl>
            <c:dLbl>
              <c:idx val="1"/>
              <c:layout>
                <c:manualLayout>
                  <c:x val="8.2713603794897176E-3"/>
                  <c:y val="4.30814409068431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E55-4218-8D2D-4D4E1665A33D}"/>
                </c:ext>
                <c:ext xmlns:c15="http://schemas.microsoft.com/office/drawing/2012/chart" uri="{CE6537A1-D6FC-4f65-9D91-7224C49458BB}"/>
              </c:extLst>
            </c:dLbl>
            <c:dLbl>
              <c:idx val="2"/>
              <c:layout>
                <c:manualLayout>
                  <c:x val="8.2713603794897176E-3"/>
                  <c:y val="7.24022975388945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E55-4218-8D2D-4D4E1665A33D}"/>
                </c:ext>
                <c:ext xmlns:c15="http://schemas.microsoft.com/office/drawing/2012/chart" uri="{CE6537A1-D6FC-4f65-9D91-7224C49458BB}"/>
              </c:extLst>
            </c:dLbl>
            <c:dLbl>
              <c:idx val="3"/>
              <c:layout>
                <c:manualLayout>
                  <c:x val="-7.1386217656820394E-5"/>
                  <c:y val="8.32622009205371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E55-4218-8D2D-4D4E1665A33D}"/>
                </c:ext>
                <c:ext xmlns:c15="http://schemas.microsoft.com/office/drawing/2012/chart" uri="{CE6537A1-D6FC-4f65-9D91-7224C49458BB}"/>
              </c:extLst>
            </c:dLbl>
            <c:dLbl>
              <c:idx val="4"/>
              <c:layout>
                <c:manualLayout>
                  <c:x val="2.0321055787250967E-3"/>
                  <c:y val="8.84686370725398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E55-4218-8D2D-4D4E1665A33D}"/>
                </c:ext>
                <c:ext xmlns:c15="http://schemas.microsoft.com/office/drawing/2012/chart" uri="{CE6537A1-D6FC-4f65-9D91-7224C49458BB}"/>
              </c:extLst>
            </c:dLbl>
            <c:dLbl>
              <c:idx val="5"/>
              <c:layout>
                <c:manualLayout>
                  <c:x val="2.0678246484698098E-3"/>
                  <c:y val="-5.92733067079157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E55-4218-8D2D-4D4E1665A33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Лист1!$A$3:$A$7</c:f>
              <c:strCache>
                <c:ptCount val="5"/>
                <c:pt idx="0">
                  <c:v>2021</c:v>
                </c:pt>
                <c:pt idx="1">
                  <c:v>2022</c:v>
                </c:pt>
                <c:pt idx="2">
                  <c:v>2023</c:v>
                </c:pt>
                <c:pt idx="3">
                  <c:v>2024 очікувані</c:v>
                </c:pt>
                <c:pt idx="4">
                  <c:v>2025 проєкт</c:v>
                </c:pt>
              </c:strCache>
            </c:strRef>
          </c:cat>
          <c:val>
            <c:numRef>
              <c:f>Лист1!$C$3:$C$7</c:f>
              <c:numCache>
                <c:formatCode>0.0</c:formatCode>
                <c:ptCount val="5"/>
                <c:pt idx="0">
                  <c:v>99.9</c:v>
                </c:pt>
                <c:pt idx="1">
                  <c:v>75</c:v>
                </c:pt>
                <c:pt idx="2">
                  <c:v>103.5</c:v>
                </c:pt>
                <c:pt idx="3">
                  <c:v>109.4</c:v>
                </c:pt>
                <c:pt idx="4">
                  <c:v>122</c:v>
                </c:pt>
              </c:numCache>
            </c:numRef>
          </c:val>
          <c:extLst xmlns:c16r2="http://schemas.microsoft.com/office/drawing/2015/06/chart">
            <c:ext xmlns:c16="http://schemas.microsoft.com/office/drawing/2014/chart" uri="{C3380CC4-5D6E-409C-BE32-E72D297353CC}">
              <c16:uniqueId val="{00000001-B6C7-44DC-BFE7-35BF7D53C356}"/>
            </c:ext>
          </c:extLst>
        </c:ser>
        <c:dLbls>
          <c:showLegendKey val="0"/>
          <c:showVal val="1"/>
          <c:showCatName val="0"/>
          <c:showSerName val="0"/>
          <c:showPercent val="0"/>
          <c:showBubbleSize val="0"/>
        </c:dLbls>
        <c:gapWidth val="136"/>
        <c:gapDepth val="500"/>
        <c:shape val="pyramid"/>
        <c:axId val="591128560"/>
        <c:axId val="591131696"/>
        <c:axId val="0"/>
      </c:bar3DChart>
      <c:catAx>
        <c:axId val="591128560"/>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591131696"/>
        <c:crosses val="autoZero"/>
        <c:auto val="1"/>
        <c:lblAlgn val="ctr"/>
        <c:lblOffset val="100"/>
        <c:noMultiLvlLbl val="0"/>
      </c:catAx>
      <c:valAx>
        <c:axId val="591131696"/>
        <c:scaling>
          <c:orientation val="minMax"/>
          <c:max val="220"/>
          <c:min val="0"/>
        </c:scaling>
        <c:delete val="0"/>
        <c:axPos val="l"/>
        <c:majorGridlines>
          <c:spPr>
            <a:ln w="9525" cap="flat" cmpd="sng" algn="ctr">
              <a:solidFill>
                <a:schemeClr val="tx1">
                  <a:lumMod val="15000"/>
                  <a:lumOff val="85000"/>
                </a:schemeClr>
              </a:solidFill>
              <a:round/>
            </a:ln>
            <a:effectLst>
              <a:outerShdw blurRad="50800" dist="38100" dir="5400000" algn="t" rotWithShape="0">
                <a:prstClr val="black">
                  <a:alpha val="40000"/>
                </a:prstClr>
              </a:outerShdw>
            </a:effectLst>
          </c:spPr>
        </c:majorGridlines>
        <c:numFmt formatCode="0.0" sourceLinked="1"/>
        <c:majorTickMark val="cross"/>
        <c:minorTickMark val="out"/>
        <c:tickLblPos val="low"/>
        <c:spPr>
          <a:noFill/>
          <a:ln>
            <a:solidFill>
              <a:schemeClr val="bg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591128560"/>
        <c:crosses val="autoZero"/>
        <c:crossBetween val="between"/>
        <c:majorUnit val="20"/>
        <c:minorUnit val="1"/>
      </c:valAx>
      <c:spPr>
        <a:noFill/>
        <a:ln>
          <a:noFill/>
        </a:ln>
        <a:effectLst>
          <a:innerShdw blurRad="63500" dist="50800" dir="18900000">
            <a:prstClr val="black">
              <a:alpha val="50000"/>
            </a:prstClr>
          </a:innerShdw>
        </a:effectLst>
      </c:spPr>
    </c:plotArea>
    <c:legend>
      <c:legendPos val="b"/>
      <c:layout>
        <c:manualLayout>
          <c:xMode val="edge"/>
          <c:yMode val="edge"/>
          <c:x val="1.6850979855805869E-2"/>
          <c:y val="0.9556519895566622"/>
          <c:w val="0.9"/>
          <c:h val="4.4348414819352817E-2"/>
        </c:manualLayout>
      </c:layout>
      <c:overlay val="0"/>
      <c:spPr>
        <a:noFill/>
        <a:ln>
          <a:noFill/>
        </a:ln>
        <a:effectLst>
          <a:outerShdw blurRad="50800" dist="50800" dir="5400000" sx="65000" sy="65000" algn="ctr" rotWithShape="0">
            <a:schemeClr val="tx1">
              <a:alpha val="83000"/>
            </a:schemeClr>
          </a:outerShdw>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effectLst/>
              <a:latin typeface="Times New Roman" panose="02020603050405020304" pitchFamily="18" charset="0"/>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rot="0"/>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Єдиний податок 
з юридичних осіб</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layout>
                <c:manualLayout>
                  <c:x val="-3.5322846561810302E-4"/>
                  <c:y val="-7.961744507963901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D47-46DB-9488-E68E335404CA}"/>
                </c:ext>
                <c:ext xmlns:c15="http://schemas.microsoft.com/office/drawing/2012/chart" uri="{CE6537A1-D6FC-4f65-9D91-7224C49458BB}"/>
              </c:extLst>
            </c:dLbl>
            <c:dLbl>
              <c:idx val="1"/>
              <c:layout>
                <c:manualLayout>
                  <c:x val="-4.415781396691284E-4"/>
                  <c:y val="-1.28206234494661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D47-46DB-9488-E68E335404CA}"/>
                </c:ext>
                <c:ext xmlns:c15="http://schemas.microsoft.com/office/drawing/2012/chart" uri="{CE6537A1-D6FC-4f65-9D91-7224C49458BB}">
                  <c15:layout>
                    <c:manualLayout>
                      <c:w val="4.7400366165990145E-2"/>
                      <c:h val="7.2991047351957716E-2"/>
                    </c:manualLayout>
                  </c15:layout>
                </c:ext>
              </c:extLst>
            </c:dLbl>
            <c:dLbl>
              <c:idx val="2"/>
              <c:layout>
                <c:manualLayout>
                  <c:x val="-4.6770853459553634E-3"/>
                  <c:y val="-1.73868334951281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D47-46DB-9488-E68E335404CA}"/>
                </c:ext>
                <c:ext xmlns:c15="http://schemas.microsoft.com/office/drawing/2012/chart" uri="{CE6537A1-D6FC-4f65-9D91-7224C49458BB}"/>
              </c:extLst>
            </c:dLbl>
            <c:dLbl>
              <c:idx val="3"/>
              <c:layout>
                <c:manualLayout>
                  <c:x val="-2.6035065798377987E-3"/>
                  <c:y val="-9.13242009132420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D47-46DB-9488-E68E335404CA}"/>
                </c:ext>
                <c:ext xmlns:c15="http://schemas.microsoft.com/office/drawing/2012/chart" uri="{CE6537A1-D6FC-4f65-9D91-7224C49458BB}"/>
              </c:extLst>
            </c:dLbl>
            <c:dLbl>
              <c:idx val="4"/>
              <c:layout>
                <c:manualLayout>
                  <c:x val="-9.0009422262926249E-3"/>
                  <c:y val="-3.9808722539819508E-3"/>
                </c:manualLayout>
              </c:layout>
              <c:tx>
                <c:rich>
                  <a:bodyPr/>
                  <a:lstStyle/>
                  <a:p>
                    <a:r>
                      <a:rPr lang="en-US"/>
                      <a:t>16,0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D47-46DB-9488-E68E335404C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2021</c:v>
                </c:pt>
                <c:pt idx="1">
                  <c:v>2022</c:v>
                </c:pt>
                <c:pt idx="2">
                  <c:v>2023</c:v>
                </c:pt>
                <c:pt idx="3">
                  <c:v>2024 (очікуваний факт)</c:v>
                </c:pt>
                <c:pt idx="4">
                  <c:v>2025 (прогноз)</c:v>
                </c:pt>
              </c:strCache>
            </c:strRef>
          </c:cat>
          <c:val>
            <c:numRef>
              <c:f>Лист1!$B$2:$B$6</c:f>
              <c:numCache>
                <c:formatCode>0.0</c:formatCode>
                <c:ptCount val="5"/>
                <c:pt idx="0">
                  <c:v>13</c:v>
                </c:pt>
                <c:pt idx="1">
                  <c:v>14.4</c:v>
                </c:pt>
                <c:pt idx="2">
                  <c:v>28.6</c:v>
                </c:pt>
                <c:pt idx="3">
                  <c:v>11.9</c:v>
                </c:pt>
                <c:pt idx="4">
                  <c:v>16</c:v>
                </c:pt>
              </c:numCache>
            </c:numRef>
          </c:val>
          <c:extLst xmlns:c16r2="http://schemas.microsoft.com/office/drawing/2015/06/chart">
            <c:ext xmlns:c16="http://schemas.microsoft.com/office/drawing/2014/chart" uri="{C3380CC4-5D6E-409C-BE32-E72D297353CC}">
              <c16:uniqueId val="{00000005-7D47-46DB-9488-E68E335404CA}"/>
            </c:ext>
          </c:extLst>
        </c:ser>
        <c:ser>
          <c:idx val="1"/>
          <c:order val="1"/>
          <c:tx>
            <c:strRef>
              <c:f>Лист1!$C$1</c:f>
              <c:strCache>
                <c:ptCount val="1"/>
                <c:pt idx="0">
                  <c:v>Єдиний податок 
 з фізичних осіб</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dLbl>
              <c:idx val="0"/>
              <c:layout>
                <c:manualLayout>
                  <c:x val="-3.5322846561814265E-4"/>
                  <c:y val="-3.68820335814191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D47-46DB-9488-E68E335404CA}"/>
                </c:ext>
                <c:ext xmlns:c15="http://schemas.microsoft.com/office/drawing/2012/chart" uri="{CE6537A1-D6FC-4f65-9D91-7224C49458BB}"/>
              </c:extLst>
            </c:dLbl>
            <c:dLbl>
              <c:idx val="1"/>
              <c:layout>
                <c:manualLayout>
                  <c:x val="-2.6918562538887445E-3"/>
                  <c:y val="-3.980872253981971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D47-46DB-9488-E68E335404CA}"/>
                </c:ext>
                <c:ext xmlns:c15="http://schemas.microsoft.com/office/drawing/2012/chart" uri="{CE6537A1-D6FC-4f65-9D91-7224C49458BB}"/>
              </c:extLst>
            </c:dLbl>
            <c:dLbl>
              <c:idx val="2"/>
              <c:layout>
                <c:manualLayout>
                  <c:x val="-5.2992781372007453E-4"/>
                  <c:y val="-3.688203358141876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D47-46DB-9488-E68E335404CA}"/>
                </c:ext>
                <c:ext xmlns:c15="http://schemas.microsoft.com/office/drawing/2012/chart" uri="{CE6537A1-D6FC-4f65-9D91-7224C49458BB}"/>
              </c:extLst>
            </c:dLbl>
            <c:dLbl>
              <c:idx val="3"/>
              <c:layout>
                <c:manualLayout>
                  <c:x val="5.9558575067858166E-3"/>
                  <c:y val="5.8533779168014962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D47-46DB-9488-E68E335404CA}"/>
                </c:ext>
                <c:ext xmlns:c15="http://schemas.microsoft.com/office/drawing/2012/chart" uri="{CE6537A1-D6FC-4f65-9D91-7224C49458BB}"/>
              </c:extLst>
            </c:dLbl>
            <c:dLbl>
              <c:idx val="4"/>
              <c:layout>
                <c:manualLayout>
                  <c:x val="3.7939290666171863E-3"/>
                  <c:y val="5.8533779168010776E-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90,5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D47-46DB-9488-E68E335404CA}"/>
                </c:ext>
                <c:ext xmlns:c15="http://schemas.microsoft.com/office/drawing/2012/chart" uri="{CE6537A1-D6FC-4f65-9D91-7224C49458BB}">
                  <c15:layout>
                    <c:manualLayout>
                      <c:w val="4.7400366165990145E-2"/>
                      <c:h val="5.472620716930931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2021</c:v>
                </c:pt>
                <c:pt idx="1">
                  <c:v>2022</c:v>
                </c:pt>
                <c:pt idx="2">
                  <c:v>2023</c:v>
                </c:pt>
                <c:pt idx="3">
                  <c:v>2024 (очікуваний факт)</c:v>
                </c:pt>
                <c:pt idx="4">
                  <c:v>2025 (прогноз)</c:v>
                </c:pt>
              </c:strCache>
            </c:strRef>
          </c:cat>
          <c:val>
            <c:numRef>
              <c:f>Лист1!$C$2:$C$6</c:f>
              <c:numCache>
                <c:formatCode>0.0</c:formatCode>
                <c:ptCount val="5"/>
                <c:pt idx="0">
                  <c:v>56.2</c:v>
                </c:pt>
                <c:pt idx="1">
                  <c:v>50.2</c:v>
                </c:pt>
                <c:pt idx="2">
                  <c:v>54.7</c:v>
                </c:pt>
                <c:pt idx="3">
                  <c:v>83.2</c:v>
                </c:pt>
                <c:pt idx="4">
                  <c:v>90.5</c:v>
                </c:pt>
              </c:numCache>
            </c:numRef>
          </c:val>
          <c:extLst xmlns:c16r2="http://schemas.microsoft.com/office/drawing/2015/06/chart">
            <c:ext xmlns:c16="http://schemas.microsoft.com/office/drawing/2014/chart" uri="{C3380CC4-5D6E-409C-BE32-E72D297353CC}">
              <c16:uniqueId val="{0000000B-7D47-46DB-9488-E68E335404CA}"/>
            </c:ext>
          </c:extLst>
        </c:ser>
        <c:dLbls>
          <c:showLegendKey val="0"/>
          <c:showVal val="0"/>
          <c:showCatName val="0"/>
          <c:showSerName val="0"/>
          <c:showPercent val="0"/>
          <c:showBubbleSize val="0"/>
        </c:dLbls>
        <c:gapWidth val="160"/>
        <c:gapDepth val="0"/>
        <c:shape val="cylinder"/>
        <c:axId val="591024128"/>
        <c:axId val="591131304"/>
        <c:axId val="0"/>
      </c:bar3DChart>
      <c:catAx>
        <c:axId val="591024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1131304"/>
        <c:crosses val="autoZero"/>
        <c:auto val="1"/>
        <c:lblAlgn val="ctr"/>
        <c:lblOffset val="100"/>
        <c:noMultiLvlLbl val="0"/>
      </c:catAx>
      <c:valAx>
        <c:axId val="59113130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10241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latin typeface="Times New Roman" panose="02020603050405020304" pitchFamily="18" charset="0"/>
                <a:cs typeface="Times New Roman" panose="02020603050405020304" pitchFamily="18" charset="0"/>
              </a:rPr>
              <a:t>Структура надходжень плати за надання ад</a:t>
            </a:r>
            <a:r>
              <a:rPr lang="uk-UA" sz="1200">
                <a:latin typeface="Times New Roman" panose="02020603050405020304" pitchFamily="18" charset="0"/>
                <a:cs typeface="Times New Roman" panose="02020603050405020304" pitchFamily="18" charset="0"/>
              </a:rPr>
              <a:t>міністративних</a:t>
            </a:r>
            <a:r>
              <a:rPr lang="uk-UA" sz="1200" baseline="0">
                <a:latin typeface="Times New Roman" panose="02020603050405020304" pitchFamily="18" charset="0"/>
                <a:cs typeface="Times New Roman" panose="02020603050405020304" pitchFamily="18" charset="0"/>
              </a:rPr>
              <a:t> послуг до бюджету Чорноморської міської територіальної громади на                              2025 рік</a:t>
            </a:r>
            <a:endParaRPr lang="ru-RU" sz="1200">
              <a:latin typeface="Times New Roman" panose="02020603050405020304" pitchFamily="18" charset="0"/>
              <a:cs typeface="Times New Roman" panose="02020603050405020304" pitchFamily="18" charset="0"/>
            </a:endParaRPr>
          </a:p>
        </c:rich>
      </c:tx>
      <c:layout>
        <c:manualLayout>
          <c:xMode val="edge"/>
          <c:yMode val="edge"/>
          <c:x val="9.4397322170171771E-2"/>
          <c:y val="0"/>
        </c:manualLayout>
      </c:layout>
      <c:overlay val="0"/>
    </c:title>
    <c:autoTitleDeleted val="0"/>
    <c:view3D>
      <c:rotX val="30"/>
      <c:rotY val="200"/>
      <c:rAngAx val="0"/>
    </c:view3D>
    <c:floor>
      <c:thickness val="0"/>
    </c:floor>
    <c:sideWall>
      <c:thickness val="0"/>
    </c:sideWall>
    <c:backWall>
      <c:thickness val="0"/>
    </c:backWall>
    <c:plotArea>
      <c:layout>
        <c:manualLayout>
          <c:layoutTarget val="inner"/>
          <c:xMode val="edge"/>
          <c:yMode val="edge"/>
          <c:x val="8.5706667995614744E-2"/>
          <c:y val="0.26576953922426388"/>
          <c:w val="0.82858666400877101"/>
          <c:h val="0.61799795858855222"/>
        </c:manualLayout>
      </c:layout>
      <c:pie3DChart>
        <c:varyColors val="1"/>
        <c:ser>
          <c:idx val="0"/>
          <c:order val="0"/>
          <c:tx>
            <c:strRef>
              <c:f>власні!$C$6</c:f>
              <c:strCache>
                <c:ptCount val="1"/>
              </c:strCache>
            </c:strRef>
          </c:tx>
          <c:explosion val="25"/>
          <c:dLbls>
            <c:dLbl>
              <c:idx val="0"/>
              <c:layout>
                <c:manualLayout>
                  <c:x val="-0.12317552078142681"/>
                  <c:y val="-0.43349518810148735"/>
                </c:manualLayout>
              </c:layout>
              <c:tx>
                <c:rich>
                  <a:bodyPr/>
                  <a:lstStyle/>
                  <a:p>
                    <a:r>
                      <a:rPr lang="ru-RU" b="1">
                        <a:latin typeface="Times New Roman" pitchFamily="18" charset="0"/>
                        <a:cs typeface="Times New Roman" pitchFamily="18" charset="0"/>
                      </a:rPr>
                      <a:t>А</a:t>
                    </a:r>
                    <a:r>
                      <a:rPr lang="ru-RU"/>
                      <a:t>дміністративний збір за проведення державної реєстрації (22010300)
200,0
2,6</a:t>
                    </a:r>
                    <a:r>
                      <a:rPr lang="ru-RU" baseline="0"/>
                      <a:t> </a:t>
                    </a:r>
                    <a:r>
                      <a:rPr lang="ru-RU"/>
                      <a:t>%</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1C5B-47D2-90F6-F7BD92F28B3B}"/>
                </c:ext>
                <c:ext xmlns:c15="http://schemas.microsoft.com/office/drawing/2012/chart" uri="{CE6537A1-D6FC-4f65-9D91-7224C49458BB}"/>
              </c:extLst>
            </c:dLbl>
            <c:dLbl>
              <c:idx val="1"/>
              <c:layout>
                <c:manualLayout>
                  <c:x val="0.21632612379148794"/>
                  <c:y val="0.15195418754473872"/>
                </c:manualLayout>
              </c:layout>
              <c:tx>
                <c:rich>
                  <a:bodyPr/>
                  <a:lstStyle/>
                  <a:p>
                    <a:r>
                      <a:rPr lang="ru-RU"/>
                      <a:t>Плата за надання інших адмін. послуг(22012500)
7 000,0
92,2</a:t>
                    </a:r>
                    <a:r>
                      <a:rPr lang="ru-RU" baseline="0"/>
                      <a:t> </a:t>
                    </a:r>
                    <a:r>
                      <a:rPr lang="ru-RU"/>
                      <a:t>%</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C5B-47D2-90F6-F7BD92F28B3B}"/>
                </c:ext>
                <c:ext xmlns:c15="http://schemas.microsoft.com/office/drawing/2012/chart" uri="{CE6537A1-D6FC-4f65-9D91-7224C49458BB}"/>
              </c:extLst>
            </c:dLbl>
            <c:dLbl>
              <c:idx val="2"/>
              <c:layout>
                <c:manualLayout>
                  <c:x val="0.41561862520349513"/>
                  <c:y val="0"/>
                </c:manualLayout>
              </c:layout>
              <c:tx>
                <c:rich>
                  <a:bodyPr/>
                  <a:lstStyle/>
                  <a:p>
                    <a:r>
                      <a:rPr lang="ru-RU"/>
                      <a:t>Адміністративний збір за державну реєстрацію речових прав на нерухоме майно та їх обтяжень (22012600)
370,0
4,9</a:t>
                    </a:r>
                    <a:r>
                      <a:rPr lang="ru-RU" baseline="0"/>
                      <a:t> </a:t>
                    </a:r>
                    <a:r>
                      <a:rPr lang="ru-RU"/>
                      <a:t>%</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2-1C5B-47D2-90F6-F7BD92F28B3B}"/>
                </c:ext>
                <c:ext xmlns:c15="http://schemas.microsoft.com/office/drawing/2012/chart" uri="{CE6537A1-D6FC-4f65-9D91-7224C49458BB}"/>
              </c:extLst>
            </c:dLbl>
            <c:dLbl>
              <c:idx val="3"/>
              <c:layout>
                <c:manualLayout>
                  <c:x val="-0.18723313066880026"/>
                  <c:y val="-1.4745552639253989E-3"/>
                </c:manualLayout>
              </c:layout>
              <c:tx>
                <c:rich>
                  <a:bodyPr/>
                  <a:lstStyle/>
                  <a:p>
                    <a:r>
                      <a:rPr lang="ru-RU"/>
                      <a:t>Плата за скорочення термінів надання послуг у сфері державної реєстрації (22012900)
20,0</a:t>
                    </a:r>
                  </a:p>
                  <a:p>
                    <a:r>
                      <a:rPr lang="ru-RU"/>
                      <a:t>0,3 %</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1C5B-47D2-90F6-F7BD92F28B3B}"/>
                </c:ext>
                <c:ext xmlns:c15="http://schemas.microsoft.com/office/drawing/2012/chart" uri="{CE6537A1-D6FC-4f65-9D91-7224C49458BB}"/>
              </c:extLst>
            </c:dLbl>
            <c:dLbl>
              <c:idx val="4"/>
              <c:layout>
                <c:manualLayout>
                  <c:x val="0.16544542869642051"/>
                  <c:y val="-8.3333333333333566E-4"/>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4-1C5B-47D2-90F6-F7BD92F28B3B}"/>
                </c:ext>
                <c:ext xmlns:c15="http://schemas.microsoft.com/office/drawing/2012/chart" uri="{CE6537A1-D6FC-4f65-9D91-7224C49458BB}"/>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власні!$B$7:$B$10</c:f>
              <c:strCache>
                <c:ptCount val="4"/>
                <c:pt idx="0">
                  <c:v>Адміністративний збір за проведення державної реєстрації юридичних осіб, фізичних осіб-підприємців та громадських формувань (22010300)</c:v>
                </c:pt>
                <c:pt idx="1">
                  <c:v>Плата за надання інших адмін. послуг(22012500)</c:v>
                </c:pt>
                <c:pt idx="2">
                  <c:v>Адміністративний збір за державну реєстрацію речових прав на нерухоме майно та їх обтяжень (220126  )</c:v>
                </c:pt>
                <c:pt idx="3">
                  <c:v>Плата за скорочення термінів надання послуг у сфері державної реєстрації (220129 )</c:v>
                </c:pt>
              </c:strCache>
            </c:strRef>
          </c:cat>
          <c:val>
            <c:numRef>
              <c:f>власні!$C$7:$C$10</c:f>
              <c:numCache>
                <c:formatCode>#,##0.0</c:formatCode>
                <c:ptCount val="4"/>
                <c:pt idx="0">
                  <c:v>200</c:v>
                </c:pt>
                <c:pt idx="1">
                  <c:v>4167.9000000000005</c:v>
                </c:pt>
                <c:pt idx="2">
                  <c:v>374.5</c:v>
                </c:pt>
                <c:pt idx="3">
                  <c:v>70.7</c:v>
                </c:pt>
              </c:numCache>
            </c:numRef>
          </c:val>
          <c:extLst xmlns:c16r2="http://schemas.microsoft.com/office/drawing/2015/06/chart">
            <c:ext xmlns:c16="http://schemas.microsoft.com/office/drawing/2014/chart" uri="{C3380CC4-5D6E-409C-BE32-E72D297353CC}">
              <c16:uniqueId val="{00000005-1C5B-47D2-90F6-F7BD92F28B3B}"/>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EED996-C6D3-471F-A855-567829AB6B5C}" type="doc">
      <dgm:prSet loTypeId="urn:microsoft.com/office/officeart/2005/8/layout/radial4" loCatId="relationship" qsTypeId="urn:microsoft.com/office/officeart/2005/8/quickstyle/3d3" qsCatId="3D" csTypeId="urn:microsoft.com/office/officeart/2005/8/colors/colorful1" csCatId="colorful" phldr="1"/>
      <dgm:spPr/>
      <dgm:t>
        <a:bodyPr/>
        <a:lstStyle/>
        <a:p>
          <a:endParaRPr lang="ru-RU"/>
        </a:p>
      </dgm:t>
    </dgm:pt>
    <dgm:pt modelId="{830E04EE-5D40-461D-A39D-41A91818A01A}">
      <dgm:prSet phldrT="[Текст]" custT="1"/>
      <dgm:spPr>
        <a:xfrm>
          <a:off x="2575512" y="947519"/>
          <a:ext cx="966461" cy="795101"/>
        </a:xfrm>
      </dgm:spPr>
      <dgm:t>
        <a:bodyPr/>
        <a:lstStyle/>
        <a:p>
          <a:r>
            <a:rPr lang="ru-RU" sz="900" b="1">
              <a:latin typeface="Calibri"/>
              <a:ea typeface="+mn-ea"/>
              <a:cs typeface="+mn-cs"/>
            </a:rPr>
            <a:t>Податок на майно - 231,8 млн.грн</a:t>
          </a:r>
        </a:p>
      </dgm:t>
    </dgm:pt>
    <dgm:pt modelId="{90A9338D-725D-439F-858F-E50A31DCE9FF}" type="parTrans" cxnId="{B7F2545D-A4FF-4790-B846-FA3F19E7C25C}">
      <dgm:prSet/>
      <dgm:spPr/>
      <dgm:t>
        <a:bodyPr/>
        <a:lstStyle/>
        <a:p>
          <a:endParaRPr lang="ru-RU"/>
        </a:p>
      </dgm:t>
    </dgm:pt>
    <dgm:pt modelId="{117F441B-150A-4B46-85C5-3ED025860B95}" type="sibTrans" cxnId="{B7F2545D-A4FF-4790-B846-FA3F19E7C25C}">
      <dgm:prSet/>
      <dgm:spPr/>
      <dgm:t>
        <a:bodyPr/>
        <a:lstStyle/>
        <a:p>
          <a:endParaRPr lang="ru-RU"/>
        </a:p>
      </dgm:t>
    </dgm:pt>
    <dgm:pt modelId="{A109F111-32E5-449A-9D58-8A205ECEA5BA}">
      <dgm:prSet phldrT="[Текст]" custT="1"/>
      <dgm:spPr>
        <a:xfrm>
          <a:off x="539738" y="574126"/>
          <a:ext cx="1688175" cy="604276"/>
        </a:xfrm>
      </dgm:spPr>
      <dgm:t>
        <a:bodyPr/>
        <a:lstStyle/>
        <a:p>
          <a:r>
            <a:rPr lang="ru-RU" sz="900" b="1">
              <a:latin typeface="Calibri"/>
              <a:ea typeface="+mn-ea"/>
              <a:cs typeface="+mn-cs"/>
            </a:rPr>
            <a:t>Плата за землю - </a:t>
          </a:r>
        </a:p>
        <a:p>
          <a:r>
            <a:rPr lang="ru-RU" sz="900" b="1">
              <a:latin typeface="Calibri"/>
              <a:ea typeface="+mn-ea"/>
              <a:cs typeface="+mn-cs"/>
            </a:rPr>
            <a:t>184,0 млн.грн.(79,4%)</a:t>
          </a:r>
        </a:p>
      </dgm:t>
    </dgm:pt>
    <dgm:pt modelId="{88056E42-DB48-4141-8365-BA7A5DCD7A54}" type="parTrans" cxnId="{062B14EF-C9C1-4868-959F-2CBD6D4DFA80}">
      <dgm:prSet/>
      <dgm:spPr>
        <a:xfrm rot="11738208">
          <a:off x="1361718" y="923970"/>
          <a:ext cx="1194694" cy="226603"/>
        </a:xfrm>
      </dgm:spPr>
      <dgm:t>
        <a:bodyPr/>
        <a:lstStyle/>
        <a:p>
          <a:endParaRPr lang="ru-RU"/>
        </a:p>
      </dgm:t>
    </dgm:pt>
    <dgm:pt modelId="{38669F91-80EA-4603-9B7C-C10D00CCB0A5}" type="sibTrans" cxnId="{062B14EF-C9C1-4868-959F-2CBD6D4DFA80}">
      <dgm:prSet/>
      <dgm:spPr/>
      <dgm:t>
        <a:bodyPr/>
        <a:lstStyle/>
        <a:p>
          <a:endParaRPr lang="ru-RU"/>
        </a:p>
      </dgm:t>
    </dgm:pt>
    <dgm:pt modelId="{5170ABF7-2937-4C55-AB32-CF4ADCD1302C}">
      <dgm:prSet phldrT="[Текст]" custT="1"/>
      <dgm:spPr>
        <a:xfrm>
          <a:off x="2363522" y="454"/>
          <a:ext cx="1390440" cy="604276"/>
        </a:xfrm>
      </dgm:spPr>
      <dgm:t>
        <a:bodyPr/>
        <a:lstStyle/>
        <a:p>
          <a:r>
            <a:rPr lang="ru-RU" sz="900" b="1">
              <a:latin typeface="Calibri"/>
              <a:ea typeface="+mn-ea"/>
              <a:cs typeface="+mn-cs"/>
            </a:rPr>
            <a:t>Податок на нерухоме майно, відмінне від земельної ділянки - </a:t>
          </a:r>
        </a:p>
        <a:p>
          <a:r>
            <a:rPr lang="ru-RU" sz="900" b="1">
              <a:latin typeface="Calibri"/>
              <a:ea typeface="+mn-ea"/>
              <a:cs typeface="+mn-cs"/>
            </a:rPr>
            <a:t>47,5 млн.грн (20,5%)</a:t>
          </a:r>
        </a:p>
      </dgm:t>
    </dgm:pt>
    <dgm:pt modelId="{85CD10AA-4229-42C6-83E0-9CD3603ACB2D}" type="parTrans" cxnId="{7CBDBFD8-4E7B-4526-9C7F-76CA34D8CACE}">
      <dgm:prSet/>
      <dgm:spPr>
        <a:xfrm rot="16200000">
          <a:off x="2754015" y="494018"/>
          <a:ext cx="609454" cy="226603"/>
        </a:xfrm>
      </dgm:spPr>
      <dgm:t>
        <a:bodyPr/>
        <a:lstStyle/>
        <a:p>
          <a:endParaRPr lang="ru-RU"/>
        </a:p>
      </dgm:t>
    </dgm:pt>
    <dgm:pt modelId="{B387171D-148A-419A-B30A-4DCC20CCBD58}" type="sibTrans" cxnId="{7CBDBFD8-4E7B-4526-9C7F-76CA34D8CACE}">
      <dgm:prSet/>
      <dgm:spPr/>
      <dgm:t>
        <a:bodyPr/>
        <a:lstStyle/>
        <a:p>
          <a:endParaRPr lang="ru-RU"/>
        </a:p>
      </dgm:t>
    </dgm:pt>
    <dgm:pt modelId="{03AEF854-39D6-4C83-B490-74592781FE4D}">
      <dgm:prSet phldrT="[Текст]" custT="1"/>
      <dgm:spPr>
        <a:xfrm>
          <a:off x="3890769" y="574137"/>
          <a:ext cx="1372153" cy="604276"/>
        </a:xfrm>
      </dgm:spPr>
      <dgm:t>
        <a:bodyPr/>
        <a:lstStyle/>
        <a:p>
          <a:r>
            <a:rPr lang="ru-RU" sz="900" b="1">
              <a:latin typeface="Calibri"/>
              <a:ea typeface="+mn-ea"/>
              <a:cs typeface="+mn-cs"/>
            </a:rPr>
            <a:t>Транспортний податок - </a:t>
          </a:r>
        </a:p>
        <a:p>
          <a:r>
            <a:rPr lang="ru-RU" sz="900" b="1">
              <a:latin typeface="Calibri"/>
              <a:ea typeface="+mn-ea"/>
              <a:cs typeface="+mn-cs"/>
            </a:rPr>
            <a:t>0,3 млн.грн (0,1%)</a:t>
          </a:r>
        </a:p>
      </dgm:t>
    </dgm:pt>
    <dgm:pt modelId="{D3B916F7-775C-4C5A-8C68-E31A9FC94C1C}" type="parTrans" cxnId="{E9C17F6E-92B6-44DB-8B9C-E7599F613B85}">
      <dgm:prSet/>
      <dgm:spPr>
        <a:xfrm rot="20570352">
          <a:off x="3546304" y="918468"/>
          <a:ext cx="1054004" cy="226603"/>
        </a:xfrm>
      </dgm:spPr>
      <dgm:t>
        <a:bodyPr/>
        <a:lstStyle/>
        <a:p>
          <a:endParaRPr lang="ru-RU"/>
        </a:p>
      </dgm:t>
    </dgm:pt>
    <dgm:pt modelId="{3E1475F5-119B-41E9-824E-EC8AFFB4358E}" type="sibTrans" cxnId="{E9C17F6E-92B6-44DB-8B9C-E7599F613B85}">
      <dgm:prSet/>
      <dgm:spPr/>
      <dgm:t>
        <a:bodyPr/>
        <a:lstStyle/>
        <a:p>
          <a:endParaRPr lang="ru-RU"/>
        </a:p>
      </dgm:t>
    </dgm:pt>
    <dgm:pt modelId="{16C3CB36-40A2-49E7-B8B5-C05350AD53B0}" type="pres">
      <dgm:prSet presAssocID="{9FEED996-C6D3-471F-A855-567829AB6B5C}" presName="cycle" presStyleCnt="0">
        <dgm:presLayoutVars>
          <dgm:chMax val="1"/>
          <dgm:dir/>
          <dgm:animLvl val="ctr"/>
          <dgm:resizeHandles val="exact"/>
        </dgm:presLayoutVars>
      </dgm:prSet>
      <dgm:spPr/>
      <dgm:t>
        <a:bodyPr/>
        <a:lstStyle/>
        <a:p>
          <a:endParaRPr lang="ru-RU"/>
        </a:p>
      </dgm:t>
    </dgm:pt>
    <dgm:pt modelId="{F05EDFD5-0A87-40CB-82A7-35C471587D9D}" type="pres">
      <dgm:prSet presAssocID="{830E04EE-5D40-461D-A39D-41A91818A01A}" presName="centerShape" presStyleLbl="node0" presStyleIdx="0" presStyleCnt="1" custScaleX="157524" custLinFactNeighborY="22"/>
      <dgm:spPr>
        <a:prstGeom prst="ellipse">
          <a:avLst/>
        </a:prstGeom>
      </dgm:spPr>
      <dgm:t>
        <a:bodyPr/>
        <a:lstStyle/>
        <a:p>
          <a:endParaRPr lang="ru-RU"/>
        </a:p>
      </dgm:t>
    </dgm:pt>
    <dgm:pt modelId="{E6C15FAA-CAD6-4AB5-8E7F-99A035E8DCB3}" type="pres">
      <dgm:prSet presAssocID="{88056E42-DB48-4141-8365-BA7A5DCD7A54}" presName="parTrans" presStyleLbl="bgSibTrans2D1" presStyleIdx="0" presStyleCnt="3"/>
      <dgm:spPr>
        <a:prstGeom prst="leftArrow">
          <a:avLst>
            <a:gd name="adj1" fmla="val 60000"/>
            <a:gd name="adj2" fmla="val 50000"/>
          </a:avLst>
        </a:prstGeom>
      </dgm:spPr>
      <dgm:t>
        <a:bodyPr/>
        <a:lstStyle/>
        <a:p>
          <a:endParaRPr lang="ru-RU"/>
        </a:p>
      </dgm:t>
    </dgm:pt>
    <dgm:pt modelId="{3859A1A8-9D5E-471D-BCD9-93F5E1E1A64C}" type="pres">
      <dgm:prSet presAssocID="{A109F111-32E5-449A-9D58-8A205ECEA5BA}" presName="node" presStyleLbl="node1" presStyleIdx="0" presStyleCnt="3" custScaleX="223497" custRadScaleRad="166842" custRadScaleInc="-32272">
        <dgm:presLayoutVars>
          <dgm:bulletEnabled val="1"/>
        </dgm:presLayoutVars>
      </dgm:prSet>
      <dgm:spPr>
        <a:prstGeom prst="roundRect">
          <a:avLst>
            <a:gd name="adj" fmla="val 10000"/>
          </a:avLst>
        </a:prstGeom>
      </dgm:spPr>
      <dgm:t>
        <a:bodyPr/>
        <a:lstStyle/>
        <a:p>
          <a:endParaRPr lang="ru-RU"/>
        </a:p>
      </dgm:t>
    </dgm:pt>
    <dgm:pt modelId="{ABE31A5B-5223-4FCE-B22B-1ACB23555A56}" type="pres">
      <dgm:prSet presAssocID="{85CD10AA-4229-42C6-83E0-9CD3603ACB2D}" presName="parTrans" presStyleLbl="bgSibTrans2D1" presStyleIdx="1" presStyleCnt="3"/>
      <dgm:spPr>
        <a:prstGeom prst="leftArrow">
          <a:avLst>
            <a:gd name="adj1" fmla="val 60000"/>
            <a:gd name="adj2" fmla="val 50000"/>
          </a:avLst>
        </a:prstGeom>
      </dgm:spPr>
      <dgm:t>
        <a:bodyPr/>
        <a:lstStyle/>
        <a:p>
          <a:endParaRPr lang="ru-RU"/>
        </a:p>
      </dgm:t>
    </dgm:pt>
    <dgm:pt modelId="{D39DE7B6-3382-43A4-BE07-58B3A212D114}" type="pres">
      <dgm:prSet presAssocID="{5170ABF7-2937-4C55-AB32-CF4ADCD1302C}" presName="node" presStyleLbl="node1" presStyleIdx="1" presStyleCnt="3" custScaleX="184080">
        <dgm:presLayoutVars>
          <dgm:bulletEnabled val="1"/>
        </dgm:presLayoutVars>
      </dgm:prSet>
      <dgm:spPr>
        <a:prstGeom prst="roundRect">
          <a:avLst>
            <a:gd name="adj" fmla="val 10000"/>
          </a:avLst>
        </a:prstGeom>
      </dgm:spPr>
      <dgm:t>
        <a:bodyPr/>
        <a:lstStyle/>
        <a:p>
          <a:endParaRPr lang="ru-RU"/>
        </a:p>
      </dgm:t>
    </dgm:pt>
    <dgm:pt modelId="{EC07947B-1485-415A-A584-E9B5D5FBDDB2}" type="pres">
      <dgm:prSet presAssocID="{D3B916F7-775C-4C5A-8C68-E31A9FC94C1C}" presName="parTrans" presStyleLbl="bgSibTrans2D1" presStyleIdx="2" presStyleCnt="3"/>
      <dgm:spPr>
        <a:prstGeom prst="leftArrow">
          <a:avLst>
            <a:gd name="adj1" fmla="val 60000"/>
            <a:gd name="adj2" fmla="val 50000"/>
          </a:avLst>
        </a:prstGeom>
      </dgm:spPr>
      <dgm:t>
        <a:bodyPr/>
        <a:lstStyle/>
        <a:p>
          <a:endParaRPr lang="ru-RU"/>
        </a:p>
      </dgm:t>
    </dgm:pt>
    <dgm:pt modelId="{B41D3C12-F7D8-404E-8E71-A34B8ACC4EE9}" type="pres">
      <dgm:prSet presAssocID="{03AEF854-39D6-4C83-B490-74592781FE4D}" presName="node" presStyleLbl="node1" presStyleIdx="2" presStyleCnt="3" custScaleX="216334" custRadScaleRad="168195" custRadScaleInc="32487">
        <dgm:presLayoutVars>
          <dgm:bulletEnabled val="1"/>
        </dgm:presLayoutVars>
      </dgm:prSet>
      <dgm:spPr>
        <a:prstGeom prst="roundRect">
          <a:avLst>
            <a:gd name="adj" fmla="val 10000"/>
          </a:avLst>
        </a:prstGeom>
      </dgm:spPr>
      <dgm:t>
        <a:bodyPr/>
        <a:lstStyle/>
        <a:p>
          <a:endParaRPr lang="ru-RU"/>
        </a:p>
      </dgm:t>
    </dgm:pt>
  </dgm:ptLst>
  <dgm:cxnLst>
    <dgm:cxn modelId="{A463A554-E264-43B3-B70B-1FE9A3ED96DD}" type="presOf" srcId="{9FEED996-C6D3-471F-A855-567829AB6B5C}" destId="{16C3CB36-40A2-49E7-B8B5-C05350AD53B0}" srcOrd="0" destOrd="0" presId="urn:microsoft.com/office/officeart/2005/8/layout/radial4"/>
    <dgm:cxn modelId="{0EF5BEBC-0655-4490-AC3C-EB29841D96C1}" type="presOf" srcId="{03AEF854-39D6-4C83-B490-74592781FE4D}" destId="{B41D3C12-F7D8-404E-8E71-A34B8ACC4EE9}" srcOrd="0" destOrd="0" presId="urn:microsoft.com/office/officeart/2005/8/layout/radial4"/>
    <dgm:cxn modelId="{C77654B0-CE46-4DBA-BC19-B6810015A9ED}" type="presOf" srcId="{5170ABF7-2937-4C55-AB32-CF4ADCD1302C}" destId="{D39DE7B6-3382-43A4-BE07-58B3A212D114}" srcOrd="0" destOrd="0" presId="urn:microsoft.com/office/officeart/2005/8/layout/radial4"/>
    <dgm:cxn modelId="{B7F2545D-A4FF-4790-B846-FA3F19E7C25C}" srcId="{9FEED996-C6D3-471F-A855-567829AB6B5C}" destId="{830E04EE-5D40-461D-A39D-41A91818A01A}" srcOrd="0" destOrd="0" parTransId="{90A9338D-725D-439F-858F-E50A31DCE9FF}" sibTransId="{117F441B-150A-4B46-85C5-3ED025860B95}"/>
    <dgm:cxn modelId="{062B14EF-C9C1-4868-959F-2CBD6D4DFA80}" srcId="{830E04EE-5D40-461D-A39D-41A91818A01A}" destId="{A109F111-32E5-449A-9D58-8A205ECEA5BA}" srcOrd="0" destOrd="0" parTransId="{88056E42-DB48-4141-8365-BA7A5DCD7A54}" sibTransId="{38669F91-80EA-4603-9B7C-C10D00CCB0A5}"/>
    <dgm:cxn modelId="{AB33A370-6061-47D9-A8FC-D5036A77AC65}" type="presOf" srcId="{88056E42-DB48-4141-8365-BA7A5DCD7A54}" destId="{E6C15FAA-CAD6-4AB5-8E7F-99A035E8DCB3}" srcOrd="0" destOrd="0" presId="urn:microsoft.com/office/officeart/2005/8/layout/radial4"/>
    <dgm:cxn modelId="{9CE71562-8263-462A-B258-29BA25936D21}" type="presOf" srcId="{830E04EE-5D40-461D-A39D-41A91818A01A}" destId="{F05EDFD5-0A87-40CB-82A7-35C471587D9D}" srcOrd="0" destOrd="0" presId="urn:microsoft.com/office/officeart/2005/8/layout/radial4"/>
    <dgm:cxn modelId="{E9C17F6E-92B6-44DB-8B9C-E7599F613B85}" srcId="{830E04EE-5D40-461D-A39D-41A91818A01A}" destId="{03AEF854-39D6-4C83-B490-74592781FE4D}" srcOrd="2" destOrd="0" parTransId="{D3B916F7-775C-4C5A-8C68-E31A9FC94C1C}" sibTransId="{3E1475F5-119B-41E9-824E-EC8AFFB4358E}"/>
    <dgm:cxn modelId="{8B139D3E-5FDC-4BED-B801-DF893B50CF9E}" type="presOf" srcId="{D3B916F7-775C-4C5A-8C68-E31A9FC94C1C}" destId="{EC07947B-1485-415A-A584-E9B5D5FBDDB2}" srcOrd="0" destOrd="0" presId="urn:microsoft.com/office/officeart/2005/8/layout/radial4"/>
    <dgm:cxn modelId="{5036BA0E-067F-454B-8FF6-358994BA6D10}" type="presOf" srcId="{A109F111-32E5-449A-9D58-8A205ECEA5BA}" destId="{3859A1A8-9D5E-471D-BCD9-93F5E1E1A64C}" srcOrd="0" destOrd="0" presId="urn:microsoft.com/office/officeart/2005/8/layout/radial4"/>
    <dgm:cxn modelId="{7CBDBFD8-4E7B-4526-9C7F-76CA34D8CACE}" srcId="{830E04EE-5D40-461D-A39D-41A91818A01A}" destId="{5170ABF7-2937-4C55-AB32-CF4ADCD1302C}" srcOrd="1" destOrd="0" parTransId="{85CD10AA-4229-42C6-83E0-9CD3603ACB2D}" sibTransId="{B387171D-148A-419A-B30A-4DCC20CCBD58}"/>
    <dgm:cxn modelId="{94F49749-2695-4629-8DF4-5E36081226B0}" type="presOf" srcId="{85CD10AA-4229-42C6-83E0-9CD3603ACB2D}" destId="{ABE31A5B-5223-4FCE-B22B-1ACB23555A56}" srcOrd="0" destOrd="0" presId="urn:microsoft.com/office/officeart/2005/8/layout/radial4"/>
    <dgm:cxn modelId="{B76B5DBF-A3AB-42DA-AC71-EF6AA38FAFA9}" type="presParOf" srcId="{16C3CB36-40A2-49E7-B8B5-C05350AD53B0}" destId="{F05EDFD5-0A87-40CB-82A7-35C471587D9D}" srcOrd="0" destOrd="0" presId="urn:microsoft.com/office/officeart/2005/8/layout/radial4"/>
    <dgm:cxn modelId="{B100C1D5-5149-4812-809E-855C29E702C2}" type="presParOf" srcId="{16C3CB36-40A2-49E7-B8B5-C05350AD53B0}" destId="{E6C15FAA-CAD6-4AB5-8E7F-99A035E8DCB3}" srcOrd="1" destOrd="0" presId="urn:microsoft.com/office/officeart/2005/8/layout/radial4"/>
    <dgm:cxn modelId="{0FC45522-EE98-4E7C-B517-58FF6113B3FC}" type="presParOf" srcId="{16C3CB36-40A2-49E7-B8B5-C05350AD53B0}" destId="{3859A1A8-9D5E-471D-BCD9-93F5E1E1A64C}" srcOrd="2" destOrd="0" presId="urn:microsoft.com/office/officeart/2005/8/layout/radial4"/>
    <dgm:cxn modelId="{DEE923CD-D9F2-4A8A-AC73-B816494732D9}" type="presParOf" srcId="{16C3CB36-40A2-49E7-B8B5-C05350AD53B0}" destId="{ABE31A5B-5223-4FCE-B22B-1ACB23555A56}" srcOrd="3" destOrd="0" presId="urn:microsoft.com/office/officeart/2005/8/layout/radial4"/>
    <dgm:cxn modelId="{533E5F6F-DA0B-4FC4-9444-76EF09B8E9F3}" type="presParOf" srcId="{16C3CB36-40A2-49E7-B8B5-C05350AD53B0}" destId="{D39DE7B6-3382-43A4-BE07-58B3A212D114}" srcOrd="4" destOrd="0" presId="urn:microsoft.com/office/officeart/2005/8/layout/radial4"/>
    <dgm:cxn modelId="{85CB020E-040F-409B-946E-5DE717691002}" type="presParOf" srcId="{16C3CB36-40A2-49E7-B8B5-C05350AD53B0}" destId="{EC07947B-1485-415A-A584-E9B5D5FBDDB2}" srcOrd="5" destOrd="0" presId="urn:microsoft.com/office/officeart/2005/8/layout/radial4"/>
    <dgm:cxn modelId="{0DFCC289-A946-4F15-9B3A-A5A50022C243}" type="presParOf" srcId="{16C3CB36-40A2-49E7-B8B5-C05350AD53B0}" destId="{B41D3C12-F7D8-404E-8E71-A34B8ACC4EE9}" srcOrd="6" destOrd="0" presId="urn:microsoft.com/office/officeart/2005/8/layout/radial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97E450-9358-489C-B1C9-54DED7A1DB57}" type="doc">
      <dgm:prSet loTypeId="urn:microsoft.com/office/officeart/2005/8/layout/vList6" loCatId="list" qsTypeId="urn:microsoft.com/office/officeart/2005/8/quickstyle/3d1" qsCatId="3D" csTypeId="urn:microsoft.com/office/officeart/2005/8/colors/colorful5" csCatId="colorful" phldr="1"/>
      <dgm:spPr/>
      <dgm:t>
        <a:bodyPr/>
        <a:lstStyle/>
        <a:p>
          <a:endParaRPr lang="ru-RU"/>
        </a:p>
      </dgm:t>
    </dgm:pt>
    <dgm:pt modelId="{A9EF2D43-18FC-4846-8C24-149194243E33}">
      <dgm:prSet phldrT="[Текст]" custT="1"/>
      <dgm:spPr>
        <a:xfrm>
          <a:off x="0" y="183"/>
          <a:ext cx="2366010" cy="71646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400">
              <a:solidFill>
                <a:sysClr val="window" lastClr="FFFFFF"/>
              </a:solidFill>
              <a:latin typeface="Calibri"/>
              <a:ea typeface="+mn-ea"/>
              <a:cs typeface="+mn-cs"/>
            </a:rPr>
            <a:t>Податок на нерухоме майно за об</a:t>
          </a:r>
          <a:r>
            <a:rPr lang="en-US" sz="1400">
              <a:solidFill>
                <a:sysClr val="window" lastClr="FFFFFF"/>
              </a:solidFill>
              <a:latin typeface="Calibri"/>
              <a:ea typeface="+mn-ea"/>
              <a:cs typeface="+mn-cs"/>
            </a:rPr>
            <a:t>`</a:t>
          </a:r>
          <a:r>
            <a:rPr lang="uk-UA" sz="1400">
              <a:solidFill>
                <a:sysClr val="window" lastClr="FFFFFF"/>
              </a:solidFill>
              <a:latin typeface="Calibri"/>
              <a:ea typeface="+mn-ea"/>
              <a:cs typeface="+mn-cs"/>
            </a:rPr>
            <a:t>єкти </a:t>
          </a:r>
          <a:r>
            <a:rPr lang="uk-UA" sz="1400" b="1" i="1">
              <a:solidFill>
                <a:sysClr val="window" lastClr="FFFFFF"/>
              </a:solidFill>
              <a:latin typeface="Calibri"/>
              <a:ea typeface="+mn-ea"/>
              <a:cs typeface="+mn-cs"/>
            </a:rPr>
            <a:t>житлової</a:t>
          </a:r>
          <a:r>
            <a:rPr lang="uk-UA" sz="1400">
              <a:solidFill>
                <a:sysClr val="window" lastClr="FFFFFF"/>
              </a:solidFill>
              <a:latin typeface="Calibri"/>
              <a:ea typeface="+mn-ea"/>
              <a:cs typeface="+mn-cs"/>
            </a:rPr>
            <a:t> нерухомості - </a:t>
          </a:r>
          <a:r>
            <a:rPr lang="uk-UA" sz="1600">
              <a:solidFill>
                <a:sysClr val="window" lastClr="FFFFFF"/>
              </a:solidFill>
              <a:latin typeface="Calibri"/>
              <a:ea typeface="+mn-ea"/>
              <a:cs typeface="+mn-cs"/>
            </a:rPr>
            <a:t>9,0 %</a:t>
          </a:r>
          <a:endParaRPr lang="ru-RU" sz="1400">
            <a:solidFill>
              <a:sysClr val="window" lastClr="FFFFFF"/>
            </a:solidFill>
            <a:latin typeface="Calibri"/>
            <a:ea typeface="+mn-ea"/>
            <a:cs typeface="+mn-cs"/>
          </a:endParaRPr>
        </a:p>
      </dgm:t>
    </dgm:pt>
    <dgm:pt modelId="{F25330D6-2B63-4122-AB3A-F85AE3871FB7}" type="parTrans" cxnId="{19FC45A6-03C7-42B2-9DA9-F827E58BB637}">
      <dgm:prSet/>
      <dgm:spPr/>
      <dgm:t>
        <a:bodyPr/>
        <a:lstStyle/>
        <a:p>
          <a:endParaRPr lang="ru-RU"/>
        </a:p>
      </dgm:t>
    </dgm:pt>
    <dgm:pt modelId="{F9622F6C-7101-4C40-A298-A54BD13D349F}" type="sibTrans" cxnId="{19FC45A6-03C7-42B2-9DA9-F827E58BB637}">
      <dgm:prSet/>
      <dgm:spPr/>
      <dgm:t>
        <a:bodyPr/>
        <a:lstStyle/>
        <a:p>
          <a:endParaRPr lang="ru-RU"/>
        </a:p>
      </dgm:t>
    </dgm:pt>
    <dgm:pt modelId="{5E71E7B5-C211-471F-8698-8A015F17D429}">
      <dgm:prSet phldrT="[Текст]"/>
      <dgm:spPr>
        <a:xfrm>
          <a:off x="2366010" y="183"/>
          <a:ext cx="3549015" cy="716467"/>
        </a:xfrm>
        <a:solidFill>
          <a:srgbClr val="4BACC6">
            <a:tint val="40000"/>
            <a:alpha val="90000"/>
            <a:hueOff val="0"/>
            <a:satOff val="0"/>
            <a:lumOff val="0"/>
            <a:alphaOff val="0"/>
          </a:srgbClr>
        </a:solidFill>
        <a:ln w="9525" cap="flat" cmpd="sng" algn="ctr">
          <a:solidFill>
            <a:srgbClr val="4BACC6">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uk-UA" i="1">
              <a:solidFill>
                <a:sysClr val="windowText" lastClr="000000">
                  <a:hueOff val="0"/>
                  <a:satOff val="0"/>
                  <a:lumOff val="0"/>
                  <a:alphaOff val="0"/>
                </a:sysClr>
              </a:solidFill>
              <a:latin typeface="Calibri"/>
              <a:ea typeface="+mn-ea"/>
              <a:cs typeface="+mn-cs"/>
            </a:rPr>
            <a:t>Сплачений юридичними особами - 0,2 %</a:t>
          </a:r>
          <a:endParaRPr lang="ru-RU" i="1">
            <a:solidFill>
              <a:sysClr val="windowText" lastClr="000000">
                <a:hueOff val="0"/>
                <a:satOff val="0"/>
                <a:lumOff val="0"/>
                <a:alphaOff val="0"/>
              </a:sysClr>
            </a:solidFill>
            <a:latin typeface="Calibri"/>
            <a:ea typeface="+mn-ea"/>
            <a:cs typeface="+mn-cs"/>
          </a:endParaRPr>
        </a:p>
      </dgm:t>
    </dgm:pt>
    <dgm:pt modelId="{EEBA06F5-2C3F-452E-A236-815B252D155D}" type="parTrans" cxnId="{83566E37-4746-4996-B516-D892736E24BB}">
      <dgm:prSet/>
      <dgm:spPr/>
      <dgm:t>
        <a:bodyPr/>
        <a:lstStyle/>
        <a:p>
          <a:endParaRPr lang="ru-RU"/>
        </a:p>
      </dgm:t>
    </dgm:pt>
    <dgm:pt modelId="{9229132E-F26D-4167-89F5-3D628CFB2583}" type="sibTrans" cxnId="{83566E37-4746-4996-B516-D892736E24BB}">
      <dgm:prSet/>
      <dgm:spPr/>
      <dgm:t>
        <a:bodyPr/>
        <a:lstStyle/>
        <a:p>
          <a:endParaRPr lang="ru-RU"/>
        </a:p>
      </dgm:t>
    </dgm:pt>
    <dgm:pt modelId="{5946B8C4-FBEF-48DF-A6E2-DBB48C467937}">
      <dgm:prSet phldrT="[Текст]"/>
      <dgm:spPr>
        <a:xfrm>
          <a:off x="2366010" y="183"/>
          <a:ext cx="3549015" cy="716467"/>
        </a:xfrm>
        <a:solidFill>
          <a:srgbClr val="4BACC6">
            <a:tint val="40000"/>
            <a:alpha val="90000"/>
            <a:hueOff val="0"/>
            <a:satOff val="0"/>
            <a:lumOff val="0"/>
            <a:alphaOff val="0"/>
          </a:srgbClr>
        </a:solidFill>
        <a:ln w="9525" cap="flat" cmpd="sng" algn="ctr">
          <a:solidFill>
            <a:srgbClr val="4BACC6">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uk-UA" i="1">
              <a:solidFill>
                <a:sysClr val="windowText" lastClr="000000">
                  <a:hueOff val="0"/>
                  <a:satOff val="0"/>
                  <a:lumOff val="0"/>
                  <a:alphaOff val="0"/>
                </a:sysClr>
              </a:solidFill>
              <a:latin typeface="Calibri"/>
              <a:ea typeface="+mn-ea"/>
              <a:cs typeface="+mn-cs"/>
            </a:rPr>
            <a:t>Сплачений фізичними особами - 8,8 %</a:t>
          </a:r>
          <a:endParaRPr lang="ru-RU" i="1">
            <a:solidFill>
              <a:sysClr val="windowText" lastClr="000000">
                <a:hueOff val="0"/>
                <a:satOff val="0"/>
                <a:lumOff val="0"/>
                <a:alphaOff val="0"/>
              </a:sysClr>
            </a:solidFill>
            <a:latin typeface="Calibri"/>
            <a:ea typeface="+mn-ea"/>
            <a:cs typeface="+mn-cs"/>
          </a:endParaRPr>
        </a:p>
      </dgm:t>
    </dgm:pt>
    <dgm:pt modelId="{F61D9844-10FE-4AAE-A69A-C2B339E2F419}" type="parTrans" cxnId="{D62EA133-8DF8-4DAA-8836-20EE8051623E}">
      <dgm:prSet/>
      <dgm:spPr/>
      <dgm:t>
        <a:bodyPr/>
        <a:lstStyle/>
        <a:p>
          <a:endParaRPr lang="ru-RU"/>
        </a:p>
      </dgm:t>
    </dgm:pt>
    <dgm:pt modelId="{48005C94-6880-4B31-9007-9BD070F2B5A1}" type="sibTrans" cxnId="{D62EA133-8DF8-4DAA-8836-20EE8051623E}">
      <dgm:prSet/>
      <dgm:spPr/>
      <dgm:t>
        <a:bodyPr/>
        <a:lstStyle/>
        <a:p>
          <a:endParaRPr lang="ru-RU"/>
        </a:p>
      </dgm:t>
    </dgm:pt>
    <dgm:pt modelId="{E8F72E8D-7F69-4C58-AC87-D7FB1C6190BD}">
      <dgm:prSet phldrT="[Текст]" custT="1"/>
      <dgm:spPr>
        <a:xfrm>
          <a:off x="0" y="788298"/>
          <a:ext cx="2366010" cy="716467"/>
        </a:xfr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400">
              <a:solidFill>
                <a:sysClr val="window" lastClr="FFFFFF"/>
              </a:solidFill>
              <a:latin typeface="Calibri"/>
              <a:ea typeface="+mn-ea"/>
              <a:cs typeface="+mn-cs"/>
            </a:rPr>
            <a:t>Податок на нерухоме майно за об</a:t>
          </a:r>
          <a:r>
            <a:rPr lang="en-US" sz="1400">
              <a:solidFill>
                <a:sysClr val="window" lastClr="FFFFFF"/>
              </a:solidFill>
              <a:latin typeface="Calibri"/>
              <a:ea typeface="+mn-ea"/>
              <a:cs typeface="+mn-cs"/>
            </a:rPr>
            <a:t>`</a:t>
          </a:r>
          <a:r>
            <a:rPr lang="uk-UA" sz="1400">
              <a:solidFill>
                <a:sysClr val="window" lastClr="FFFFFF"/>
              </a:solidFill>
              <a:latin typeface="Calibri"/>
              <a:ea typeface="+mn-ea"/>
              <a:cs typeface="+mn-cs"/>
            </a:rPr>
            <a:t>єкти </a:t>
          </a:r>
          <a:r>
            <a:rPr lang="uk-UA" sz="1400" b="1" i="1">
              <a:solidFill>
                <a:sysClr val="window" lastClr="FFFFFF"/>
              </a:solidFill>
              <a:latin typeface="Calibri"/>
              <a:ea typeface="+mn-ea"/>
              <a:cs typeface="+mn-cs"/>
            </a:rPr>
            <a:t>нежитлової</a:t>
          </a:r>
          <a:r>
            <a:rPr lang="uk-UA" sz="1400">
              <a:solidFill>
                <a:sysClr val="window" lastClr="FFFFFF"/>
              </a:solidFill>
              <a:latin typeface="Calibri"/>
              <a:ea typeface="+mn-ea"/>
              <a:cs typeface="+mn-cs"/>
            </a:rPr>
            <a:t> нерухомості - </a:t>
          </a:r>
          <a:r>
            <a:rPr lang="uk-UA" sz="1600">
              <a:solidFill>
                <a:sysClr val="window" lastClr="FFFFFF"/>
              </a:solidFill>
              <a:latin typeface="Calibri"/>
              <a:ea typeface="+mn-ea"/>
              <a:cs typeface="+mn-cs"/>
            </a:rPr>
            <a:t>91,0 %</a:t>
          </a:r>
          <a:endParaRPr lang="ru-RU" sz="1400">
            <a:solidFill>
              <a:sysClr val="window" lastClr="FFFFFF"/>
            </a:solidFill>
            <a:latin typeface="Calibri"/>
            <a:ea typeface="+mn-ea"/>
            <a:cs typeface="+mn-cs"/>
          </a:endParaRPr>
        </a:p>
      </dgm:t>
    </dgm:pt>
    <dgm:pt modelId="{A1298077-2E7A-4D11-A496-B30A368E2A6A}" type="parTrans" cxnId="{FCC8DD70-20A9-4970-A0CE-F085C3A28066}">
      <dgm:prSet/>
      <dgm:spPr/>
      <dgm:t>
        <a:bodyPr/>
        <a:lstStyle/>
        <a:p>
          <a:endParaRPr lang="ru-RU"/>
        </a:p>
      </dgm:t>
    </dgm:pt>
    <dgm:pt modelId="{47B7AF26-B315-4C64-BE97-939922773943}" type="sibTrans" cxnId="{FCC8DD70-20A9-4970-A0CE-F085C3A28066}">
      <dgm:prSet/>
      <dgm:spPr/>
      <dgm:t>
        <a:bodyPr/>
        <a:lstStyle/>
        <a:p>
          <a:endParaRPr lang="ru-RU"/>
        </a:p>
      </dgm:t>
    </dgm:pt>
    <dgm:pt modelId="{45C70776-BE34-4F62-AC49-116CD7A851F2}">
      <dgm:prSet phldrT="[Текст]"/>
      <dgm:spPr>
        <a:xfrm>
          <a:off x="2366010" y="788298"/>
          <a:ext cx="3549015" cy="716467"/>
        </a:xfrm>
        <a:solidFill>
          <a:srgbClr val="4BACC6">
            <a:tint val="40000"/>
            <a:alpha val="90000"/>
            <a:hueOff val="-10740482"/>
            <a:satOff val="48253"/>
            <a:lumOff val="3317"/>
            <a:alphaOff val="0"/>
          </a:srgbClr>
        </a:solidFill>
        <a:ln w="9525" cap="flat" cmpd="sng" algn="ctr">
          <a:solidFill>
            <a:srgbClr val="4BACC6">
              <a:tint val="40000"/>
              <a:alpha val="90000"/>
              <a:hueOff val="-10740482"/>
              <a:satOff val="48253"/>
              <a:lumOff val="3317"/>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uk-UA" i="1">
              <a:solidFill>
                <a:sysClr val="windowText" lastClr="000000">
                  <a:hueOff val="0"/>
                  <a:satOff val="0"/>
                  <a:lumOff val="0"/>
                  <a:alphaOff val="0"/>
                </a:sysClr>
              </a:solidFill>
              <a:latin typeface="Calibri"/>
              <a:ea typeface="+mn-ea"/>
              <a:cs typeface="+mn-cs"/>
            </a:rPr>
            <a:t>Сплачений юридичними особами - 60,7 %</a:t>
          </a:r>
          <a:endParaRPr lang="ru-RU" i="1">
            <a:solidFill>
              <a:sysClr val="windowText" lastClr="000000">
                <a:hueOff val="0"/>
                <a:satOff val="0"/>
                <a:lumOff val="0"/>
                <a:alphaOff val="0"/>
              </a:sysClr>
            </a:solidFill>
            <a:latin typeface="Calibri"/>
            <a:ea typeface="+mn-ea"/>
            <a:cs typeface="+mn-cs"/>
          </a:endParaRPr>
        </a:p>
      </dgm:t>
    </dgm:pt>
    <dgm:pt modelId="{B9EADC06-DA24-4766-AE24-FF22AEFD1B63}" type="parTrans" cxnId="{9083C0C5-14B0-46F3-A38A-90FC75E8DBF6}">
      <dgm:prSet/>
      <dgm:spPr/>
      <dgm:t>
        <a:bodyPr/>
        <a:lstStyle/>
        <a:p>
          <a:endParaRPr lang="ru-RU"/>
        </a:p>
      </dgm:t>
    </dgm:pt>
    <dgm:pt modelId="{05093637-4D8C-48B7-B112-F5994504FD80}" type="sibTrans" cxnId="{9083C0C5-14B0-46F3-A38A-90FC75E8DBF6}">
      <dgm:prSet/>
      <dgm:spPr/>
      <dgm:t>
        <a:bodyPr/>
        <a:lstStyle/>
        <a:p>
          <a:endParaRPr lang="ru-RU"/>
        </a:p>
      </dgm:t>
    </dgm:pt>
    <dgm:pt modelId="{852A6E60-B4CF-4778-A294-E6163A1C786F}">
      <dgm:prSet/>
      <dgm:spPr>
        <a:xfrm>
          <a:off x="2366010" y="788298"/>
          <a:ext cx="3549015" cy="716467"/>
        </a:xfrm>
        <a:solidFill>
          <a:srgbClr val="4BACC6">
            <a:tint val="40000"/>
            <a:alpha val="90000"/>
            <a:hueOff val="-10740482"/>
            <a:satOff val="48253"/>
            <a:lumOff val="3317"/>
            <a:alphaOff val="0"/>
          </a:srgbClr>
        </a:solidFill>
        <a:ln w="9525" cap="flat" cmpd="sng" algn="ctr">
          <a:solidFill>
            <a:srgbClr val="4BACC6">
              <a:tint val="40000"/>
              <a:alpha val="90000"/>
              <a:hueOff val="-10740482"/>
              <a:satOff val="48253"/>
              <a:lumOff val="3317"/>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uk-UA" i="1">
              <a:solidFill>
                <a:sysClr val="windowText" lastClr="000000">
                  <a:hueOff val="0"/>
                  <a:satOff val="0"/>
                  <a:lumOff val="0"/>
                  <a:alphaOff val="0"/>
                </a:sysClr>
              </a:solidFill>
              <a:latin typeface="Calibri"/>
              <a:ea typeface="+mn-ea"/>
              <a:cs typeface="+mn-cs"/>
            </a:rPr>
            <a:t>Сплачений фізичними особами - 30,3 %</a:t>
          </a:r>
          <a:endParaRPr lang="ru-RU" i="1">
            <a:solidFill>
              <a:sysClr val="windowText" lastClr="000000">
                <a:hueOff val="0"/>
                <a:satOff val="0"/>
                <a:lumOff val="0"/>
                <a:alphaOff val="0"/>
              </a:sysClr>
            </a:solidFill>
            <a:latin typeface="Calibri"/>
            <a:ea typeface="+mn-ea"/>
            <a:cs typeface="+mn-cs"/>
          </a:endParaRPr>
        </a:p>
      </dgm:t>
    </dgm:pt>
    <dgm:pt modelId="{95A27E41-41C2-452D-B94E-EE84C75962E0}" type="parTrans" cxnId="{AF4A2C3E-727E-4B4A-81BA-352CC070A93A}">
      <dgm:prSet/>
      <dgm:spPr/>
      <dgm:t>
        <a:bodyPr/>
        <a:lstStyle/>
        <a:p>
          <a:endParaRPr lang="ru-RU"/>
        </a:p>
      </dgm:t>
    </dgm:pt>
    <dgm:pt modelId="{7913721D-A15B-4A5D-A427-E5E60745299B}" type="sibTrans" cxnId="{AF4A2C3E-727E-4B4A-81BA-352CC070A93A}">
      <dgm:prSet/>
      <dgm:spPr/>
      <dgm:t>
        <a:bodyPr/>
        <a:lstStyle/>
        <a:p>
          <a:endParaRPr lang="ru-RU"/>
        </a:p>
      </dgm:t>
    </dgm:pt>
    <dgm:pt modelId="{828F7766-83B8-470F-9B2D-16445157756E}" type="pres">
      <dgm:prSet presAssocID="{6E97E450-9358-489C-B1C9-54DED7A1DB57}" presName="Name0" presStyleCnt="0">
        <dgm:presLayoutVars>
          <dgm:dir/>
          <dgm:animLvl val="lvl"/>
          <dgm:resizeHandles/>
        </dgm:presLayoutVars>
      </dgm:prSet>
      <dgm:spPr/>
      <dgm:t>
        <a:bodyPr/>
        <a:lstStyle/>
        <a:p>
          <a:endParaRPr lang="ru-RU"/>
        </a:p>
      </dgm:t>
    </dgm:pt>
    <dgm:pt modelId="{E33FA1BA-B336-4754-A73B-F9F5BCB4F07C}" type="pres">
      <dgm:prSet presAssocID="{A9EF2D43-18FC-4846-8C24-149194243E33}" presName="linNode" presStyleCnt="0"/>
      <dgm:spPr/>
    </dgm:pt>
    <dgm:pt modelId="{587A4F8A-5F61-4EE7-9C88-860853133A5C}" type="pres">
      <dgm:prSet presAssocID="{A9EF2D43-18FC-4846-8C24-149194243E33}" presName="parentShp" presStyleLbl="node1" presStyleIdx="0" presStyleCnt="2">
        <dgm:presLayoutVars>
          <dgm:bulletEnabled val="1"/>
        </dgm:presLayoutVars>
      </dgm:prSet>
      <dgm:spPr>
        <a:prstGeom prst="roundRect">
          <a:avLst/>
        </a:prstGeom>
      </dgm:spPr>
      <dgm:t>
        <a:bodyPr/>
        <a:lstStyle/>
        <a:p>
          <a:endParaRPr lang="ru-RU"/>
        </a:p>
      </dgm:t>
    </dgm:pt>
    <dgm:pt modelId="{C9F9D6F3-8931-47E3-ABD7-67F62CD0AF58}" type="pres">
      <dgm:prSet presAssocID="{A9EF2D43-18FC-4846-8C24-149194243E33}" presName="childShp" presStyleLbl="bgAccFollowNode1" presStyleIdx="0" presStyleCnt="2">
        <dgm:presLayoutVars>
          <dgm:bulletEnabled val="1"/>
        </dgm:presLayoutVars>
      </dgm:prSet>
      <dgm:spPr>
        <a:prstGeom prst="rightArrow">
          <a:avLst>
            <a:gd name="adj1" fmla="val 75000"/>
            <a:gd name="adj2" fmla="val 50000"/>
          </a:avLst>
        </a:prstGeom>
      </dgm:spPr>
      <dgm:t>
        <a:bodyPr/>
        <a:lstStyle/>
        <a:p>
          <a:endParaRPr lang="ru-RU"/>
        </a:p>
      </dgm:t>
    </dgm:pt>
    <dgm:pt modelId="{E86882A0-FB81-4709-AA61-282C68DC25F9}" type="pres">
      <dgm:prSet presAssocID="{F9622F6C-7101-4C40-A298-A54BD13D349F}" presName="spacing" presStyleCnt="0"/>
      <dgm:spPr/>
    </dgm:pt>
    <dgm:pt modelId="{5FF88C8D-2B55-45D8-8411-8EAC354A05EF}" type="pres">
      <dgm:prSet presAssocID="{E8F72E8D-7F69-4C58-AC87-D7FB1C6190BD}" presName="linNode" presStyleCnt="0"/>
      <dgm:spPr/>
    </dgm:pt>
    <dgm:pt modelId="{36EA6635-C449-4928-91B2-38B5E2E2A661}" type="pres">
      <dgm:prSet presAssocID="{E8F72E8D-7F69-4C58-AC87-D7FB1C6190BD}" presName="parentShp" presStyleLbl="node1" presStyleIdx="1" presStyleCnt="2">
        <dgm:presLayoutVars>
          <dgm:bulletEnabled val="1"/>
        </dgm:presLayoutVars>
      </dgm:prSet>
      <dgm:spPr>
        <a:prstGeom prst="roundRect">
          <a:avLst/>
        </a:prstGeom>
      </dgm:spPr>
      <dgm:t>
        <a:bodyPr/>
        <a:lstStyle/>
        <a:p>
          <a:endParaRPr lang="ru-RU"/>
        </a:p>
      </dgm:t>
    </dgm:pt>
    <dgm:pt modelId="{6FDDA541-FCD5-47FD-8C3D-BB0216F99AA7}" type="pres">
      <dgm:prSet presAssocID="{E8F72E8D-7F69-4C58-AC87-D7FB1C6190BD}" presName="childShp" presStyleLbl="bgAccFollowNode1" presStyleIdx="1" presStyleCnt="2">
        <dgm:presLayoutVars>
          <dgm:bulletEnabled val="1"/>
        </dgm:presLayoutVars>
      </dgm:prSet>
      <dgm:spPr>
        <a:prstGeom prst="rightArrow">
          <a:avLst>
            <a:gd name="adj1" fmla="val 75000"/>
            <a:gd name="adj2" fmla="val 50000"/>
          </a:avLst>
        </a:prstGeom>
      </dgm:spPr>
      <dgm:t>
        <a:bodyPr/>
        <a:lstStyle/>
        <a:p>
          <a:endParaRPr lang="ru-RU"/>
        </a:p>
      </dgm:t>
    </dgm:pt>
  </dgm:ptLst>
  <dgm:cxnLst>
    <dgm:cxn modelId="{9083C0C5-14B0-46F3-A38A-90FC75E8DBF6}" srcId="{E8F72E8D-7F69-4C58-AC87-D7FB1C6190BD}" destId="{45C70776-BE34-4F62-AC49-116CD7A851F2}" srcOrd="0" destOrd="0" parTransId="{B9EADC06-DA24-4766-AE24-FF22AEFD1B63}" sibTransId="{05093637-4D8C-48B7-B112-F5994504FD80}"/>
    <dgm:cxn modelId="{FCC8DD70-20A9-4970-A0CE-F085C3A28066}" srcId="{6E97E450-9358-489C-B1C9-54DED7A1DB57}" destId="{E8F72E8D-7F69-4C58-AC87-D7FB1C6190BD}" srcOrd="1" destOrd="0" parTransId="{A1298077-2E7A-4D11-A496-B30A368E2A6A}" sibTransId="{47B7AF26-B315-4C64-BE97-939922773943}"/>
    <dgm:cxn modelId="{D62EA133-8DF8-4DAA-8836-20EE8051623E}" srcId="{A9EF2D43-18FC-4846-8C24-149194243E33}" destId="{5946B8C4-FBEF-48DF-A6E2-DBB48C467937}" srcOrd="1" destOrd="0" parTransId="{F61D9844-10FE-4AAE-A69A-C2B339E2F419}" sibTransId="{48005C94-6880-4B31-9007-9BD070F2B5A1}"/>
    <dgm:cxn modelId="{8E3F2871-8695-4241-8A32-A35A523A7698}" type="presOf" srcId="{45C70776-BE34-4F62-AC49-116CD7A851F2}" destId="{6FDDA541-FCD5-47FD-8C3D-BB0216F99AA7}" srcOrd="0" destOrd="0" presId="urn:microsoft.com/office/officeart/2005/8/layout/vList6"/>
    <dgm:cxn modelId="{63A1DC84-9B0F-4144-85D9-2A0C38868A97}" type="presOf" srcId="{A9EF2D43-18FC-4846-8C24-149194243E33}" destId="{587A4F8A-5F61-4EE7-9C88-860853133A5C}" srcOrd="0" destOrd="0" presId="urn:microsoft.com/office/officeart/2005/8/layout/vList6"/>
    <dgm:cxn modelId="{0B8DC847-3050-48BB-9F93-9CACB3830BD1}" type="presOf" srcId="{852A6E60-B4CF-4778-A294-E6163A1C786F}" destId="{6FDDA541-FCD5-47FD-8C3D-BB0216F99AA7}" srcOrd="0" destOrd="1" presId="urn:microsoft.com/office/officeart/2005/8/layout/vList6"/>
    <dgm:cxn modelId="{19FC45A6-03C7-42B2-9DA9-F827E58BB637}" srcId="{6E97E450-9358-489C-B1C9-54DED7A1DB57}" destId="{A9EF2D43-18FC-4846-8C24-149194243E33}" srcOrd="0" destOrd="0" parTransId="{F25330D6-2B63-4122-AB3A-F85AE3871FB7}" sibTransId="{F9622F6C-7101-4C40-A298-A54BD13D349F}"/>
    <dgm:cxn modelId="{CA72C9FD-1722-49E4-8C37-C7DC14AFCC14}" type="presOf" srcId="{6E97E450-9358-489C-B1C9-54DED7A1DB57}" destId="{828F7766-83B8-470F-9B2D-16445157756E}" srcOrd="0" destOrd="0" presId="urn:microsoft.com/office/officeart/2005/8/layout/vList6"/>
    <dgm:cxn modelId="{A0A6465F-F9B0-466F-B014-B3D8DCAE5E1B}" type="presOf" srcId="{5E71E7B5-C211-471F-8698-8A015F17D429}" destId="{C9F9D6F3-8931-47E3-ABD7-67F62CD0AF58}" srcOrd="0" destOrd="0" presId="urn:microsoft.com/office/officeart/2005/8/layout/vList6"/>
    <dgm:cxn modelId="{F8542096-EF1E-42D6-8D2D-4250FC36154B}" type="presOf" srcId="{5946B8C4-FBEF-48DF-A6E2-DBB48C467937}" destId="{C9F9D6F3-8931-47E3-ABD7-67F62CD0AF58}" srcOrd="0" destOrd="1" presId="urn:microsoft.com/office/officeart/2005/8/layout/vList6"/>
    <dgm:cxn modelId="{9B5554C3-C2ED-4F2D-B253-78C19163AFF5}" type="presOf" srcId="{E8F72E8D-7F69-4C58-AC87-D7FB1C6190BD}" destId="{36EA6635-C449-4928-91B2-38B5E2E2A661}" srcOrd="0" destOrd="0" presId="urn:microsoft.com/office/officeart/2005/8/layout/vList6"/>
    <dgm:cxn modelId="{AF4A2C3E-727E-4B4A-81BA-352CC070A93A}" srcId="{E8F72E8D-7F69-4C58-AC87-D7FB1C6190BD}" destId="{852A6E60-B4CF-4778-A294-E6163A1C786F}" srcOrd="1" destOrd="0" parTransId="{95A27E41-41C2-452D-B94E-EE84C75962E0}" sibTransId="{7913721D-A15B-4A5D-A427-E5E60745299B}"/>
    <dgm:cxn modelId="{83566E37-4746-4996-B516-D892736E24BB}" srcId="{A9EF2D43-18FC-4846-8C24-149194243E33}" destId="{5E71E7B5-C211-471F-8698-8A015F17D429}" srcOrd="0" destOrd="0" parTransId="{EEBA06F5-2C3F-452E-A236-815B252D155D}" sibTransId="{9229132E-F26D-4167-89F5-3D628CFB2583}"/>
    <dgm:cxn modelId="{597D663F-A97B-4F82-93C4-1A9D5FF5A88D}" type="presParOf" srcId="{828F7766-83B8-470F-9B2D-16445157756E}" destId="{E33FA1BA-B336-4754-A73B-F9F5BCB4F07C}" srcOrd="0" destOrd="0" presId="urn:microsoft.com/office/officeart/2005/8/layout/vList6"/>
    <dgm:cxn modelId="{A5BD6538-BB17-4FEC-BB46-2C28017A34FE}" type="presParOf" srcId="{E33FA1BA-B336-4754-A73B-F9F5BCB4F07C}" destId="{587A4F8A-5F61-4EE7-9C88-860853133A5C}" srcOrd="0" destOrd="0" presId="urn:microsoft.com/office/officeart/2005/8/layout/vList6"/>
    <dgm:cxn modelId="{BE7AF351-6F08-45D7-AC86-1C12054F6B05}" type="presParOf" srcId="{E33FA1BA-B336-4754-A73B-F9F5BCB4F07C}" destId="{C9F9D6F3-8931-47E3-ABD7-67F62CD0AF58}" srcOrd="1" destOrd="0" presId="urn:microsoft.com/office/officeart/2005/8/layout/vList6"/>
    <dgm:cxn modelId="{E68726C4-A81D-46DD-B5EE-995E3774BCE2}" type="presParOf" srcId="{828F7766-83B8-470F-9B2D-16445157756E}" destId="{E86882A0-FB81-4709-AA61-282C68DC25F9}" srcOrd="1" destOrd="0" presId="urn:microsoft.com/office/officeart/2005/8/layout/vList6"/>
    <dgm:cxn modelId="{B4498437-9CEE-40CB-9830-CE3220B385EA}" type="presParOf" srcId="{828F7766-83B8-470F-9B2D-16445157756E}" destId="{5FF88C8D-2B55-45D8-8411-8EAC354A05EF}" srcOrd="2" destOrd="0" presId="urn:microsoft.com/office/officeart/2005/8/layout/vList6"/>
    <dgm:cxn modelId="{093E7CC0-9F9F-4A3B-977E-814953B6468C}" type="presParOf" srcId="{5FF88C8D-2B55-45D8-8411-8EAC354A05EF}" destId="{36EA6635-C449-4928-91B2-38B5E2E2A661}" srcOrd="0" destOrd="0" presId="urn:microsoft.com/office/officeart/2005/8/layout/vList6"/>
    <dgm:cxn modelId="{A58D6077-728A-4F05-8FE1-40D941D85111}" type="presParOf" srcId="{5FF88C8D-2B55-45D8-8411-8EAC354A05EF}" destId="{6FDDA541-FCD5-47FD-8C3D-BB0216F99AA7}" srcOrd="1" destOrd="0" presId="urn:microsoft.com/office/officeart/2005/8/layout/vList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6F1C05E-DEB4-4C2B-AFD0-73AD925116FD}" type="doc">
      <dgm:prSet loTypeId="urn:microsoft.com/office/officeart/2005/8/layout/hierarchy3" loCatId="list" qsTypeId="urn:microsoft.com/office/officeart/2005/8/quickstyle/3d3" qsCatId="3D" csTypeId="urn:microsoft.com/office/officeart/2005/8/colors/accent1_2" csCatId="accent1" phldr="1"/>
      <dgm:spPr/>
      <dgm:t>
        <a:bodyPr/>
        <a:lstStyle/>
        <a:p>
          <a:endParaRPr lang="ru-RU"/>
        </a:p>
      </dgm:t>
    </dgm:pt>
    <dgm:pt modelId="{08C3E8F8-40A1-4DE1-A20F-82A879E3A7BE}">
      <dgm:prSet phldrT="[Текст]"/>
      <dgm:spPr>
        <a:xfrm>
          <a:off x="401022" y="0"/>
          <a:ext cx="4278270" cy="370077"/>
        </a:xfrm>
      </dgm:spPr>
      <dgm:t>
        <a:bodyPr/>
        <a:lstStyle/>
        <a:p>
          <a:r>
            <a:rPr lang="uk-UA">
              <a:latin typeface="Calibri"/>
              <a:ea typeface="+mn-ea"/>
              <a:cs typeface="+mn-cs"/>
            </a:rPr>
            <a:t>Єдиний податок  на 2025р.(разом) - 106 500,0 тис.грн</a:t>
          </a:r>
          <a:endParaRPr lang="ru-RU">
            <a:latin typeface="Calibri"/>
            <a:ea typeface="+mn-ea"/>
            <a:cs typeface="+mn-cs"/>
          </a:endParaRPr>
        </a:p>
      </dgm:t>
    </dgm:pt>
    <dgm:pt modelId="{3D7C2FF3-8842-4093-A010-08C25F7CC96C}" type="parTrans" cxnId="{38083987-04B4-4F64-AE94-BDE84107C750}">
      <dgm:prSet/>
      <dgm:spPr/>
      <dgm:t>
        <a:bodyPr/>
        <a:lstStyle/>
        <a:p>
          <a:endParaRPr lang="ru-RU"/>
        </a:p>
      </dgm:t>
    </dgm:pt>
    <dgm:pt modelId="{40F4447E-35AB-4F67-A00A-651FBFE5365D}" type="sibTrans" cxnId="{38083987-04B4-4F64-AE94-BDE84107C750}">
      <dgm:prSet/>
      <dgm:spPr/>
      <dgm:t>
        <a:bodyPr/>
        <a:lstStyle/>
        <a:p>
          <a:endParaRPr lang="ru-RU"/>
        </a:p>
      </dgm:t>
    </dgm:pt>
    <dgm:pt modelId="{DEF8A94D-ACEE-4724-B7D8-EBE445A4B047}">
      <dgm:prSet phldrT="[Текст]"/>
      <dgm:spPr>
        <a:xfrm>
          <a:off x="1213984" y="462912"/>
          <a:ext cx="4010886" cy="370077"/>
        </a:xfrm>
      </dgm:spPr>
      <dgm:t>
        <a:bodyPr/>
        <a:lstStyle/>
        <a:p>
          <a:r>
            <a:rPr lang="uk-UA">
              <a:latin typeface="Calibri"/>
              <a:ea typeface="+mn-ea"/>
              <a:cs typeface="+mn-cs"/>
            </a:rPr>
            <a:t>Єдиний податок з юридичних осіб - 15 975,0 тис. грн (15%)</a:t>
          </a:r>
          <a:endParaRPr lang="ru-RU">
            <a:latin typeface="Calibri"/>
            <a:ea typeface="+mn-ea"/>
            <a:cs typeface="+mn-cs"/>
          </a:endParaRPr>
        </a:p>
      </dgm:t>
    </dgm:pt>
    <dgm:pt modelId="{CBEA5CD2-0B20-430B-A909-737F34665A6A}" type="parTrans" cxnId="{5B5D1333-3793-487E-9148-11B290D3A8F4}">
      <dgm:prSet/>
      <dgm:spPr>
        <a:xfrm>
          <a:off x="828849" y="370077"/>
          <a:ext cx="385134" cy="277873"/>
        </a:xfrm>
      </dgm:spPr>
      <dgm:t>
        <a:bodyPr/>
        <a:lstStyle/>
        <a:p>
          <a:endParaRPr lang="ru-RU"/>
        </a:p>
      </dgm:t>
    </dgm:pt>
    <dgm:pt modelId="{791753F5-0160-40E9-8783-86751657DD61}" type="sibTrans" cxnId="{5B5D1333-3793-487E-9148-11B290D3A8F4}">
      <dgm:prSet/>
      <dgm:spPr/>
      <dgm:t>
        <a:bodyPr/>
        <a:lstStyle/>
        <a:p>
          <a:endParaRPr lang="ru-RU"/>
        </a:p>
      </dgm:t>
    </dgm:pt>
    <dgm:pt modelId="{57DBEBD4-CD01-4491-A4D1-06B260F75710}">
      <dgm:prSet phldrT="[Текст]"/>
      <dgm:spPr>
        <a:xfrm>
          <a:off x="1213984" y="925509"/>
          <a:ext cx="3992074" cy="370077"/>
        </a:xfrm>
      </dgm:spPr>
      <dgm:t>
        <a:bodyPr/>
        <a:lstStyle/>
        <a:p>
          <a:r>
            <a:rPr lang="uk-UA">
              <a:latin typeface="Calibri"/>
              <a:ea typeface="+mn-ea"/>
              <a:cs typeface="+mn-cs"/>
            </a:rPr>
            <a:t>Єдиний податок з фізичних осіб - 90 525,0 тис. грн  (85 %)</a:t>
          </a:r>
          <a:endParaRPr lang="ru-RU">
            <a:latin typeface="Calibri"/>
            <a:ea typeface="+mn-ea"/>
            <a:cs typeface="+mn-cs"/>
          </a:endParaRPr>
        </a:p>
      </dgm:t>
    </dgm:pt>
    <dgm:pt modelId="{36B137F9-EC1F-4338-827A-BDF35BD537B2}" type="parTrans" cxnId="{4DB65F37-891F-41C1-9B41-A95411BCA1AC}">
      <dgm:prSet/>
      <dgm:spPr>
        <a:xfrm>
          <a:off x="828849" y="370077"/>
          <a:ext cx="385134" cy="740470"/>
        </a:xfrm>
      </dgm:spPr>
      <dgm:t>
        <a:bodyPr/>
        <a:lstStyle/>
        <a:p>
          <a:endParaRPr lang="ru-RU"/>
        </a:p>
      </dgm:t>
    </dgm:pt>
    <dgm:pt modelId="{33569702-108B-48C6-93BF-4CA795AE274E}" type="sibTrans" cxnId="{4DB65F37-891F-41C1-9B41-A95411BCA1AC}">
      <dgm:prSet/>
      <dgm:spPr/>
      <dgm:t>
        <a:bodyPr/>
        <a:lstStyle/>
        <a:p>
          <a:endParaRPr lang="ru-RU"/>
        </a:p>
      </dgm:t>
    </dgm:pt>
    <dgm:pt modelId="{871EA27C-1471-45E5-BC47-9F5FE08E30E7}" type="pres">
      <dgm:prSet presAssocID="{46F1C05E-DEB4-4C2B-AFD0-73AD925116FD}" presName="diagram" presStyleCnt="0">
        <dgm:presLayoutVars>
          <dgm:chPref val="1"/>
          <dgm:dir/>
          <dgm:animOne val="branch"/>
          <dgm:animLvl val="lvl"/>
          <dgm:resizeHandles/>
        </dgm:presLayoutVars>
      </dgm:prSet>
      <dgm:spPr/>
      <dgm:t>
        <a:bodyPr/>
        <a:lstStyle/>
        <a:p>
          <a:endParaRPr lang="ru-RU"/>
        </a:p>
      </dgm:t>
    </dgm:pt>
    <dgm:pt modelId="{5592632F-992C-44B4-A34D-27127536E224}" type="pres">
      <dgm:prSet presAssocID="{08C3E8F8-40A1-4DE1-A20F-82A879E3A7BE}" presName="root" presStyleCnt="0"/>
      <dgm:spPr/>
    </dgm:pt>
    <dgm:pt modelId="{2B8ECA79-286F-4726-B680-F2E7EA1ACECD}" type="pres">
      <dgm:prSet presAssocID="{08C3E8F8-40A1-4DE1-A20F-82A879E3A7BE}" presName="rootComposite" presStyleCnt="0"/>
      <dgm:spPr/>
    </dgm:pt>
    <dgm:pt modelId="{21FE3CDF-D9CD-418C-A28E-5DBAD10826E3}" type="pres">
      <dgm:prSet presAssocID="{08C3E8F8-40A1-4DE1-A20F-82A879E3A7BE}" presName="rootText" presStyleLbl="node1" presStyleIdx="0" presStyleCnt="1" custScaleX="578023" custLinFactNeighborX="9200" custLinFactNeighborY="2203"/>
      <dgm:spPr>
        <a:prstGeom prst="roundRect">
          <a:avLst>
            <a:gd name="adj" fmla="val 10000"/>
          </a:avLst>
        </a:prstGeom>
      </dgm:spPr>
      <dgm:t>
        <a:bodyPr/>
        <a:lstStyle/>
        <a:p>
          <a:endParaRPr lang="ru-RU"/>
        </a:p>
      </dgm:t>
    </dgm:pt>
    <dgm:pt modelId="{548438B3-753C-4B64-9DB0-221C2D9F2062}" type="pres">
      <dgm:prSet presAssocID="{08C3E8F8-40A1-4DE1-A20F-82A879E3A7BE}" presName="rootConnector" presStyleLbl="node1" presStyleIdx="0" presStyleCnt="1"/>
      <dgm:spPr/>
      <dgm:t>
        <a:bodyPr/>
        <a:lstStyle/>
        <a:p>
          <a:endParaRPr lang="ru-RU"/>
        </a:p>
      </dgm:t>
    </dgm:pt>
    <dgm:pt modelId="{D3873557-A88C-40D9-8799-C2EDEF426A50}" type="pres">
      <dgm:prSet presAssocID="{08C3E8F8-40A1-4DE1-A20F-82A879E3A7BE}" presName="childShape" presStyleCnt="0"/>
      <dgm:spPr/>
    </dgm:pt>
    <dgm:pt modelId="{2E631192-62E7-4AAB-80D6-DB1F82506576}" type="pres">
      <dgm:prSet presAssocID="{CBEA5CD2-0B20-430B-A909-737F34665A6A}" presName="Name13" presStyleLbl="parChTrans1D2" presStyleIdx="0" presStyleCnt="2"/>
      <dgm:spPr>
        <a:custGeom>
          <a:avLst/>
          <a:gdLst/>
          <a:ahLst/>
          <a:cxnLst/>
          <a:rect l="0" t="0" r="0" b="0"/>
          <a:pathLst>
            <a:path>
              <a:moveTo>
                <a:pt x="0" y="0"/>
              </a:moveTo>
              <a:lnTo>
                <a:pt x="0" y="277873"/>
              </a:lnTo>
              <a:lnTo>
                <a:pt x="385134" y="277873"/>
              </a:lnTo>
            </a:path>
          </a:pathLst>
        </a:custGeom>
      </dgm:spPr>
      <dgm:t>
        <a:bodyPr/>
        <a:lstStyle/>
        <a:p>
          <a:endParaRPr lang="ru-RU"/>
        </a:p>
      </dgm:t>
    </dgm:pt>
    <dgm:pt modelId="{A2A32113-9335-4EEF-8DC7-977E90D62823}" type="pres">
      <dgm:prSet presAssocID="{DEF8A94D-ACEE-4724-B7D8-EBE445A4B047}" presName="childText" presStyleLbl="bgAcc1" presStyleIdx="0" presStyleCnt="2" custScaleX="677372">
        <dgm:presLayoutVars>
          <dgm:bulletEnabled val="1"/>
        </dgm:presLayoutVars>
      </dgm:prSet>
      <dgm:spPr>
        <a:prstGeom prst="roundRect">
          <a:avLst>
            <a:gd name="adj" fmla="val 10000"/>
          </a:avLst>
        </a:prstGeom>
      </dgm:spPr>
      <dgm:t>
        <a:bodyPr/>
        <a:lstStyle/>
        <a:p>
          <a:endParaRPr lang="ru-RU"/>
        </a:p>
      </dgm:t>
    </dgm:pt>
    <dgm:pt modelId="{6D8E6ABD-E11D-425A-B07C-EF27F6AFAE61}" type="pres">
      <dgm:prSet presAssocID="{36B137F9-EC1F-4338-827A-BDF35BD537B2}" presName="Name13" presStyleLbl="parChTrans1D2" presStyleIdx="1" presStyleCnt="2"/>
      <dgm:spPr>
        <a:custGeom>
          <a:avLst/>
          <a:gdLst/>
          <a:ahLst/>
          <a:cxnLst/>
          <a:rect l="0" t="0" r="0" b="0"/>
          <a:pathLst>
            <a:path>
              <a:moveTo>
                <a:pt x="0" y="0"/>
              </a:moveTo>
              <a:lnTo>
                <a:pt x="0" y="740470"/>
              </a:lnTo>
              <a:lnTo>
                <a:pt x="385134" y="740470"/>
              </a:lnTo>
            </a:path>
          </a:pathLst>
        </a:custGeom>
      </dgm:spPr>
      <dgm:t>
        <a:bodyPr/>
        <a:lstStyle/>
        <a:p>
          <a:endParaRPr lang="ru-RU"/>
        </a:p>
      </dgm:t>
    </dgm:pt>
    <dgm:pt modelId="{374C567B-34F6-457F-BDC0-6E6C8285277D}" type="pres">
      <dgm:prSet presAssocID="{57DBEBD4-CD01-4491-A4D1-06B260F75710}" presName="childText" presStyleLbl="bgAcc1" presStyleIdx="1" presStyleCnt="2" custScaleX="674195">
        <dgm:presLayoutVars>
          <dgm:bulletEnabled val="1"/>
        </dgm:presLayoutVars>
      </dgm:prSet>
      <dgm:spPr>
        <a:prstGeom prst="roundRect">
          <a:avLst>
            <a:gd name="adj" fmla="val 10000"/>
          </a:avLst>
        </a:prstGeom>
      </dgm:spPr>
      <dgm:t>
        <a:bodyPr/>
        <a:lstStyle/>
        <a:p>
          <a:endParaRPr lang="ru-RU"/>
        </a:p>
      </dgm:t>
    </dgm:pt>
  </dgm:ptLst>
  <dgm:cxnLst>
    <dgm:cxn modelId="{B448E5D4-FA1B-4E7B-A9D6-95D134779C28}" type="presOf" srcId="{36B137F9-EC1F-4338-827A-BDF35BD537B2}" destId="{6D8E6ABD-E11D-425A-B07C-EF27F6AFAE61}" srcOrd="0" destOrd="0" presId="urn:microsoft.com/office/officeart/2005/8/layout/hierarchy3"/>
    <dgm:cxn modelId="{D1EE07AF-AF5F-449B-AF5E-049EED309FD8}" type="presOf" srcId="{08C3E8F8-40A1-4DE1-A20F-82A879E3A7BE}" destId="{548438B3-753C-4B64-9DB0-221C2D9F2062}" srcOrd="1" destOrd="0" presId="urn:microsoft.com/office/officeart/2005/8/layout/hierarchy3"/>
    <dgm:cxn modelId="{C846571A-F045-44CC-9920-FDB065160620}" type="presOf" srcId="{CBEA5CD2-0B20-430B-A909-737F34665A6A}" destId="{2E631192-62E7-4AAB-80D6-DB1F82506576}" srcOrd="0" destOrd="0" presId="urn:microsoft.com/office/officeart/2005/8/layout/hierarchy3"/>
    <dgm:cxn modelId="{38083987-04B4-4F64-AE94-BDE84107C750}" srcId="{46F1C05E-DEB4-4C2B-AFD0-73AD925116FD}" destId="{08C3E8F8-40A1-4DE1-A20F-82A879E3A7BE}" srcOrd="0" destOrd="0" parTransId="{3D7C2FF3-8842-4093-A010-08C25F7CC96C}" sibTransId="{40F4447E-35AB-4F67-A00A-651FBFE5365D}"/>
    <dgm:cxn modelId="{5B5D1333-3793-487E-9148-11B290D3A8F4}" srcId="{08C3E8F8-40A1-4DE1-A20F-82A879E3A7BE}" destId="{DEF8A94D-ACEE-4724-B7D8-EBE445A4B047}" srcOrd="0" destOrd="0" parTransId="{CBEA5CD2-0B20-430B-A909-737F34665A6A}" sibTransId="{791753F5-0160-40E9-8783-86751657DD61}"/>
    <dgm:cxn modelId="{4DB65F37-891F-41C1-9B41-A95411BCA1AC}" srcId="{08C3E8F8-40A1-4DE1-A20F-82A879E3A7BE}" destId="{57DBEBD4-CD01-4491-A4D1-06B260F75710}" srcOrd="1" destOrd="0" parTransId="{36B137F9-EC1F-4338-827A-BDF35BD537B2}" sibTransId="{33569702-108B-48C6-93BF-4CA795AE274E}"/>
    <dgm:cxn modelId="{EBD704E3-EB0B-41AA-8A25-409FE2A3DED8}" type="presOf" srcId="{DEF8A94D-ACEE-4724-B7D8-EBE445A4B047}" destId="{A2A32113-9335-4EEF-8DC7-977E90D62823}" srcOrd="0" destOrd="0" presId="urn:microsoft.com/office/officeart/2005/8/layout/hierarchy3"/>
    <dgm:cxn modelId="{1AF4F894-E836-4C02-86A8-DFBEB5E9D7A1}" type="presOf" srcId="{08C3E8F8-40A1-4DE1-A20F-82A879E3A7BE}" destId="{21FE3CDF-D9CD-418C-A28E-5DBAD10826E3}" srcOrd="0" destOrd="0" presId="urn:microsoft.com/office/officeart/2005/8/layout/hierarchy3"/>
    <dgm:cxn modelId="{79AC9A2F-F24B-4107-8B8A-EC77CB8427F8}" type="presOf" srcId="{46F1C05E-DEB4-4C2B-AFD0-73AD925116FD}" destId="{871EA27C-1471-45E5-BC47-9F5FE08E30E7}" srcOrd="0" destOrd="0" presId="urn:microsoft.com/office/officeart/2005/8/layout/hierarchy3"/>
    <dgm:cxn modelId="{A71261C8-4335-4462-8CD5-B1E07D7D6C7B}" type="presOf" srcId="{57DBEBD4-CD01-4491-A4D1-06B260F75710}" destId="{374C567B-34F6-457F-BDC0-6E6C8285277D}" srcOrd="0" destOrd="0" presId="urn:microsoft.com/office/officeart/2005/8/layout/hierarchy3"/>
    <dgm:cxn modelId="{54FDEE7F-A7A0-44E4-9360-E378761FF56F}" type="presParOf" srcId="{871EA27C-1471-45E5-BC47-9F5FE08E30E7}" destId="{5592632F-992C-44B4-A34D-27127536E224}" srcOrd="0" destOrd="0" presId="urn:microsoft.com/office/officeart/2005/8/layout/hierarchy3"/>
    <dgm:cxn modelId="{7768E0D0-EC5B-4EC5-BE15-AC9E9BA94145}" type="presParOf" srcId="{5592632F-992C-44B4-A34D-27127536E224}" destId="{2B8ECA79-286F-4726-B680-F2E7EA1ACECD}" srcOrd="0" destOrd="0" presId="urn:microsoft.com/office/officeart/2005/8/layout/hierarchy3"/>
    <dgm:cxn modelId="{E9DC8615-3932-4360-9105-46BC5BE9E69B}" type="presParOf" srcId="{2B8ECA79-286F-4726-B680-F2E7EA1ACECD}" destId="{21FE3CDF-D9CD-418C-A28E-5DBAD10826E3}" srcOrd="0" destOrd="0" presId="urn:microsoft.com/office/officeart/2005/8/layout/hierarchy3"/>
    <dgm:cxn modelId="{0C2DBC17-A7D2-4D7E-ABDA-F2FE757749A9}" type="presParOf" srcId="{2B8ECA79-286F-4726-B680-F2E7EA1ACECD}" destId="{548438B3-753C-4B64-9DB0-221C2D9F2062}" srcOrd="1" destOrd="0" presId="urn:microsoft.com/office/officeart/2005/8/layout/hierarchy3"/>
    <dgm:cxn modelId="{05DC4B0C-93B7-4FB5-BC93-A77CACC88564}" type="presParOf" srcId="{5592632F-992C-44B4-A34D-27127536E224}" destId="{D3873557-A88C-40D9-8799-C2EDEF426A50}" srcOrd="1" destOrd="0" presId="urn:microsoft.com/office/officeart/2005/8/layout/hierarchy3"/>
    <dgm:cxn modelId="{B9FB73D3-D2AC-4407-A20C-8C40DA665F77}" type="presParOf" srcId="{D3873557-A88C-40D9-8799-C2EDEF426A50}" destId="{2E631192-62E7-4AAB-80D6-DB1F82506576}" srcOrd="0" destOrd="0" presId="urn:microsoft.com/office/officeart/2005/8/layout/hierarchy3"/>
    <dgm:cxn modelId="{43D7B3ED-350C-4B88-8BA5-835D1DBDD227}" type="presParOf" srcId="{D3873557-A88C-40D9-8799-C2EDEF426A50}" destId="{A2A32113-9335-4EEF-8DC7-977E90D62823}" srcOrd="1" destOrd="0" presId="urn:microsoft.com/office/officeart/2005/8/layout/hierarchy3"/>
    <dgm:cxn modelId="{3B917EC3-95F8-48DE-9FA4-A629BAD17B1C}" type="presParOf" srcId="{D3873557-A88C-40D9-8799-C2EDEF426A50}" destId="{6D8E6ABD-E11D-425A-B07C-EF27F6AFAE61}" srcOrd="2" destOrd="0" presId="urn:microsoft.com/office/officeart/2005/8/layout/hierarchy3"/>
    <dgm:cxn modelId="{99C9A2C9-341A-4483-A565-627D6CE19B6A}" type="presParOf" srcId="{D3873557-A88C-40D9-8799-C2EDEF426A50}" destId="{374C567B-34F6-457F-BDC0-6E6C8285277D}" srcOrd="3" destOrd="0" presId="urn:microsoft.com/office/officeart/2005/8/layout/hierarchy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5EDFD5-0A87-40CB-82A7-35C471587D9D}">
      <dsp:nvSpPr>
        <dsp:cNvPr id="0" name=""/>
        <dsp:cNvSpPr/>
      </dsp:nvSpPr>
      <dsp:spPr>
        <a:xfrm>
          <a:off x="2240017" y="1007106"/>
          <a:ext cx="1330374" cy="844553"/>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Calibri"/>
              <a:ea typeface="+mn-ea"/>
              <a:cs typeface="+mn-cs"/>
            </a:rPr>
            <a:t>Податок на майно - 231,8 млн.грн</a:t>
          </a:r>
        </a:p>
      </dsp:txBody>
      <dsp:txXfrm>
        <a:off x="2434846" y="1130788"/>
        <a:ext cx="940716" cy="597189"/>
      </dsp:txXfrm>
    </dsp:sp>
    <dsp:sp modelId="{E6C15FAA-CAD6-4AB5-8E7F-99A035E8DCB3}">
      <dsp:nvSpPr>
        <dsp:cNvPr id="0" name=""/>
        <dsp:cNvSpPr/>
      </dsp:nvSpPr>
      <dsp:spPr>
        <a:xfrm rot="11738823">
          <a:off x="1104091" y="965528"/>
          <a:ext cx="1149409" cy="240697"/>
        </a:xfrm>
        <a:prstGeom prst="leftArrow">
          <a:avLst>
            <a:gd name="adj1" fmla="val 600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859A1A8-9D5E-471D-BCD9-93F5E1E1A64C}">
      <dsp:nvSpPr>
        <dsp:cNvPr id="0" name=""/>
        <dsp:cNvSpPr/>
      </dsp:nvSpPr>
      <dsp:spPr>
        <a:xfrm>
          <a:off x="228802" y="609943"/>
          <a:ext cx="1793174" cy="641860"/>
        </a:xfrm>
        <a:prstGeom prst="roundRect">
          <a:avLst>
            <a:gd name="adj" fmla="val 1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ru-RU" sz="900" b="1" kern="1200">
              <a:latin typeface="Calibri"/>
              <a:ea typeface="+mn-ea"/>
              <a:cs typeface="+mn-cs"/>
            </a:rPr>
            <a:t>Плата за землю - </a:t>
          </a:r>
        </a:p>
        <a:p>
          <a:pPr lvl="0" algn="ctr" defTabSz="400050">
            <a:lnSpc>
              <a:spcPct val="90000"/>
            </a:lnSpc>
            <a:spcBef>
              <a:spcPct val="0"/>
            </a:spcBef>
            <a:spcAft>
              <a:spcPct val="35000"/>
            </a:spcAft>
          </a:pPr>
          <a:r>
            <a:rPr lang="ru-RU" sz="900" b="1" kern="1200">
              <a:latin typeface="Calibri"/>
              <a:ea typeface="+mn-ea"/>
              <a:cs typeface="+mn-cs"/>
            </a:rPr>
            <a:t>184,0 млн.грн.(79,4%)</a:t>
          </a:r>
        </a:p>
      </dsp:txBody>
      <dsp:txXfrm>
        <a:off x="247601" y="628742"/>
        <a:ext cx="1755576" cy="604262"/>
      </dsp:txXfrm>
    </dsp:sp>
    <dsp:sp modelId="{ABE31A5B-5223-4FCE-B22B-1ACB23555A56}">
      <dsp:nvSpPr>
        <dsp:cNvPr id="0" name=""/>
        <dsp:cNvSpPr/>
      </dsp:nvSpPr>
      <dsp:spPr>
        <a:xfrm rot="16200000">
          <a:off x="2581149" y="524980"/>
          <a:ext cx="648111" cy="240697"/>
        </a:xfrm>
        <a:prstGeom prst="leftArrow">
          <a:avLst>
            <a:gd name="adj1" fmla="val 60000"/>
            <a:gd name="adj2" fmla="val 5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D39DE7B6-3382-43A4-BE07-58B3A212D114}">
      <dsp:nvSpPr>
        <dsp:cNvPr id="0" name=""/>
        <dsp:cNvSpPr/>
      </dsp:nvSpPr>
      <dsp:spPr>
        <a:xfrm>
          <a:off x="2166744" y="343"/>
          <a:ext cx="1476921" cy="641860"/>
        </a:xfrm>
        <a:prstGeom prst="roundRect">
          <a:avLst>
            <a:gd name="adj" fmla="val 1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ru-RU" sz="900" b="1" kern="1200">
              <a:latin typeface="Calibri"/>
              <a:ea typeface="+mn-ea"/>
              <a:cs typeface="+mn-cs"/>
            </a:rPr>
            <a:t>Податок на нерухоме майно, відмінне від земельної ділянки - </a:t>
          </a:r>
        </a:p>
        <a:p>
          <a:pPr lvl="0" algn="ctr" defTabSz="400050">
            <a:lnSpc>
              <a:spcPct val="90000"/>
            </a:lnSpc>
            <a:spcBef>
              <a:spcPct val="0"/>
            </a:spcBef>
            <a:spcAft>
              <a:spcPct val="35000"/>
            </a:spcAft>
          </a:pPr>
          <a:r>
            <a:rPr lang="ru-RU" sz="900" b="1" kern="1200">
              <a:latin typeface="Calibri"/>
              <a:ea typeface="+mn-ea"/>
              <a:cs typeface="+mn-cs"/>
            </a:rPr>
            <a:t>47,5 млн.грн (20,5%)</a:t>
          </a:r>
        </a:p>
      </dsp:txBody>
      <dsp:txXfrm>
        <a:off x="2185543" y="19142"/>
        <a:ext cx="1439323" cy="604262"/>
      </dsp:txXfrm>
    </dsp:sp>
    <dsp:sp modelId="{EC07947B-1485-415A-A584-E9B5D5FBDDB2}">
      <dsp:nvSpPr>
        <dsp:cNvPr id="0" name=""/>
        <dsp:cNvSpPr/>
      </dsp:nvSpPr>
      <dsp:spPr>
        <a:xfrm rot="20668922">
          <a:off x="3558673" y="966115"/>
          <a:ext cx="1163106" cy="240697"/>
        </a:xfrm>
        <a:prstGeom prst="leftArrow">
          <a:avLst>
            <a:gd name="adj1" fmla="val 600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41D3C12-F7D8-404E-8E71-A34B8ACC4EE9}">
      <dsp:nvSpPr>
        <dsp:cNvPr id="0" name=""/>
        <dsp:cNvSpPr/>
      </dsp:nvSpPr>
      <dsp:spPr>
        <a:xfrm>
          <a:off x="3832728" y="609944"/>
          <a:ext cx="1735703" cy="641860"/>
        </a:xfrm>
        <a:prstGeom prst="roundRect">
          <a:avLst>
            <a:gd name="adj" fmla="val 1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ru-RU" sz="900" b="1" kern="1200">
              <a:latin typeface="Calibri"/>
              <a:ea typeface="+mn-ea"/>
              <a:cs typeface="+mn-cs"/>
            </a:rPr>
            <a:t>Транспортний податок - </a:t>
          </a:r>
        </a:p>
        <a:p>
          <a:pPr lvl="0" algn="ctr" defTabSz="400050">
            <a:lnSpc>
              <a:spcPct val="90000"/>
            </a:lnSpc>
            <a:spcBef>
              <a:spcPct val="0"/>
            </a:spcBef>
            <a:spcAft>
              <a:spcPct val="35000"/>
            </a:spcAft>
          </a:pPr>
          <a:r>
            <a:rPr lang="ru-RU" sz="900" b="1" kern="1200">
              <a:latin typeface="Calibri"/>
              <a:ea typeface="+mn-ea"/>
              <a:cs typeface="+mn-cs"/>
            </a:rPr>
            <a:t>0,3 млн.грн (0,1%)</a:t>
          </a:r>
        </a:p>
      </dsp:txBody>
      <dsp:txXfrm>
        <a:off x="3851527" y="628743"/>
        <a:ext cx="1698105" cy="604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F9D6F3-8931-47E3-ABD7-67F62CD0AF58}">
      <dsp:nvSpPr>
        <dsp:cNvPr id="0" name=""/>
        <dsp:cNvSpPr/>
      </dsp:nvSpPr>
      <dsp:spPr>
        <a:xfrm>
          <a:off x="2499360" y="183"/>
          <a:ext cx="3749040" cy="716467"/>
        </a:xfrm>
        <a:prstGeom prst="rightArrow">
          <a:avLst>
            <a:gd name="adj1" fmla="val 75000"/>
            <a:gd name="adj2" fmla="val 50000"/>
          </a:avLst>
        </a:prstGeom>
        <a:solidFill>
          <a:srgbClr val="4BACC6">
            <a:tint val="40000"/>
            <a:alpha val="90000"/>
            <a:hueOff val="0"/>
            <a:satOff val="0"/>
            <a:lumOff val="0"/>
            <a:alphaOff val="0"/>
          </a:srgbClr>
        </a:solidFill>
        <a:ln w="9525" cap="flat" cmpd="sng" algn="ctr">
          <a:solidFill>
            <a:srgbClr val="4BACC6">
              <a:tint val="40000"/>
              <a:alpha val="9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uk-UA" sz="1400" i="1" kern="1200">
              <a:solidFill>
                <a:sysClr val="windowText" lastClr="000000">
                  <a:hueOff val="0"/>
                  <a:satOff val="0"/>
                  <a:lumOff val="0"/>
                  <a:alphaOff val="0"/>
                </a:sysClr>
              </a:solidFill>
              <a:latin typeface="Calibri"/>
              <a:ea typeface="+mn-ea"/>
              <a:cs typeface="+mn-cs"/>
            </a:rPr>
            <a:t>Сплачений юридичними особами - 0,2 %</a:t>
          </a:r>
          <a:endParaRPr lang="ru-RU" sz="1400" i="1" kern="1200">
            <a:solidFill>
              <a:sysClr val="windowText" lastClr="000000">
                <a:hueOff val="0"/>
                <a:satOff val="0"/>
                <a:lumOff val="0"/>
                <a:alphaOff val="0"/>
              </a:sysClr>
            </a:solidFill>
            <a:latin typeface="Calibri"/>
            <a:ea typeface="+mn-ea"/>
            <a:cs typeface="+mn-cs"/>
          </a:endParaRPr>
        </a:p>
        <a:p>
          <a:pPr marL="114300" lvl="1" indent="-114300" algn="l" defTabSz="622300">
            <a:lnSpc>
              <a:spcPct val="90000"/>
            </a:lnSpc>
            <a:spcBef>
              <a:spcPct val="0"/>
            </a:spcBef>
            <a:spcAft>
              <a:spcPct val="15000"/>
            </a:spcAft>
            <a:buChar char="••"/>
          </a:pPr>
          <a:r>
            <a:rPr lang="uk-UA" sz="1400" i="1" kern="1200">
              <a:solidFill>
                <a:sysClr val="windowText" lastClr="000000">
                  <a:hueOff val="0"/>
                  <a:satOff val="0"/>
                  <a:lumOff val="0"/>
                  <a:alphaOff val="0"/>
                </a:sysClr>
              </a:solidFill>
              <a:latin typeface="Calibri"/>
              <a:ea typeface="+mn-ea"/>
              <a:cs typeface="+mn-cs"/>
            </a:rPr>
            <a:t>Сплачений фізичними особами - 8,8 %</a:t>
          </a:r>
          <a:endParaRPr lang="ru-RU" sz="1400" i="1" kern="1200">
            <a:solidFill>
              <a:sysClr val="windowText" lastClr="000000">
                <a:hueOff val="0"/>
                <a:satOff val="0"/>
                <a:lumOff val="0"/>
                <a:alphaOff val="0"/>
              </a:sysClr>
            </a:solidFill>
            <a:latin typeface="Calibri"/>
            <a:ea typeface="+mn-ea"/>
            <a:cs typeface="+mn-cs"/>
          </a:endParaRPr>
        </a:p>
      </dsp:txBody>
      <dsp:txXfrm>
        <a:off x="2499360" y="89741"/>
        <a:ext cx="3480365" cy="537351"/>
      </dsp:txXfrm>
    </dsp:sp>
    <dsp:sp modelId="{587A4F8A-5F61-4EE7-9C88-860853133A5C}">
      <dsp:nvSpPr>
        <dsp:cNvPr id="0" name=""/>
        <dsp:cNvSpPr/>
      </dsp:nvSpPr>
      <dsp:spPr>
        <a:xfrm>
          <a:off x="0" y="183"/>
          <a:ext cx="2499360" cy="716467"/>
        </a:xfrm>
        <a:prstGeom prst="round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Податок на нерухоме майно за об</a:t>
          </a:r>
          <a:r>
            <a:rPr lang="en-US" sz="1400" kern="1200">
              <a:solidFill>
                <a:sysClr val="window" lastClr="FFFFFF"/>
              </a:solidFill>
              <a:latin typeface="Calibri"/>
              <a:ea typeface="+mn-ea"/>
              <a:cs typeface="+mn-cs"/>
            </a:rPr>
            <a:t>`</a:t>
          </a:r>
          <a:r>
            <a:rPr lang="uk-UA" sz="1400" kern="1200">
              <a:solidFill>
                <a:sysClr val="window" lastClr="FFFFFF"/>
              </a:solidFill>
              <a:latin typeface="Calibri"/>
              <a:ea typeface="+mn-ea"/>
              <a:cs typeface="+mn-cs"/>
            </a:rPr>
            <a:t>єкти </a:t>
          </a:r>
          <a:r>
            <a:rPr lang="uk-UA" sz="1400" b="1" i="1" kern="1200">
              <a:solidFill>
                <a:sysClr val="window" lastClr="FFFFFF"/>
              </a:solidFill>
              <a:latin typeface="Calibri"/>
              <a:ea typeface="+mn-ea"/>
              <a:cs typeface="+mn-cs"/>
            </a:rPr>
            <a:t>житлової</a:t>
          </a:r>
          <a:r>
            <a:rPr lang="uk-UA" sz="1400" kern="1200">
              <a:solidFill>
                <a:sysClr val="window" lastClr="FFFFFF"/>
              </a:solidFill>
              <a:latin typeface="Calibri"/>
              <a:ea typeface="+mn-ea"/>
              <a:cs typeface="+mn-cs"/>
            </a:rPr>
            <a:t> нерухомості - </a:t>
          </a:r>
          <a:r>
            <a:rPr lang="uk-UA" sz="1600" kern="1200">
              <a:solidFill>
                <a:sysClr val="window" lastClr="FFFFFF"/>
              </a:solidFill>
              <a:latin typeface="Calibri"/>
              <a:ea typeface="+mn-ea"/>
              <a:cs typeface="+mn-cs"/>
            </a:rPr>
            <a:t>9,0 %</a:t>
          </a:r>
          <a:endParaRPr lang="ru-RU" sz="1400" kern="1200">
            <a:solidFill>
              <a:sysClr val="window" lastClr="FFFFFF"/>
            </a:solidFill>
            <a:latin typeface="Calibri"/>
            <a:ea typeface="+mn-ea"/>
            <a:cs typeface="+mn-cs"/>
          </a:endParaRPr>
        </a:p>
      </dsp:txBody>
      <dsp:txXfrm>
        <a:off x="34975" y="35158"/>
        <a:ext cx="2429410" cy="646517"/>
      </dsp:txXfrm>
    </dsp:sp>
    <dsp:sp modelId="{6FDDA541-FCD5-47FD-8C3D-BB0216F99AA7}">
      <dsp:nvSpPr>
        <dsp:cNvPr id="0" name=""/>
        <dsp:cNvSpPr/>
      </dsp:nvSpPr>
      <dsp:spPr>
        <a:xfrm>
          <a:off x="2499360" y="788298"/>
          <a:ext cx="3749040" cy="716467"/>
        </a:xfrm>
        <a:prstGeom prst="rightArrow">
          <a:avLst>
            <a:gd name="adj1" fmla="val 75000"/>
            <a:gd name="adj2" fmla="val 50000"/>
          </a:avLst>
        </a:prstGeom>
        <a:solidFill>
          <a:srgbClr val="4BACC6">
            <a:tint val="40000"/>
            <a:alpha val="90000"/>
            <a:hueOff val="-10740482"/>
            <a:satOff val="48253"/>
            <a:lumOff val="3317"/>
            <a:alphaOff val="0"/>
          </a:srgbClr>
        </a:solidFill>
        <a:ln w="9525" cap="flat" cmpd="sng" algn="ctr">
          <a:solidFill>
            <a:srgbClr val="4BACC6">
              <a:tint val="40000"/>
              <a:alpha val="90000"/>
              <a:hueOff val="-10740482"/>
              <a:satOff val="48253"/>
              <a:lumOff val="3317"/>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890" tIns="8890" rIns="8890" bIns="8890" numCol="1" spcCol="1270" anchor="t" anchorCtr="0">
          <a:noAutofit/>
        </a:bodyPr>
        <a:lstStyle/>
        <a:p>
          <a:pPr marL="114300" lvl="1" indent="-114300" algn="l" defTabSz="622300">
            <a:lnSpc>
              <a:spcPct val="90000"/>
            </a:lnSpc>
            <a:spcBef>
              <a:spcPct val="0"/>
            </a:spcBef>
            <a:spcAft>
              <a:spcPct val="15000"/>
            </a:spcAft>
            <a:buChar char="••"/>
          </a:pPr>
          <a:r>
            <a:rPr lang="uk-UA" sz="1400" i="1" kern="1200">
              <a:solidFill>
                <a:sysClr val="windowText" lastClr="000000">
                  <a:hueOff val="0"/>
                  <a:satOff val="0"/>
                  <a:lumOff val="0"/>
                  <a:alphaOff val="0"/>
                </a:sysClr>
              </a:solidFill>
              <a:latin typeface="Calibri"/>
              <a:ea typeface="+mn-ea"/>
              <a:cs typeface="+mn-cs"/>
            </a:rPr>
            <a:t>Сплачений юридичними особами - 60,7 %</a:t>
          </a:r>
          <a:endParaRPr lang="ru-RU" sz="1400" i="1" kern="1200">
            <a:solidFill>
              <a:sysClr val="windowText" lastClr="000000">
                <a:hueOff val="0"/>
                <a:satOff val="0"/>
                <a:lumOff val="0"/>
                <a:alphaOff val="0"/>
              </a:sysClr>
            </a:solidFill>
            <a:latin typeface="Calibri"/>
            <a:ea typeface="+mn-ea"/>
            <a:cs typeface="+mn-cs"/>
          </a:endParaRPr>
        </a:p>
        <a:p>
          <a:pPr marL="114300" lvl="1" indent="-114300" algn="l" defTabSz="622300">
            <a:lnSpc>
              <a:spcPct val="90000"/>
            </a:lnSpc>
            <a:spcBef>
              <a:spcPct val="0"/>
            </a:spcBef>
            <a:spcAft>
              <a:spcPct val="15000"/>
            </a:spcAft>
            <a:buChar char="••"/>
          </a:pPr>
          <a:r>
            <a:rPr lang="uk-UA" sz="1400" i="1" kern="1200">
              <a:solidFill>
                <a:sysClr val="windowText" lastClr="000000">
                  <a:hueOff val="0"/>
                  <a:satOff val="0"/>
                  <a:lumOff val="0"/>
                  <a:alphaOff val="0"/>
                </a:sysClr>
              </a:solidFill>
              <a:latin typeface="Calibri"/>
              <a:ea typeface="+mn-ea"/>
              <a:cs typeface="+mn-cs"/>
            </a:rPr>
            <a:t>Сплачений фізичними особами - 30,3 %</a:t>
          </a:r>
          <a:endParaRPr lang="ru-RU" sz="1400" i="1" kern="1200">
            <a:solidFill>
              <a:sysClr val="windowText" lastClr="000000">
                <a:hueOff val="0"/>
                <a:satOff val="0"/>
                <a:lumOff val="0"/>
                <a:alphaOff val="0"/>
              </a:sysClr>
            </a:solidFill>
            <a:latin typeface="Calibri"/>
            <a:ea typeface="+mn-ea"/>
            <a:cs typeface="+mn-cs"/>
          </a:endParaRPr>
        </a:p>
      </dsp:txBody>
      <dsp:txXfrm>
        <a:off x="2499360" y="877856"/>
        <a:ext cx="3480365" cy="537351"/>
      </dsp:txXfrm>
    </dsp:sp>
    <dsp:sp modelId="{36EA6635-C449-4928-91B2-38B5E2E2A661}">
      <dsp:nvSpPr>
        <dsp:cNvPr id="0" name=""/>
        <dsp:cNvSpPr/>
      </dsp:nvSpPr>
      <dsp:spPr>
        <a:xfrm>
          <a:off x="0" y="788298"/>
          <a:ext cx="2499360" cy="716467"/>
        </a:xfrm>
        <a:prstGeom prst="roundRect">
          <a:avLst/>
        </a:prstGeo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Податок на нерухоме майно за об</a:t>
          </a:r>
          <a:r>
            <a:rPr lang="en-US" sz="1400" kern="1200">
              <a:solidFill>
                <a:sysClr val="window" lastClr="FFFFFF"/>
              </a:solidFill>
              <a:latin typeface="Calibri"/>
              <a:ea typeface="+mn-ea"/>
              <a:cs typeface="+mn-cs"/>
            </a:rPr>
            <a:t>`</a:t>
          </a:r>
          <a:r>
            <a:rPr lang="uk-UA" sz="1400" kern="1200">
              <a:solidFill>
                <a:sysClr val="window" lastClr="FFFFFF"/>
              </a:solidFill>
              <a:latin typeface="Calibri"/>
              <a:ea typeface="+mn-ea"/>
              <a:cs typeface="+mn-cs"/>
            </a:rPr>
            <a:t>єкти </a:t>
          </a:r>
          <a:r>
            <a:rPr lang="uk-UA" sz="1400" b="1" i="1" kern="1200">
              <a:solidFill>
                <a:sysClr val="window" lastClr="FFFFFF"/>
              </a:solidFill>
              <a:latin typeface="Calibri"/>
              <a:ea typeface="+mn-ea"/>
              <a:cs typeface="+mn-cs"/>
            </a:rPr>
            <a:t>нежитлової</a:t>
          </a:r>
          <a:r>
            <a:rPr lang="uk-UA" sz="1400" kern="1200">
              <a:solidFill>
                <a:sysClr val="window" lastClr="FFFFFF"/>
              </a:solidFill>
              <a:latin typeface="Calibri"/>
              <a:ea typeface="+mn-ea"/>
              <a:cs typeface="+mn-cs"/>
            </a:rPr>
            <a:t> нерухомості - </a:t>
          </a:r>
          <a:r>
            <a:rPr lang="uk-UA" sz="1600" kern="1200">
              <a:solidFill>
                <a:sysClr val="window" lastClr="FFFFFF"/>
              </a:solidFill>
              <a:latin typeface="Calibri"/>
              <a:ea typeface="+mn-ea"/>
              <a:cs typeface="+mn-cs"/>
            </a:rPr>
            <a:t>91,0 %</a:t>
          </a:r>
          <a:endParaRPr lang="ru-RU" sz="1400" kern="1200">
            <a:solidFill>
              <a:sysClr val="window" lastClr="FFFFFF"/>
            </a:solidFill>
            <a:latin typeface="Calibri"/>
            <a:ea typeface="+mn-ea"/>
            <a:cs typeface="+mn-cs"/>
          </a:endParaRPr>
        </a:p>
      </dsp:txBody>
      <dsp:txXfrm>
        <a:off x="34975" y="823273"/>
        <a:ext cx="2429410" cy="6465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FE3CDF-D9CD-418C-A28E-5DBAD10826E3}">
      <dsp:nvSpPr>
        <dsp:cNvPr id="0" name=""/>
        <dsp:cNvSpPr/>
      </dsp:nvSpPr>
      <dsp:spPr>
        <a:xfrm>
          <a:off x="426424" y="8467"/>
          <a:ext cx="4278270" cy="370077"/>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uk-UA" sz="1400" kern="1200">
              <a:latin typeface="Calibri"/>
              <a:ea typeface="+mn-ea"/>
              <a:cs typeface="+mn-cs"/>
            </a:rPr>
            <a:t>Єдиний податок  на 2025р.(разом) - 106 500,0 тис.грн</a:t>
          </a:r>
          <a:endParaRPr lang="ru-RU" sz="1400" kern="1200">
            <a:latin typeface="Calibri"/>
            <a:ea typeface="+mn-ea"/>
            <a:cs typeface="+mn-cs"/>
          </a:endParaRPr>
        </a:p>
      </dsp:txBody>
      <dsp:txXfrm>
        <a:off x="437263" y="19306"/>
        <a:ext cx="4256592" cy="348399"/>
      </dsp:txXfrm>
    </dsp:sp>
    <dsp:sp modelId="{2E631192-62E7-4AAB-80D6-DB1F82506576}">
      <dsp:nvSpPr>
        <dsp:cNvPr id="0" name=""/>
        <dsp:cNvSpPr/>
      </dsp:nvSpPr>
      <dsp:spPr>
        <a:xfrm>
          <a:off x="854251" y="378545"/>
          <a:ext cx="359732" cy="269405"/>
        </a:xfrm>
        <a:custGeom>
          <a:avLst/>
          <a:gdLst/>
          <a:ahLst/>
          <a:cxnLst/>
          <a:rect l="0" t="0" r="0" b="0"/>
          <a:pathLst>
            <a:path>
              <a:moveTo>
                <a:pt x="0" y="0"/>
              </a:moveTo>
              <a:lnTo>
                <a:pt x="0" y="277873"/>
              </a:lnTo>
              <a:lnTo>
                <a:pt x="385134" y="27787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2A32113-9335-4EEF-8DC7-977E90D62823}">
      <dsp:nvSpPr>
        <dsp:cNvPr id="0" name=""/>
        <dsp:cNvSpPr/>
      </dsp:nvSpPr>
      <dsp:spPr>
        <a:xfrm>
          <a:off x="1213984" y="462912"/>
          <a:ext cx="4010886" cy="37007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uk-UA" sz="1200" kern="1200">
              <a:latin typeface="Calibri"/>
              <a:ea typeface="+mn-ea"/>
              <a:cs typeface="+mn-cs"/>
            </a:rPr>
            <a:t>Єдиний податок з юридичних осіб - 15 975,0 тис. грн (15%)</a:t>
          </a:r>
          <a:endParaRPr lang="ru-RU" sz="1200" kern="1200">
            <a:latin typeface="Calibri"/>
            <a:ea typeface="+mn-ea"/>
            <a:cs typeface="+mn-cs"/>
          </a:endParaRPr>
        </a:p>
      </dsp:txBody>
      <dsp:txXfrm>
        <a:off x="1224823" y="473751"/>
        <a:ext cx="3989208" cy="348399"/>
      </dsp:txXfrm>
    </dsp:sp>
    <dsp:sp modelId="{6D8E6ABD-E11D-425A-B07C-EF27F6AFAE61}">
      <dsp:nvSpPr>
        <dsp:cNvPr id="0" name=""/>
        <dsp:cNvSpPr/>
      </dsp:nvSpPr>
      <dsp:spPr>
        <a:xfrm>
          <a:off x="854251" y="378545"/>
          <a:ext cx="359732" cy="732002"/>
        </a:xfrm>
        <a:custGeom>
          <a:avLst/>
          <a:gdLst/>
          <a:ahLst/>
          <a:cxnLst/>
          <a:rect l="0" t="0" r="0" b="0"/>
          <a:pathLst>
            <a:path>
              <a:moveTo>
                <a:pt x="0" y="0"/>
              </a:moveTo>
              <a:lnTo>
                <a:pt x="0" y="740470"/>
              </a:lnTo>
              <a:lnTo>
                <a:pt x="385134" y="740470"/>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74C567B-34F6-457F-BDC0-6E6C8285277D}">
      <dsp:nvSpPr>
        <dsp:cNvPr id="0" name=""/>
        <dsp:cNvSpPr/>
      </dsp:nvSpPr>
      <dsp:spPr>
        <a:xfrm>
          <a:off x="1213984" y="925509"/>
          <a:ext cx="3992074" cy="37007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uk-UA" sz="1200" kern="1200">
              <a:latin typeface="Calibri"/>
              <a:ea typeface="+mn-ea"/>
              <a:cs typeface="+mn-cs"/>
            </a:rPr>
            <a:t>Єдиний податок з фізичних осіб - 90 525,0 тис. грн  (85 %)</a:t>
          </a:r>
          <a:endParaRPr lang="ru-RU" sz="1200" kern="1200">
            <a:latin typeface="Calibri"/>
            <a:ea typeface="+mn-ea"/>
            <a:cs typeface="+mn-cs"/>
          </a:endParaRPr>
        </a:p>
      </dsp:txBody>
      <dsp:txXfrm>
        <a:off x="1224823" y="936348"/>
        <a:ext cx="3970396" cy="3483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0.5279</cdr:x>
      <cdr:y>0.39177</cdr:y>
    </cdr:from>
    <cdr:to>
      <cdr:x>0.67502</cdr:x>
      <cdr:y>0.68054</cdr:y>
    </cdr:to>
    <cdr:sp macro="" textlink="">
      <cdr:nvSpPr>
        <cdr:cNvPr id="3" name="Надпись 2"/>
        <cdr:cNvSpPr txBox="1"/>
      </cdr:nvSpPr>
      <cdr:spPr>
        <a:xfrm xmlns:a="http://schemas.openxmlformats.org/drawingml/2006/main">
          <a:off x="3284220" y="131826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0.51124</cdr:x>
      <cdr:y>0.37998</cdr:y>
    </cdr:from>
    <cdr:to>
      <cdr:x>0.65836</cdr:x>
      <cdr:y>0.66775</cdr:y>
    </cdr:to>
    <cdr:sp macro="" textlink="">
      <cdr:nvSpPr>
        <cdr:cNvPr id="4" name="Надпись 3"/>
        <cdr:cNvSpPr txBox="1"/>
      </cdr:nvSpPr>
      <cdr:spPr>
        <a:xfrm xmlns:a="http://schemas.openxmlformats.org/drawingml/2006/main">
          <a:off x="3177540" y="128016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0.44081</cdr:x>
      <cdr:y>0.33247</cdr:y>
    </cdr:from>
    <cdr:to>
      <cdr:x>0.6463</cdr:x>
      <cdr:y>0.48593</cdr:y>
    </cdr:to>
    <cdr:sp macro="" textlink="">
      <cdr:nvSpPr>
        <cdr:cNvPr id="5" name="Надпись 4"/>
        <cdr:cNvSpPr txBox="1"/>
      </cdr:nvSpPr>
      <cdr:spPr>
        <a:xfrm xmlns:a="http://schemas.openxmlformats.org/drawingml/2006/main" rot="20219374">
          <a:off x="2898027" y="1159727"/>
          <a:ext cx="1352488" cy="5154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solidFill>
                <a:schemeClr val="accent6">
                  <a:lumMod val="50000"/>
                </a:schemeClr>
              </a:solidFill>
            </a:rPr>
            <a:t>+ 24,6 млн грн;</a:t>
          </a:r>
        </a:p>
        <a:p xmlns:a="http://schemas.openxmlformats.org/drawingml/2006/main">
          <a:pPr algn="ctr"/>
          <a:r>
            <a:rPr lang="ru-RU" sz="1100" b="1" baseline="0">
              <a:solidFill>
                <a:schemeClr val="accent6">
                  <a:lumMod val="50000"/>
                </a:schemeClr>
              </a:solidFill>
            </a:rPr>
            <a:t>2,8 </a:t>
          </a:r>
          <a:r>
            <a:rPr lang="ru-RU" sz="1100" b="1">
              <a:solidFill>
                <a:schemeClr val="accent6">
                  <a:lumMod val="50000"/>
                </a:schemeClr>
              </a:solidFill>
            </a:rPr>
            <a:t>%</a:t>
          </a:r>
        </a:p>
      </cdr:txBody>
    </cdr:sp>
  </cdr:relSizeAnchor>
  <cdr:relSizeAnchor xmlns:cdr="http://schemas.openxmlformats.org/drawingml/2006/chartDrawing">
    <cdr:from>
      <cdr:x>0.45773</cdr:x>
      <cdr:y>0.40248</cdr:y>
    </cdr:from>
    <cdr:to>
      <cdr:x>0.61696</cdr:x>
      <cdr:y>0.53617</cdr:y>
    </cdr:to>
    <cdr:cxnSp macro="">
      <cdr:nvCxnSpPr>
        <cdr:cNvPr id="8" name="Пряма зі стрілкою 7"/>
        <cdr:cNvCxnSpPr/>
      </cdr:nvCxnSpPr>
      <cdr:spPr>
        <a:xfrm xmlns:a="http://schemas.openxmlformats.org/drawingml/2006/main" flipV="1">
          <a:off x="3011015" y="1397290"/>
          <a:ext cx="1048016" cy="4495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0.xml><?xml version="1.0" encoding="utf-8"?>
<c:userShapes xmlns:c="http://schemas.openxmlformats.org/drawingml/2006/chart">
  <cdr:relSizeAnchor xmlns:cdr="http://schemas.openxmlformats.org/drawingml/2006/chartDrawing">
    <cdr:from>
      <cdr:x>0.26364</cdr:x>
      <cdr:y>0.2059</cdr:y>
    </cdr:from>
    <cdr:to>
      <cdr:x>0.36651</cdr:x>
      <cdr:y>0.30963</cdr:y>
    </cdr:to>
    <cdr:sp macro="" textlink="">
      <cdr:nvSpPr>
        <cdr:cNvPr id="2" name="TextBox 1"/>
        <cdr:cNvSpPr txBox="1"/>
      </cdr:nvSpPr>
      <cdr:spPr>
        <a:xfrm xmlns:a="http://schemas.openxmlformats.org/drawingml/2006/main">
          <a:off x="1489129" y="449121"/>
          <a:ext cx="581043" cy="2262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200" b="1">
            <a:solidFill>
              <a:srgbClr val="FF0000"/>
            </a:solidFill>
          </a:endParaRPr>
        </a:p>
      </cdr:txBody>
    </cdr:sp>
  </cdr:relSizeAnchor>
  <cdr:relSizeAnchor xmlns:cdr="http://schemas.openxmlformats.org/drawingml/2006/chartDrawing">
    <cdr:from>
      <cdr:x>0.46906</cdr:x>
      <cdr:y>0.21076</cdr:y>
    </cdr:from>
    <cdr:to>
      <cdr:x>0.55843</cdr:x>
      <cdr:y>0.32819</cdr:y>
    </cdr:to>
    <cdr:sp macro="" textlink="">
      <cdr:nvSpPr>
        <cdr:cNvPr id="4" name="TextBox 1"/>
        <cdr:cNvSpPr txBox="1"/>
      </cdr:nvSpPr>
      <cdr:spPr>
        <a:xfrm xmlns:a="http://schemas.openxmlformats.org/drawingml/2006/main">
          <a:off x="2649376" y="459721"/>
          <a:ext cx="504791" cy="2561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b="1">
            <a:solidFill>
              <a:srgbClr val="FF0000"/>
            </a:solidFill>
          </a:endParaRPr>
        </a:p>
      </cdr:txBody>
    </cdr:sp>
  </cdr:relSizeAnchor>
  <cdr:relSizeAnchor xmlns:cdr="http://schemas.openxmlformats.org/drawingml/2006/chartDrawing">
    <cdr:from>
      <cdr:x>0.63476</cdr:x>
      <cdr:y>0.30777</cdr:y>
    </cdr:from>
    <cdr:to>
      <cdr:x>0.73594</cdr:x>
      <cdr:y>0.40444</cdr:y>
    </cdr:to>
    <cdr:sp macro="" textlink="">
      <cdr:nvSpPr>
        <cdr:cNvPr id="8" name="TextBox 7"/>
        <cdr:cNvSpPr txBox="1"/>
      </cdr:nvSpPr>
      <cdr:spPr>
        <a:xfrm xmlns:a="http://schemas.openxmlformats.org/drawingml/2006/main">
          <a:off x="3585338" y="671316"/>
          <a:ext cx="571497" cy="2108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solidFill>
                <a:srgbClr val="FF0000"/>
              </a:solidFill>
            </a:rPr>
            <a:t>   </a:t>
          </a:r>
        </a:p>
      </cdr:txBody>
    </cdr:sp>
  </cdr:relSizeAnchor>
</c:userShapes>
</file>

<file path=word/drawings/drawing11.xml><?xml version="1.0" encoding="utf-8"?>
<c:userShapes xmlns:c="http://schemas.openxmlformats.org/drawingml/2006/chart">
  <cdr:relSizeAnchor xmlns:cdr="http://schemas.openxmlformats.org/drawingml/2006/chartDrawing">
    <cdr:from>
      <cdr:x>0.43393</cdr:x>
      <cdr:y>0.18031</cdr:y>
    </cdr:from>
    <cdr:to>
      <cdr:x>0.60536</cdr:x>
      <cdr:y>0.29915</cdr:y>
    </cdr:to>
    <cdr:sp macro="" textlink="">
      <cdr:nvSpPr>
        <cdr:cNvPr id="2" name="TextBox 1"/>
        <cdr:cNvSpPr txBox="1"/>
      </cdr:nvSpPr>
      <cdr:spPr>
        <a:xfrm xmlns:a="http://schemas.openxmlformats.org/drawingml/2006/main">
          <a:off x="2556102" y="661434"/>
          <a:ext cx="1009823" cy="4359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200" b="1">
            <a:latin typeface="Times New Roman" pitchFamily="18" charset="0"/>
            <a:cs typeface="Times New Roman" pitchFamily="18" charset="0"/>
          </a:endParaRPr>
        </a:p>
        <a:p xmlns:a="http://schemas.openxmlformats.org/drawingml/2006/main">
          <a:endParaRPr lang="ru-RU" sz="12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0.7365</cdr:x>
      <cdr:y>0.53762</cdr:y>
    </cdr:from>
    <cdr:to>
      <cdr:x>0.8862</cdr:x>
      <cdr:y>0.53762</cdr:y>
    </cdr:to>
    <cdr:cxnSp macro="">
      <cdr:nvCxnSpPr>
        <cdr:cNvPr id="4" name="Пряма зі стрілкою 3"/>
        <cdr:cNvCxnSpPr/>
      </cdr:nvCxnSpPr>
      <cdr:spPr>
        <a:xfrm xmlns:a="http://schemas.openxmlformats.org/drawingml/2006/main">
          <a:off x="4433583" y="1961609"/>
          <a:ext cx="901164" cy="0"/>
        </a:xfrm>
        <a:prstGeom xmlns:a="http://schemas.openxmlformats.org/drawingml/2006/main" prst="straightConnector1">
          <a:avLst/>
        </a:prstGeom>
        <a:ln xmlns:a="http://schemas.openxmlformats.org/drawingml/2006/main">
          <a:gradFill>
            <a:gsLst>
              <a:gs pos="0">
                <a:schemeClr val="accent4">
                  <a:lumMod val="5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tailEnd type="triangle"/>
        </a:ln>
      </cdr:spPr>
      <cdr:style>
        <a:lnRef xmlns:a="http://schemas.openxmlformats.org/drawingml/2006/main" idx="3">
          <a:schemeClr val="accent6"/>
        </a:lnRef>
        <a:fillRef xmlns:a="http://schemas.openxmlformats.org/drawingml/2006/main" idx="0">
          <a:schemeClr val="accent6"/>
        </a:fillRef>
        <a:effectRef xmlns:a="http://schemas.openxmlformats.org/drawingml/2006/main" idx="2">
          <a:schemeClr val="accent6"/>
        </a:effectRef>
        <a:fontRef xmlns:a="http://schemas.openxmlformats.org/drawingml/2006/main" idx="minor">
          <a:schemeClr val="tx1"/>
        </a:fontRef>
      </cdr:style>
    </cdr:cxnSp>
  </cdr:relSizeAnchor>
  <cdr:relSizeAnchor xmlns:cdr="http://schemas.openxmlformats.org/drawingml/2006/chartDrawing">
    <cdr:from>
      <cdr:x>0.74963</cdr:x>
      <cdr:y>0.55865</cdr:y>
    </cdr:from>
    <cdr:to>
      <cdr:x>0.88291</cdr:x>
      <cdr:y>0.65795</cdr:y>
    </cdr:to>
    <cdr:sp macro="" textlink="">
      <cdr:nvSpPr>
        <cdr:cNvPr id="6" name="Овал 5"/>
        <cdr:cNvSpPr/>
      </cdr:nvSpPr>
      <cdr:spPr>
        <a:xfrm xmlns:a="http://schemas.openxmlformats.org/drawingml/2006/main">
          <a:off x="4512628" y="2038340"/>
          <a:ext cx="802319" cy="362317"/>
        </a:xfrm>
        <a:prstGeom xmlns:a="http://schemas.openxmlformats.org/drawingml/2006/main" prst="ellipse">
          <a:avLst/>
        </a:prstGeom>
      </cdr:spPr>
      <cdr:style>
        <a:lnRef xmlns:a="http://schemas.openxmlformats.org/drawingml/2006/main" idx="1">
          <a:schemeClr val="dk1"/>
        </a:lnRef>
        <a:fillRef xmlns:a="http://schemas.openxmlformats.org/drawingml/2006/main" idx="1001">
          <a:schemeClr val="lt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just"/>
          <a:r>
            <a:rPr lang="ru-RU" sz="800" b="1"/>
            <a:t>   92,0 </a:t>
          </a:r>
          <a:r>
            <a:rPr lang="ru-RU" sz="800"/>
            <a:t>%</a:t>
          </a:r>
        </a:p>
      </cdr:txBody>
    </cdr:sp>
  </cdr:relSizeAnchor>
  <cdr:relSizeAnchor xmlns:cdr="http://schemas.openxmlformats.org/drawingml/2006/chartDrawing">
    <cdr:from>
      <cdr:x>0.72376</cdr:x>
      <cdr:y>0.38571</cdr:y>
    </cdr:from>
    <cdr:to>
      <cdr:x>0.91773</cdr:x>
      <cdr:y>0.48028</cdr:y>
    </cdr:to>
    <cdr:sp macro="" textlink="">
      <cdr:nvSpPr>
        <cdr:cNvPr id="7" name="Овал 6"/>
        <cdr:cNvSpPr/>
      </cdr:nvSpPr>
      <cdr:spPr>
        <a:xfrm xmlns:a="http://schemas.openxmlformats.org/drawingml/2006/main">
          <a:off x="4356877" y="1407342"/>
          <a:ext cx="1167660" cy="345059"/>
        </a:xfrm>
        <a:prstGeom xmlns:a="http://schemas.openxmlformats.org/drawingml/2006/main" prst="ellipse">
          <a:avLst/>
        </a:prstGeom>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001">
          <a:schemeClr val="l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800" b="1" baseline="0">
              <a:solidFill>
                <a:schemeClr val="tx1"/>
              </a:solidFill>
            </a:rPr>
            <a:t>-  101 274,1</a:t>
          </a:r>
          <a:endParaRPr lang="ru-RU" sz="800" b="1"/>
        </a:p>
      </cdr:txBody>
    </cdr:sp>
  </cdr:relSizeAnchor>
</c:userShapes>
</file>

<file path=word/drawings/drawing3.xml><?xml version="1.0" encoding="utf-8"?>
<c:userShapes xmlns:c="http://schemas.openxmlformats.org/drawingml/2006/chart">
  <cdr:relSizeAnchor xmlns:cdr="http://schemas.openxmlformats.org/drawingml/2006/chartDrawing">
    <cdr:from>
      <cdr:x>0.01122</cdr:x>
      <cdr:y>0.67021</cdr:y>
    </cdr:from>
    <cdr:to>
      <cdr:x>0.35417</cdr:x>
      <cdr:y>0.99462</cdr:y>
    </cdr:to>
    <cdr:sp macro="" textlink="">
      <cdr:nvSpPr>
        <cdr:cNvPr id="12" name="Прямоугольная выноска 11"/>
        <cdr:cNvSpPr/>
      </cdr:nvSpPr>
      <cdr:spPr>
        <a:xfrm xmlns:a="http://schemas.openxmlformats.org/drawingml/2006/main">
          <a:off x="66644" y="1899804"/>
          <a:ext cx="2037051" cy="919596"/>
        </a:xfrm>
        <a:prstGeom xmlns:a="http://schemas.openxmlformats.org/drawingml/2006/main" prst="wedgeRectCallout">
          <a:avLst>
            <a:gd name="adj1" fmla="val -19428"/>
            <a:gd name="adj2" fmla="val -71546"/>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900">
              <a:solidFill>
                <a:sysClr val="windowText" lastClr="000000"/>
              </a:solidFill>
              <a:latin typeface="Times New Roman" pitchFamily="18" charset="0"/>
              <a:cs typeface="Times New Roman" pitchFamily="18" charset="0"/>
            </a:rPr>
            <a:t>в т.ч. :</a:t>
          </a:r>
        </a:p>
        <a:p xmlns:a="http://schemas.openxmlformats.org/drawingml/2006/main">
          <a:r>
            <a:rPr lang="ru-RU" sz="900">
              <a:solidFill>
                <a:sysClr val="windowText" lastClr="000000"/>
              </a:solidFill>
              <a:latin typeface="Times New Roman" pitchFamily="18" charset="0"/>
              <a:cs typeface="Times New Roman" pitchFamily="18" charset="0"/>
            </a:rPr>
            <a:t>-  плата за землю - 184,0</a:t>
          </a:r>
          <a:r>
            <a:rPr lang="ru-RU" sz="900" baseline="0">
              <a:solidFill>
                <a:sysClr val="windowText" lastClr="000000"/>
              </a:solidFill>
              <a:latin typeface="Times New Roman" pitchFamily="18" charset="0"/>
              <a:cs typeface="Times New Roman" pitchFamily="18" charset="0"/>
            </a:rPr>
            <a:t> </a:t>
          </a:r>
          <a:r>
            <a:rPr lang="ru-RU" sz="900">
              <a:solidFill>
                <a:sysClr val="windowText" lastClr="000000"/>
              </a:solidFill>
              <a:latin typeface="Times New Roman" pitchFamily="18" charset="0"/>
              <a:cs typeface="Times New Roman" pitchFamily="18" charset="0"/>
            </a:rPr>
            <a:t>млн грн;</a:t>
          </a:r>
        </a:p>
        <a:p xmlns:a="http://schemas.openxmlformats.org/drawingml/2006/main">
          <a:r>
            <a:rPr lang="ru-RU" sz="900">
              <a:solidFill>
                <a:sysClr val="windowText" lastClr="000000"/>
              </a:solidFill>
              <a:latin typeface="Times New Roman" pitchFamily="18" charset="0"/>
              <a:cs typeface="Times New Roman" pitchFamily="18" charset="0"/>
            </a:rPr>
            <a:t>- податок на нерухоме майно, відмінне від земельної</a:t>
          </a:r>
          <a:r>
            <a:rPr lang="ru-RU" sz="900" baseline="0">
              <a:solidFill>
                <a:sysClr val="windowText" lastClr="000000"/>
              </a:solidFill>
              <a:latin typeface="Times New Roman" pitchFamily="18" charset="0"/>
              <a:cs typeface="Times New Roman" pitchFamily="18" charset="0"/>
            </a:rPr>
            <a:t> ділянки</a:t>
          </a:r>
          <a:r>
            <a:rPr lang="ru-RU" sz="900">
              <a:solidFill>
                <a:sysClr val="windowText" lastClr="000000"/>
              </a:solidFill>
              <a:latin typeface="Times New Roman" pitchFamily="18" charset="0"/>
              <a:cs typeface="Times New Roman" pitchFamily="18" charset="0"/>
            </a:rPr>
            <a:t> -     47,5 млн</a:t>
          </a:r>
          <a:r>
            <a:rPr lang="ru-RU" sz="900" baseline="0">
              <a:solidFill>
                <a:sysClr val="windowText" lastClr="000000"/>
              </a:solidFill>
              <a:latin typeface="Times New Roman" pitchFamily="18" charset="0"/>
              <a:cs typeface="Times New Roman" pitchFamily="18" charset="0"/>
            </a:rPr>
            <a:t> </a:t>
          </a:r>
          <a:r>
            <a:rPr lang="ru-RU" sz="900">
              <a:solidFill>
                <a:sysClr val="windowText" lastClr="000000"/>
              </a:solidFill>
              <a:latin typeface="Times New Roman" pitchFamily="18" charset="0"/>
              <a:cs typeface="Times New Roman" pitchFamily="18" charset="0"/>
            </a:rPr>
            <a:t>грн;</a:t>
          </a:r>
        </a:p>
        <a:p xmlns:a="http://schemas.openxmlformats.org/drawingml/2006/main">
          <a:r>
            <a:rPr lang="ru-RU" sz="900">
              <a:solidFill>
                <a:sysClr val="windowText" lastClr="000000"/>
              </a:solidFill>
              <a:latin typeface="Times New Roman" pitchFamily="18" charset="0"/>
              <a:cs typeface="Times New Roman" pitchFamily="18" charset="0"/>
            </a:rPr>
            <a:t>- транспортний податок - 0,3 млн грн.</a:t>
          </a:r>
        </a:p>
      </cdr:txBody>
    </cdr:sp>
  </cdr:relSizeAnchor>
</c:userShapes>
</file>

<file path=word/drawings/drawing4.xml><?xml version="1.0" encoding="utf-8"?>
<c:userShapes xmlns:c="http://schemas.openxmlformats.org/drawingml/2006/chart">
  <cdr:relSizeAnchor xmlns:cdr="http://schemas.openxmlformats.org/drawingml/2006/chartDrawing">
    <cdr:from>
      <cdr:x>0.3128</cdr:x>
      <cdr:y>0.34578</cdr:y>
    </cdr:from>
    <cdr:to>
      <cdr:x>0.46446</cdr:x>
      <cdr:y>0.53438</cdr:y>
    </cdr:to>
    <cdr:sp macro="" textlink="">
      <cdr:nvSpPr>
        <cdr:cNvPr id="2" name="TextBox 1"/>
        <cdr:cNvSpPr txBox="1"/>
      </cdr:nvSpPr>
      <cdr:spPr>
        <a:xfrm xmlns:a="http://schemas.openxmlformats.org/drawingml/2006/main">
          <a:off x="1885951" y="167640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0.32154</cdr:x>
      <cdr:y>0.28066</cdr:y>
    </cdr:from>
    <cdr:to>
      <cdr:x>0.42896</cdr:x>
      <cdr:y>0.33824</cdr:y>
    </cdr:to>
    <cdr:sp macro="" textlink="">
      <cdr:nvSpPr>
        <cdr:cNvPr id="3" name="TextBox 2"/>
        <cdr:cNvSpPr txBox="1"/>
      </cdr:nvSpPr>
      <cdr:spPr>
        <a:xfrm xmlns:a="http://schemas.openxmlformats.org/drawingml/2006/main">
          <a:off x="1909903" y="956308"/>
          <a:ext cx="638052" cy="1962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baseline="0">
              <a:solidFill>
                <a:srgbClr val="FF0000"/>
              </a:solidFill>
            </a:rPr>
            <a:t>113</a:t>
          </a:r>
          <a:r>
            <a:rPr lang="ru-RU" sz="1100" b="1">
              <a:solidFill>
                <a:srgbClr val="FF0000"/>
              </a:solidFill>
            </a:rPr>
            <a:t> %</a:t>
          </a:r>
        </a:p>
        <a:p xmlns:a="http://schemas.openxmlformats.org/drawingml/2006/main">
          <a:endParaRPr lang="ru-RU" sz="1100"/>
        </a:p>
        <a:p xmlns:a="http://schemas.openxmlformats.org/drawingml/2006/main">
          <a:endParaRPr lang="ru-RU" sz="1100"/>
        </a:p>
        <a:p xmlns:a="http://schemas.openxmlformats.org/drawingml/2006/main">
          <a:endParaRPr lang="ru-RU" sz="1100"/>
        </a:p>
        <a:p xmlns:a="http://schemas.openxmlformats.org/drawingml/2006/main">
          <a:endParaRPr lang="ru-RU" sz="1100"/>
        </a:p>
        <a:p xmlns:a="http://schemas.openxmlformats.org/drawingml/2006/main">
          <a:endParaRPr lang="ru-RU" sz="1100"/>
        </a:p>
        <a:p xmlns:a="http://schemas.openxmlformats.org/drawingml/2006/main">
          <a:endParaRPr lang="ru-RU" sz="1100"/>
        </a:p>
        <a:p xmlns:a="http://schemas.openxmlformats.org/drawingml/2006/main">
          <a:r>
            <a:rPr lang="ru-RU" sz="1100"/>
            <a:t>5</a:t>
          </a:r>
        </a:p>
      </cdr:txBody>
    </cdr:sp>
  </cdr:relSizeAnchor>
  <cdr:relSizeAnchor xmlns:cdr="http://schemas.openxmlformats.org/drawingml/2006/chartDrawing">
    <cdr:from>
      <cdr:x>0.4238</cdr:x>
      <cdr:y>0.27283</cdr:y>
    </cdr:from>
    <cdr:to>
      <cdr:x>0.51705</cdr:x>
      <cdr:y>0.3463</cdr:y>
    </cdr:to>
    <cdr:sp macro="" textlink="">
      <cdr:nvSpPr>
        <cdr:cNvPr id="4" name="TextBox 3"/>
        <cdr:cNvSpPr txBox="1"/>
      </cdr:nvSpPr>
      <cdr:spPr>
        <a:xfrm xmlns:a="http://schemas.openxmlformats.org/drawingml/2006/main" rot="20182381">
          <a:off x="2517283" y="929644"/>
          <a:ext cx="553885" cy="250342"/>
        </a:xfrm>
        <a:prstGeom xmlns:a="http://schemas.openxmlformats.org/drawingml/2006/main" prst="rect">
          <a:avLst/>
        </a:prstGeom>
        <a:noFill xmlns:a="http://schemas.openxmlformats.org/drawingml/2006/main"/>
      </cdr:spPr>
      <cdr:txBody>
        <a:bodyPr xmlns:a="http://schemas.openxmlformats.org/drawingml/2006/main" vertOverflow="clip" wrap="none" rtlCol="0"/>
        <a:lstStyle xmlns:a="http://schemas.openxmlformats.org/drawingml/2006/main"/>
        <a:p xmlns:a="http://schemas.openxmlformats.org/drawingml/2006/main">
          <a:r>
            <a:rPr lang="ru-RU" sz="1100" b="1" baseline="0">
              <a:solidFill>
                <a:srgbClr val="FF0000"/>
              </a:solidFill>
            </a:rPr>
            <a:t>135 %</a:t>
          </a:r>
        </a:p>
      </cdr:txBody>
    </cdr:sp>
  </cdr:relSizeAnchor>
  <cdr:relSizeAnchor xmlns:cdr="http://schemas.openxmlformats.org/drawingml/2006/chartDrawing">
    <cdr:from>
      <cdr:x>0.56435</cdr:x>
      <cdr:y>0.24931</cdr:y>
    </cdr:from>
    <cdr:to>
      <cdr:x>0.66966</cdr:x>
      <cdr:y>0.36094</cdr:y>
    </cdr:to>
    <cdr:sp macro="" textlink="">
      <cdr:nvSpPr>
        <cdr:cNvPr id="5" name="TextBox 4"/>
        <cdr:cNvSpPr txBox="1"/>
      </cdr:nvSpPr>
      <cdr:spPr>
        <a:xfrm xmlns:a="http://schemas.openxmlformats.org/drawingml/2006/main" rot="1164323">
          <a:off x="3352142" y="849514"/>
          <a:ext cx="625483" cy="3803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baseline="0">
              <a:solidFill>
                <a:srgbClr val="FF0000"/>
              </a:solidFill>
            </a:rPr>
            <a:t>86,9 </a:t>
          </a:r>
          <a:r>
            <a:rPr lang="ru-RU" sz="1100" b="1" i="1" baseline="0">
              <a:solidFill>
                <a:srgbClr val="FF0000"/>
              </a:solidFill>
            </a:rPr>
            <a:t>%</a:t>
          </a:r>
        </a:p>
      </cdr:txBody>
    </cdr:sp>
  </cdr:relSizeAnchor>
  <cdr:relSizeAnchor xmlns:cdr="http://schemas.openxmlformats.org/drawingml/2006/chartDrawing">
    <cdr:from>
      <cdr:x>0.6789</cdr:x>
      <cdr:y>0.2557</cdr:y>
    </cdr:from>
    <cdr:to>
      <cdr:x>0.76474</cdr:x>
      <cdr:y>0.33865</cdr:y>
    </cdr:to>
    <cdr:sp macro="" textlink="">
      <cdr:nvSpPr>
        <cdr:cNvPr id="7" name="TextBox 6"/>
        <cdr:cNvSpPr txBox="1"/>
      </cdr:nvSpPr>
      <cdr:spPr>
        <a:xfrm xmlns:a="http://schemas.openxmlformats.org/drawingml/2006/main" rot="20587542">
          <a:off x="4032499" y="871281"/>
          <a:ext cx="509872" cy="2826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FF0000"/>
              </a:solidFill>
            </a:rPr>
            <a:t>116 %</a:t>
          </a:r>
        </a:p>
      </cdr:txBody>
    </cdr:sp>
  </cdr:relSizeAnchor>
</c:userShapes>
</file>

<file path=word/drawings/drawing5.xml><?xml version="1.0" encoding="utf-8"?>
<c:userShapes xmlns:c="http://schemas.openxmlformats.org/drawingml/2006/chart">
  <cdr:relSizeAnchor xmlns:cdr="http://schemas.openxmlformats.org/drawingml/2006/chartDrawing">
    <cdr:from>
      <cdr:x>0.21644</cdr:x>
      <cdr:y>0.23983</cdr:y>
    </cdr:from>
    <cdr:to>
      <cdr:x>0.3238</cdr:x>
      <cdr:y>0.31137</cdr:y>
    </cdr:to>
    <cdr:sp macro="" textlink="">
      <cdr:nvSpPr>
        <cdr:cNvPr id="6" name="Стрілка вправо 5"/>
        <cdr:cNvSpPr/>
      </cdr:nvSpPr>
      <cdr:spPr>
        <a:xfrm xmlns:a="http://schemas.openxmlformats.org/drawingml/2006/main" rot="1741481">
          <a:off x="1304996" y="798469"/>
          <a:ext cx="647309" cy="238178"/>
        </a:xfrm>
        <a:prstGeom xmlns:a="http://schemas.openxmlformats.org/drawingml/2006/main" prst="rightArrow">
          <a:avLst/>
        </a:prstGeom>
        <a:solidFill xmlns:a="http://schemas.openxmlformats.org/drawingml/2006/main">
          <a:schemeClr val="accent4">
            <a:lumMod val="60000"/>
            <a:lumOff val="40000"/>
          </a:schemeClr>
        </a:solidFill>
        <a:ln xmlns:a="http://schemas.openxmlformats.org/drawingml/2006/main">
          <a:solidFill>
            <a:schemeClr val="accent4">
              <a:lumMod val="60000"/>
              <a:lumOff val="4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r>
            <a:rPr lang="ru-RU" sz="1200" b="1">
              <a:solidFill>
                <a:srgbClr val="002060"/>
              </a:solidFill>
              <a:latin typeface="Times New Roman" panose="02020603050405020304" pitchFamily="18" charset="0"/>
              <a:cs typeface="Times New Roman" panose="02020603050405020304" pitchFamily="18" charset="0"/>
            </a:rPr>
            <a:t>17,8</a:t>
          </a:r>
        </a:p>
      </cdr:txBody>
    </cdr:sp>
  </cdr:relSizeAnchor>
  <cdr:relSizeAnchor xmlns:cdr="http://schemas.openxmlformats.org/drawingml/2006/chartDrawing">
    <cdr:from>
      <cdr:x>0.67351</cdr:x>
      <cdr:y>0.22122</cdr:y>
    </cdr:from>
    <cdr:to>
      <cdr:x>0.78277</cdr:x>
      <cdr:y>0.29402</cdr:y>
    </cdr:to>
    <cdr:sp macro="" textlink="">
      <cdr:nvSpPr>
        <cdr:cNvPr id="7" name="Стрілка вліво 6"/>
        <cdr:cNvSpPr/>
      </cdr:nvSpPr>
      <cdr:spPr>
        <a:xfrm xmlns:a="http://schemas.openxmlformats.org/drawingml/2006/main" rot="19603440">
          <a:off x="4060801" y="866312"/>
          <a:ext cx="658764" cy="285088"/>
        </a:xfrm>
        <a:prstGeom xmlns:a="http://schemas.openxmlformats.org/drawingml/2006/main" prst="leftArrow">
          <a:avLst/>
        </a:prstGeom>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r>
            <a:rPr lang="ru-RU" sz="1200" b="1">
              <a:solidFill>
                <a:sysClr val="windowText" lastClr="000000"/>
              </a:solidFill>
              <a:latin typeface="Times New Roman" panose="02020603050405020304" pitchFamily="18" charset="0"/>
              <a:cs typeface="Times New Roman" panose="02020603050405020304" pitchFamily="18" charset="0"/>
            </a:rPr>
            <a:t>2,5</a:t>
          </a:r>
        </a:p>
      </cdr:txBody>
    </cdr:sp>
  </cdr:relSizeAnchor>
  <cdr:relSizeAnchor xmlns:cdr="http://schemas.openxmlformats.org/drawingml/2006/chartDrawing">
    <cdr:from>
      <cdr:x>0.73831</cdr:x>
      <cdr:y>0.64936</cdr:y>
    </cdr:from>
    <cdr:to>
      <cdr:x>0.84069</cdr:x>
      <cdr:y>0.72419</cdr:y>
    </cdr:to>
    <cdr:sp macro="" textlink="">
      <cdr:nvSpPr>
        <cdr:cNvPr id="8" name="Стрілка вгору 7"/>
        <cdr:cNvSpPr/>
      </cdr:nvSpPr>
      <cdr:spPr>
        <a:xfrm xmlns:a="http://schemas.openxmlformats.org/drawingml/2006/main" rot="17505637">
          <a:off x="4613632" y="2380815"/>
          <a:ext cx="293038" cy="617283"/>
        </a:xfrm>
        <a:prstGeom xmlns:a="http://schemas.openxmlformats.org/drawingml/2006/main" prst="upArrow">
          <a:avLst/>
        </a:prstGeom>
        <a:solidFill xmlns:a="http://schemas.openxmlformats.org/drawingml/2006/main">
          <a:schemeClr val="accent2"/>
        </a:solidFill>
        <a:ln xmlns:a="http://schemas.openxmlformats.org/drawingml/2006/main">
          <a:solidFill>
            <a:schemeClr val="accent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 anchor="ctr"/>
        <a:lstStyle xmlns:a="http://schemas.openxmlformats.org/drawingml/2006/main"/>
        <a:p xmlns:a="http://schemas.openxmlformats.org/drawingml/2006/main">
          <a:pPr algn="ctr"/>
          <a:r>
            <a:rPr lang="ru-RU" sz="1200" b="1">
              <a:solidFill>
                <a:sysClr val="windowText" lastClr="000000"/>
              </a:solidFill>
              <a:latin typeface="Times New Roman" panose="02020603050405020304" pitchFamily="18" charset="0"/>
              <a:cs typeface="Times New Roman" panose="02020603050405020304" pitchFamily="18" charset="0"/>
            </a:rPr>
            <a:t>15,7</a:t>
          </a:r>
        </a:p>
      </cdr:txBody>
    </cdr:sp>
  </cdr:relSizeAnchor>
  <cdr:relSizeAnchor xmlns:cdr="http://schemas.openxmlformats.org/drawingml/2006/chartDrawing">
    <cdr:from>
      <cdr:x>0.2081</cdr:x>
      <cdr:y>0.78069</cdr:y>
    </cdr:from>
    <cdr:to>
      <cdr:x>0.31404</cdr:x>
      <cdr:y>0.85525</cdr:y>
    </cdr:to>
    <cdr:sp macro="" textlink="">
      <cdr:nvSpPr>
        <cdr:cNvPr id="9" name="Стрілка вправо 8"/>
        <cdr:cNvSpPr/>
      </cdr:nvSpPr>
      <cdr:spPr>
        <a:xfrm xmlns:a="http://schemas.openxmlformats.org/drawingml/2006/main" rot="19738629">
          <a:off x="1254731" y="3057212"/>
          <a:ext cx="638747" cy="291981"/>
        </a:xfrm>
        <a:prstGeom xmlns:a="http://schemas.openxmlformats.org/drawingml/2006/main" prst="rightArrow">
          <a:avLst/>
        </a:prstGeom>
        <a:solidFill xmlns:a="http://schemas.openxmlformats.org/drawingml/2006/main">
          <a:schemeClr val="accent3"/>
        </a:solidFill>
        <a:ln xmlns:a="http://schemas.openxmlformats.org/drawingml/2006/main">
          <a:solidFill>
            <a:schemeClr val="accent3"/>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ctr"/>
        <a:lstStyle xmlns:a="http://schemas.openxmlformats.org/drawingml/2006/main"/>
        <a:p xmlns:a="http://schemas.openxmlformats.org/drawingml/2006/main">
          <a:pPr algn="ctr"/>
          <a:r>
            <a:rPr lang="ru-RU" sz="1200" b="1">
              <a:solidFill>
                <a:srgbClr val="002060"/>
              </a:solidFill>
              <a:latin typeface="Times New Roman" panose="02020603050405020304" pitchFamily="18" charset="0"/>
              <a:cs typeface="Times New Roman" panose="02020603050405020304" pitchFamily="18" charset="0"/>
            </a:rPr>
            <a:t>23,5</a:t>
          </a:r>
        </a:p>
      </cdr:txBody>
    </cdr:sp>
  </cdr:relSizeAnchor>
  <cdr:relSizeAnchor xmlns:cdr="http://schemas.openxmlformats.org/drawingml/2006/chartDrawing">
    <cdr:from>
      <cdr:x>0.41511</cdr:x>
      <cdr:y>0.41265</cdr:y>
    </cdr:from>
    <cdr:to>
      <cdr:x>0.58762</cdr:x>
      <cdr:y>0.69424</cdr:y>
    </cdr:to>
    <cdr:sp macro="" textlink="">
      <cdr:nvSpPr>
        <cdr:cNvPr id="11" name="Блок-схема: вузол 10"/>
        <cdr:cNvSpPr/>
      </cdr:nvSpPr>
      <cdr:spPr>
        <a:xfrm xmlns:a="http://schemas.openxmlformats.org/drawingml/2006/main">
          <a:off x="2502846" y="1511148"/>
          <a:ext cx="1040119" cy="1031195"/>
        </a:xfrm>
        <a:prstGeom xmlns:a="http://schemas.openxmlformats.org/drawingml/2006/main" prst="flowChartConnector">
          <a:avLst/>
        </a:prstGeom>
        <a:solidFill xmlns:a="http://schemas.openxmlformats.org/drawingml/2006/main">
          <a:schemeClr val="accent6">
            <a:lumMod val="40000"/>
            <a:lumOff val="60000"/>
          </a:schemeClr>
        </a:solidFill>
      </cdr:spPr>
      <cdr:style>
        <a:lnRef xmlns:a="http://schemas.openxmlformats.org/drawingml/2006/main" idx="1">
          <a:schemeClr val="accent4"/>
        </a:lnRef>
        <a:fillRef xmlns:a="http://schemas.openxmlformats.org/drawingml/2006/main" idx="2">
          <a:schemeClr val="accent4"/>
        </a:fillRef>
        <a:effectRef xmlns:a="http://schemas.openxmlformats.org/drawingml/2006/main" idx="1">
          <a:schemeClr val="accent4"/>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ru-RU" sz="1200" b="1">
              <a:latin typeface="Times New Roman" panose="02020603050405020304" pitchFamily="18" charset="0"/>
              <a:cs typeface="Times New Roman" panose="02020603050405020304" pitchFamily="18" charset="0"/>
            </a:rPr>
            <a:t>59,5</a:t>
          </a:r>
          <a:endParaRPr lang="ru-RU" sz="1100" b="1">
            <a:latin typeface="Times New Roman" panose="02020603050405020304" pitchFamily="18" charset="0"/>
            <a:cs typeface="Times New Roman" panose="02020603050405020304" pitchFamily="18" charset="0"/>
          </a:endParaRPr>
        </a:p>
        <a:p xmlns:a="http://schemas.openxmlformats.org/drawingml/2006/main">
          <a:pPr algn="ctr"/>
          <a:r>
            <a:rPr lang="ru-RU" sz="1100" b="1">
              <a:latin typeface="Times New Roman" panose="02020603050405020304" pitchFamily="18" charset="0"/>
              <a:cs typeface="Times New Roman" panose="02020603050405020304" pitchFamily="18" charset="0"/>
            </a:rPr>
            <a:t>млн грн</a:t>
          </a:r>
        </a:p>
      </cdr:txBody>
    </cdr:sp>
  </cdr:relSizeAnchor>
  <cdr:relSizeAnchor xmlns:cdr="http://schemas.openxmlformats.org/drawingml/2006/chartDrawing">
    <cdr:from>
      <cdr:x>0.04699</cdr:x>
      <cdr:y>0.83228</cdr:y>
    </cdr:from>
    <cdr:to>
      <cdr:x>0.20173</cdr:x>
      <cdr:y>0.93542</cdr:y>
    </cdr:to>
    <cdr:sp macro="" textlink="">
      <cdr:nvSpPr>
        <cdr:cNvPr id="12" name="Овал 11"/>
        <cdr:cNvSpPr/>
      </cdr:nvSpPr>
      <cdr:spPr>
        <a:xfrm xmlns:a="http://schemas.openxmlformats.org/drawingml/2006/main">
          <a:off x="283347" y="2770915"/>
          <a:ext cx="932978" cy="343385"/>
        </a:xfrm>
        <a:prstGeom xmlns:a="http://schemas.openxmlformats.org/drawingml/2006/main" prst="ellipse">
          <a:avLst/>
        </a:prstGeom>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ru-RU" b="1">
              <a:latin typeface="Times New Roman" panose="02020603050405020304" pitchFamily="18" charset="0"/>
              <a:cs typeface="Times New Roman" panose="02020603050405020304" pitchFamily="18" charset="0"/>
            </a:rPr>
            <a:t>39,5 %</a:t>
          </a:r>
        </a:p>
      </cdr:txBody>
    </cdr:sp>
  </cdr:relSizeAnchor>
  <cdr:relSizeAnchor xmlns:cdr="http://schemas.openxmlformats.org/drawingml/2006/chartDrawing">
    <cdr:from>
      <cdr:x>0.81862</cdr:x>
      <cdr:y>0.29243</cdr:y>
    </cdr:from>
    <cdr:to>
      <cdr:x>0.95574</cdr:x>
      <cdr:y>0.39386</cdr:y>
    </cdr:to>
    <cdr:sp macro="" textlink="">
      <cdr:nvSpPr>
        <cdr:cNvPr id="14" name="Овал 13"/>
        <cdr:cNvSpPr/>
      </cdr:nvSpPr>
      <cdr:spPr>
        <a:xfrm xmlns:a="http://schemas.openxmlformats.org/drawingml/2006/main">
          <a:off x="4935731" y="973596"/>
          <a:ext cx="826741" cy="337691"/>
        </a:xfrm>
        <a:prstGeom xmlns:a="http://schemas.openxmlformats.org/drawingml/2006/main" prst="ellipse">
          <a:avLst/>
        </a:prstGeom>
        <a:ln xmlns:a="http://schemas.openxmlformats.org/drawingml/2006/main">
          <a:solidFill>
            <a:schemeClr val="accent1"/>
          </a:solid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ru-RU" b="1">
              <a:latin typeface="Times New Roman" panose="02020603050405020304" pitchFamily="18" charset="0"/>
              <a:cs typeface="Times New Roman" panose="02020603050405020304" pitchFamily="18" charset="0"/>
            </a:rPr>
            <a:t>4,2 %</a:t>
          </a:r>
        </a:p>
      </cdr:txBody>
    </cdr:sp>
  </cdr:relSizeAnchor>
  <cdr:relSizeAnchor xmlns:cdr="http://schemas.openxmlformats.org/drawingml/2006/chartDrawing">
    <cdr:from>
      <cdr:x>0.81327</cdr:x>
      <cdr:y>0.78474</cdr:y>
    </cdr:from>
    <cdr:to>
      <cdr:x>0.97004</cdr:x>
      <cdr:y>0.89137</cdr:y>
    </cdr:to>
    <cdr:sp macro="" textlink="">
      <cdr:nvSpPr>
        <cdr:cNvPr id="15" name="Овал 14"/>
        <cdr:cNvSpPr/>
      </cdr:nvSpPr>
      <cdr:spPr>
        <a:xfrm xmlns:a="http://schemas.openxmlformats.org/drawingml/2006/main">
          <a:off x="4903469" y="2612649"/>
          <a:ext cx="945217" cy="355004"/>
        </a:xfrm>
        <a:prstGeom xmlns:a="http://schemas.openxmlformats.org/drawingml/2006/main" prst="ellipse">
          <a:avLst/>
        </a:prstGeom>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ru-RU" b="1">
              <a:latin typeface="Times New Roman" panose="02020603050405020304" pitchFamily="18" charset="0"/>
              <a:cs typeface="Times New Roman" panose="02020603050405020304" pitchFamily="18" charset="0"/>
            </a:rPr>
            <a:t>26,4 %</a:t>
          </a:r>
        </a:p>
      </cdr:txBody>
    </cdr:sp>
  </cdr:relSizeAnchor>
  <cdr:relSizeAnchor xmlns:cdr="http://schemas.openxmlformats.org/drawingml/2006/chartDrawing">
    <cdr:from>
      <cdr:x>0.06438</cdr:x>
      <cdr:y>0.3988</cdr:y>
    </cdr:from>
    <cdr:to>
      <cdr:x>0.21604</cdr:x>
      <cdr:y>0.5001</cdr:y>
    </cdr:to>
    <cdr:sp macro="" textlink="">
      <cdr:nvSpPr>
        <cdr:cNvPr id="2" name="Овал 1"/>
        <cdr:cNvSpPr/>
      </cdr:nvSpPr>
      <cdr:spPr>
        <a:xfrm xmlns:a="http://schemas.openxmlformats.org/drawingml/2006/main">
          <a:off x="388181" y="1327738"/>
          <a:ext cx="914408" cy="337259"/>
        </a:xfrm>
        <a:prstGeom xmlns:a="http://schemas.openxmlformats.org/drawingml/2006/main" prst="ellipse">
          <a:avLst/>
        </a:prstGeom>
      </cdr:spPr>
      <cdr:style>
        <a:lnRef xmlns:a="http://schemas.openxmlformats.org/drawingml/2006/main" idx="2">
          <a:schemeClr val="accent4"/>
        </a:lnRef>
        <a:fillRef xmlns:a="http://schemas.openxmlformats.org/drawingml/2006/main" idx="1">
          <a:schemeClr val="lt1"/>
        </a:fillRef>
        <a:effectRef xmlns:a="http://schemas.openxmlformats.org/drawingml/2006/main" idx="0">
          <a:schemeClr val="accent4"/>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29,9</a:t>
          </a:r>
          <a:r>
            <a:rPr lang="ru-RU" sz="1100" b="1" baseline="0">
              <a:latin typeface="Times New Roman" panose="02020603050405020304" pitchFamily="18" charset="0"/>
              <a:cs typeface="Times New Roman" panose="02020603050405020304" pitchFamily="18" charset="0"/>
            </a:rPr>
            <a:t> </a:t>
          </a:r>
          <a:r>
            <a:rPr lang="ru-RU" sz="1100" b="1">
              <a:latin typeface="Times New Roman" panose="02020603050405020304" pitchFamily="18" charset="0"/>
              <a:cs typeface="Times New Roman" panose="02020603050405020304" pitchFamily="18" charset="0"/>
            </a:rPr>
            <a:t>%</a:t>
          </a:r>
        </a:p>
      </cdr:txBody>
    </cdr:sp>
  </cdr:relSizeAnchor>
</c:userShapes>
</file>

<file path=word/drawings/drawing6.xml><?xml version="1.0" encoding="utf-8"?>
<c:userShapes xmlns:c="http://schemas.openxmlformats.org/drawingml/2006/chart">
  <cdr:relSizeAnchor xmlns:cdr="http://schemas.openxmlformats.org/drawingml/2006/chartDrawing">
    <cdr:from>
      <cdr:x>0.46953</cdr:x>
      <cdr:y>0.02709</cdr:y>
    </cdr:from>
    <cdr:to>
      <cdr:x>0.54988</cdr:x>
      <cdr:y>0.08804</cdr:y>
    </cdr:to>
    <cdr:sp macro="" textlink="">
      <cdr:nvSpPr>
        <cdr:cNvPr id="9" name="Прямоугольник 8"/>
        <cdr:cNvSpPr/>
      </cdr:nvSpPr>
      <cdr:spPr>
        <a:xfrm xmlns:a="http://schemas.openxmlformats.org/drawingml/2006/main">
          <a:off x="2918884" y="101600"/>
          <a:ext cx="499533" cy="2286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0.57579</cdr:x>
      <cdr:y>0.08139</cdr:y>
    </cdr:from>
    <cdr:to>
      <cdr:x>0.69735</cdr:x>
      <cdr:y>0.13244</cdr:y>
    </cdr:to>
    <cdr:sp macro="" textlink="">
      <cdr:nvSpPr>
        <cdr:cNvPr id="10" name="Прямоугольник 9"/>
        <cdr:cNvSpPr/>
      </cdr:nvSpPr>
      <cdr:spPr>
        <a:xfrm xmlns:a="http://schemas.openxmlformats.org/drawingml/2006/main">
          <a:off x="3471643" y="285293"/>
          <a:ext cx="732924" cy="1789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uk-UA" sz="1000" b="1">
              <a:solidFill>
                <a:srgbClr val="FF0000"/>
              </a:solidFill>
              <a:latin typeface="Times New Roman" pitchFamily="18" charset="0"/>
              <a:cs typeface="Times New Roman" pitchFamily="18" charset="0"/>
            </a:rPr>
            <a:t>110 %</a:t>
          </a:r>
          <a:endParaRPr lang="ru-RU" sz="1000" b="1">
            <a:solidFill>
              <a:srgbClr val="FF0000"/>
            </a:solidFill>
            <a:latin typeface="Times New Roman" pitchFamily="18" charset="0"/>
            <a:cs typeface="Times New Roman" pitchFamily="18" charset="0"/>
          </a:endParaRPr>
        </a:p>
      </cdr:txBody>
    </cdr:sp>
  </cdr:relSizeAnchor>
  <cdr:relSizeAnchor xmlns:cdr="http://schemas.openxmlformats.org/drawingml/2006/chartDrawing">
    <cdr:from>
      <cdr:x>0.72305</cdr:x>
      <cdr:y>0.03963</cdr:y>
    </cdr:from>
    <cdr:to>
      <cdr:x>0.84288</cdr:x>
      <cdr:y>0.08984</cdr:y>
    </cdr:to>
    <cdr:sp macro="" textlink="">
      <cdr:nvSpPr>
        <cdr:cNvPr id="11" name="Прямоугольник 10"/>
        <cdr:cNvSpPr/>
      </cdr:nvSpPr>
      <cdr:spPr>
        <a:xfrm xmlns:a="http://schemas.openxmlformats.org/drawingml/2006/main">
          <a:off x="4359497" y="149011"/>
          <a:ext cx="722494" cy="18881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uk-UA" sz="1000" b="1">
              <a:solidFill>
                <a:srgbClr val="FF0000"/>
              </a:solidFill>
              <a:latin typeface="Times New Roman" pitchFamily="18" charset="0"/>
              <a:cs typeface="Times New Roman" pitchFamily="18" charset="0"/>
            </a:rPr>
            <a:t>113 </a:t>
          </a:r>
          <a:r>
            <a:rPr lang="uk-UA" sz="1000">
              <a:solidFill>
                <a:srgbClr val="FF0000"/>
              </a:solidFill>
            </a:rPr>
            <a:t>%</a:t>
          </a:r>
          <a:endParaRPr lang="ru-RU" sz="1000">
            <a:solidFill>
              <a:srgbClr val="FF0000"/>
            </a:solidFill>
          </a:endParaRPr>
        </a:p>
      </cdr:txBody>
    </cdr:sp>
  </cdr:relSizeAnchor>
  <cdr:relSizeAnchor xmlns:cdr="http://schemas.openxmlformats.org/drawingml/2006/chartDrawing">
    <cdr:from>
      <cdr:x>0.28087</cdr:x>
      <cdr:y>0.20988</cdr:y>
    </cdr:from>
    <cdr:to>
      <cdr:x>0.34123</cdr:x>
      <cdr:y>0.28804</cdr:y>
    </cdr:to>
    <cdr:cxnSp macro="">
      <cdr:nvCxnSpPr>
        <cdr:cNvPr id="8" name="Прямая со стрелкой 7"/>
        <cdr:cNvCxnSpPr/>
      </cdr:nvCxnSpPr>
      <cdr:spPr>
        <a:xfrm xmlns:a="http://schemas.openxmlformats.org/drawingml/2006/main">
          <a:off x="1693453" y="735669"/>
          <a:ext cx="363947" cy="273981"/>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0.4218</cdr:x>
      <cdr:y>0.1873</cdr:y>
    </cdr:from>
    <cdr:to>
      <cdr:x>0.47741</cdr:x>
      <cdr:y>0.26359</cdr:y>
    </cdr:to>
    <cdr:cxnSp macro="">
      <cdr:nvCxnSpPr>
        <cdr:cNvPr id="15" name="Прямая со стрелкой 14"/>
        <cdr:cNvCxnSpPr/>
      </cdr:nvCxnSpPr>
      <cdr:spPr>
        <a:xfrm xmlns:a="http://schemas.openxmlformats.org/drawingml/2006/main" flipV="1">
          <a:off x="2543175" y="656509"/>
          <a:ext cx="335296" cy="26741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0.57978</cdr:x>
      <cdr:y>0.14778</cdr:y>
    </cdr:from>
    <cdr:to>
      <cdr:x>0.64139</cdr:x>
      <cdr:y>0.17495</cdr:y>
    </cdr:to>
    <cdr:cxnSp macro="">
      <cdr:nvCxnSpPr>
        <cdr:cNvPr id="28" name="Прямая со стрелкой 27"/>
        <cdr:cNvCxnSpPr/>
      </cdr:nvCxnSpPr>
      <cdr:spPr>
        <a:xfrm xmlns:a="http://schemas.openxmlformats.org/drawingml/2006/main" flipV="1">
          <a:off x="3495675" y="518002"/>
          <a:ext cx="371475" cy="95249"/>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0.73144</cdr:x>
      <cdr:y>0.09783</cdr:y>
    </cdr:from>
    <cdr:to>
      <cdr:x>0.79937</cdr:x>
      <cdr:y>0.11957</cdr:y>
    </cdr:to>
    <cdr:cxnSp macro="">
      <cdr:nvCxnSpPr>
        <cdr:cNvPr id="32" name="Прямая со стрелкой 31"/>
        <cdr:cNvCxnSpPr/>
      </cdr:nvCxnSpPr>
      <cdr:spPr>
        <a:xfrm xmlns:a="http://schemas.openxmlformats.org/drawingml/2006/main" flipV="1">
          <a:off x="4410075" y="342900"/>
          <a:ext cx="409575" cy="762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0.25791</cdr:x>
      <cdr:y>0.14583</cdr:y>
    </cdr:from>
    <cdr:to>
      <cdr:x>0.66456</cdr:x>
      <cdr:y>0.23958</cdr:y>
    </cdr:to>
    <cdr:sp macro="" textlink="">
      <cdr:nvSpPr>
        <cdr:cNvPr id="4" name="Скругленный прямоугольник 3"/>
        <cdr:cNvSpPr/>
      </cdr:nvSpPr>
      <cdr:spPr>
        <a:xfrm xmlns:a="http://schemas.openxmlformats.org/drawingml/2006/main">
          <a:off x="1552575" y="400050"/>
          <a:ext cx="2447925" cy="257175"/>
        </a:xfrm>
        <a:prstGeom xmlns:a="http://schemas.openxmlformats.org/drawingml/2006/main" prst="round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uk-UA" b="1">
              <a:solidFill>
                <a:sysClr val="windowText" lastClr="000000"/>
              </a:solidFill>
              <a:latin typeface="Times New Roman" pitchFamily="18" charset="0"/>
              <a:cs typeface="Times New Roman" pitchFamily="18" charset="0"/>
            </a:rPr>
            <a:t>Разом - 7 590,0 тис. грн</a:t>
          </a:r>
          <a:endParaRPr lang="ru-RU" b="1">
            <a:solidFill>
              <a:sysClr val="windowText" lastClr="000000"/>
            </a:solidFill>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0.14431</cdr:x>
      <cdr:y>0.13304</cdr:y>
    </cdr:from>
    <cdr:to>
      <cdr:x>0.91876</cdr:x>
      <cdr:y>0.20202</cdr:y>
    </cdr:to>
    <cdr:sp macro="" textlink="">
      <cdr:nvSpPr>
        <cdr:cNvPr id="2" name="TextBox 1"/>
        <cdr:cNvSpPr txBox="1"/>
      </cdr:nvSpPr>
      <cdr:spPr>
        <a:xfrm xmlns:a="http://schemas.openxmlformats.org/drawingml/2006/main">
          <a:off x="857251" y="466332"/>
          <a:ext cx="4600574" cy="24178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Всього надходжень (без врахування трансфертів) </a:t>
          </a:r>
          <a:r>
            <a:rPr lang="ru-RU" sz="1200"/>
            <a:t>- </a:t>
          </a:r>
          <a:r>
            <a:rPr lang="ru-RU" sz="1200" b="1"/>
            <a:t>12 520,3 тис. грн</a:t>
          </a:r>
          <a:r>
            <a:rPr lang="ru-RU" sz="1100"/>
            <a:t> </a:t>
          </a:r>
        </a:p>
      </cdr:txBody>
    </cdr:sp>
  </cdr:relSizeAnchor>
  <cdr:relSizeAnchor xmlns:cdr="http://schemas.openxmlformats.org/drawingml/2006/chartDrawing">
    <cdr:from>
      <cdr:x>0.73116</cdr:x>
      <cdr:y>0.4152</cdr:y>
    </cdr:from>
    <cdr:to>
      <cdr:x>0.98557</cdr:x>
      <cdr:y>0.72289</cdr:y>
    </cdr:to>
    <cdr:sp macro="" textlink="">
      <cdr:nvSpPr>
        <cdr:cNvPr id="8" name="Прямоугольная выноска 7"/>
        <cdr:cNvSpPr/>
      </cdr:nvSpPr>
      <cdr:spPr>
        <a:xfrm xmlns:a="http://schemas.openxmlformats.org/drawingml/2006/main">
          <a:off x="4343387" y="1312984"/>
          <a:ext cx="1511304" cy="973016"/>
        </a:xfrm>
        <a:prstGeom xmlns:a="http://schemas.openxmlformats.org/drawingml/2006/main" prst="wedgeRectCallout">
          <a:avLst>
            <a:gd name="adj1" fmla="val 1629"/>
            <a:gd name="adj2" fmla="val 88001"/>
          </a:avLst>
        </a:prstGeom>
        <a:noFill xmlns:a="http://schemas.openxmlformats.org/drawingml/2006/main"/>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rtlCol="0" anchor="ctr"/>
        <a:lstStyle xmlns:a="http://schemas.openxmlformats.org/drawingml/2006/main"/>
        <a:p xmlns:a="http://schemas.openxmlformats.org/drawingml/2006/main">
          <a:r>
            <a:rPr lang="ru-RU" sz="1000">
              <a:solidFill>
                <a:sysClr val="windowText" lastClr="000000"/>
              </a:solidFill>
              <a:latin typeface="Times New Roman" pitchFamily="18" charset="0"/>
              <a:cs typeface="Times New Roman" pitchFamily="18" charset="0"/>
            </a:rPr>
            <a:t>в т.ч. :</a:t>
          </a:r>
        </a:p>
        <a:p xmlns:a="http://schemas.openxmlformats.org/drawingml/2006/main">
          <a:r>
            <a:rPr lang="ru-RU" sz="1000">
              <a:solidFill>
                <a:sysClr val="windowText" lastClr="000000"/>
              </a:solidFill>
              <a:latin typeface="Times New Roman" pitchFamily="18" charset="0"/>
              <a:cs typeface="Times New Roman" pitchFamily="18" charset="0"/>
            </a:rPr>
            <a:t>- надходження</a:t>
          </a:r>
          <a:r>
            <a:rPr lang="ru-RU" sz="1000" baseline="0">
              <a:solidFill>
                <a:sysClr val="windowText" lastClr="000000"/>
              </a:solidFill>
              <a:latin typeface="Times New Roman" pitchFamily="18" charset="0"/>
              <a:cs typeface="Times New Roman" pitchFamily="18" charset="0"/>
            </a:rPr>
            <a:t> від продажу землі -  </a:t>
          </a:r>
          <a:r>
            <a:rPr lang="ru-RU" sz="1000" b="1" baseline="0">
              <a:solidFill>
                <a:sysClr val="windowText" lastClr="000000"/>
              </a:solidFill>
              <a:latin typeface="Times New Roman" pitchFamily="18" charset="0"/>
              <a:cs typeface="Times New Roman" pitchFamily="18" charset="0"/>
            </a:rPr>
            <a:t>90,0</a:t>
          </a:r>
        </a:p>
        <a:p xmlns:a="http://schemas.openxmlformats.org/drawingml/2006/main">
          <a:r>
            <a:rPr lang="ru-RU" sz="1000" baseline="0">
              <a:solidFill>
                <a:sysClr val="windowText" lastClr="000000"/>
              </a:solidFill>
              <a:latin typeface="Times New Roman" pitchFamily="18" charset="0"/>
              <a:cs typeface="Times New Roman" pitchFamily="18" charset="0"/>
            </a:rPr>
            <a:t>- кошти від відчудження майна-</a:t>
          </a:r>
          <a:r>
            <a:rPr lang="ru-RU" sz="1000" b="1" baseline="0">
              <a:solidFill>
                <a:sysClr val="windowText" lastClr="000000"/>
              </a:solidFill>
              <a:latin typeface="Times New Roman" pitchFamily="18" charset="0"/>
              <a:cs typeface="Times New Roman" pitchFamily="18" charset="0"/>
            </a:rPr>
            <a:t>80,0</a:t>
          </a:r>
        </a:p>
      </cdr:txBody>
    </cdr:sp>
  </cdr:relSizeAnchor>
  <cdr:relSizeAnchor xmlns:cdr="http://schemas.openxmlformats.org/drawingml/2006/chartDrawing">
    <cdr:from>
      <cdr:x>0.7793</cdr:x>
      <cdr:y>0.19205</cdr:y>
    </cdr:from>
    <cdr:to>
      <cdr:x>0.899</cdr:x>
      <cdr:y>0.36424</cdr:y>
    </cdr:to>
    <cdr:sp macro="" textlink="">
      <cdr:nvSpPr>
        <cdr:cNvPr id="9" name="TextBox 8"/>
        <cdr:cNvSpPr txBox="1"/>
      </cdr:nvSpPr>
      <cdr:spPr>
        <a:xfrm xmlns:a="http://schemas.openxmlformats.org/drawingml/2006/main">
          <a:off x="5953125" y="1104900"/>
          <a:ext cx="914400" cy="990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drawings/drawing9.xml><?xml version="1.0" encoding="utf-8"?>
<c:userShapes xmlns:c="http://schemas.openxmlformats.org/drawingml/2006/chart">
  <cdr:relSizeAnchor xmlns:cdr="http://schemas.openxmlformats.org/drawingml/2006/chartDrawing">
    <cdr:from>
      <cdr:x>0.03125</cdr:x>
      <cdr:y>0.17857</cdr:y>
    </cdr:from>
    <cdr:to>
      <cdr:x>0.17014</cdr:x>
      <cdr:y>0.27381</cdr:y>
    </cdr:to>
    <cdr:sp macro="" textlink="">
      <cdr:nvSpPr>
        <cdr:cNvPr id="2" name="TextBox 1"/>
        <cdr:cNvSpPr txBox="1"/>
      </cdr:nvSpPr>
      <cdr:spPr>
        <a:xfrm xmlns:a="http://schemas.openxmlformats.org/drawingml/2006/main">
          <a:off x="171450" y="571500"/>
          <a:ext cx="7620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t>млн грн</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Чітка тінь">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51C05-C60B-4287-8F4A-B38F2305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14897</Words>
  <Characters>84914</Characters>
  <Application>Microsoft Office Word</Application>
  <DocSecurity>0</DocSecurity>
  <Lines>707</Lines>
  <Paragraphs>199</Paragraphs>
  <ScaleCrop>false</ScaleCrop>
  <HeadingPairs>
    <vt:vector size="6" baseType="variant">
      <vt:variant>
        <vt:lpstr>Назва</vt:lpstr>
      </vt:variant>
      <vt:variant>
        <vt:i4>1</vt:i4>
      </vt:variant>
      <vt:variant>
        <vt:lpstr>Заголовки</vt:lpstr>
      </vt:variant>
      <vt:variant>
        <vt:i4>13</vt:i4>
      </vt:variant>
      <vt:variant>
        <vt:lpstr>Название</vt:lpstr>
      </vt:variant>
      <vt:variant>
        <vt:i4>1</vt:i4>
      </vt:variant>
    </vt:vector>
  </HeadingPairs>
  <TitlesOfParts>
    <vt:vector size="15" baseType="lpstr">
      <vt:lpstr/>
      <vt:lpstr>        1. Під час визначення показників проєкту бюджету Чорноморської МТГ на 2025 рік в</vt:lpstr>
      <vt:lpstr>        Основні прогнозні макропоказники економічного і соціального розвитку України на</vt:lpstr>
      <vt:lpstr>Будівництво</vt:lpstr>
      <vt:lpstr>За січень – червень  2024 року підприємствами територіальної громади, що працюва</vt:lpstr>
      <vt:lpstr>За січень – червень 2024 року на території Чорноморської міської територіальної </vt:lpstr>
      <vt:lpstr/>
      <vt:lpstr/>
      <vt:lpstr/>
      <vt:lpstr/>
      <vt:lpstr>Основні показники соціально-економічного розвитку  Чорноморської міської територ</vt:lpstr>
      <vt:lpstr>факт 2021-2023; прогноз 2024-2027</vt:lpstr>
      <vt:lpstr/>
      <vt:lpstr>- № 567 -VII від 19.06.2020р. «Про встановлення ставок та пільг із сплати податк</vt:lpstr>
      <vt:lpstr/>
    </vt:vector>
  </TitlesOfParts>
  <Company>Grizli777</Company>
  <LinksUpToDate>false</LinksUpToDate>
  <CharactersWithSpaces>99612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220FU11</cp:lastModifiedBy>
  <cp:revision>111</cp:revision>
  <cp:lastPrinted>2023-12-20T06:06:00Z</cp:lastPrinted>
  <dcterms:created xsi:type="dcterms:W3CDTF">2024-12-16T12:46:00Z</dcterms:created>
  <dcterms:modified xsi:type="dcterms:W3CDTF">2024-12-18T06:25:00Z</dcterms:modified>
</cp:coreProperties>
</file>