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C16FD" w14:textId="77777777" w:rsidR="006E79DE" w:rsidRPr="00C51032" w:rsidRDefault="006E79DE" w:rsidP="006E79DE">
      <w:pPr>
        <w:ind w:right="4493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</w:p>
    <w:p w14:paraId="4E9AC858" w14:textId="77777777" w:rsidR="006E79DE" w:rsidRPr="00C51032" w:rsidRDefault="006E79DE" w:rsidP="006E79DE">
      <w:pPr>
        <w:ind w:right="4493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</w:p>
    <w:p w14:paraId="2304A90B" w14:textId="77777777" w:rsidR="006E79DE" w:rsidRPr="00C51032" w:rsidRDefault="006E79DE" w:rsidP="006E79DE">
      <w:pPr>
        <w:ind w:right="4493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</w:p>
    <w:p w14:paraId="04D5D302" w14:textId="77777777" w:rsidR="006E79DE" w:rsidRPr="00C51032" w:rsidRDefault="006E79DE" w:rsidP="006E79DE">
      <w:pPr>
        <w:ind w:right="4493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</w:p>
    <w:p w14:paraId="1A0C9632" w14:textId="77777777" w:rsidR="006E79DE" w:rsidRPr="00C51032" w:rsidRDefault="006E79DE" w:rsidP="006E79DE">
      <w:pPr>
        <w:ind w:right="4493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</w:p>
    <w:p w14:paraId="6FEAC4EB" w14:textId="77777777" w:rsidR="006E79DE" w:rsidRPr="00C51032" w:rsidRDefault="006E79DE" w:rsidP="006E79DE">
      <w:pPr>
        <w:ind w:right="4493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</w:p>
    <w:p w14:paraId="1C915386" w14:textId="77777777" w:rsidR="006E79DE" w:rsidRPr="00C51032" w:rsidRDefault="006E79DE" w:rsidP="006E79DE">
      <w:pPr>
        <w:ind w:right="4493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</w:p>
    <w:p w14:paraId="58B0C961" w14:textId="77777777" w:rsidR="000745E6" w:rsidRPr="00C51032" w:rsidRDefault="000745E6" w:rsidP="006E79DE">
      <w:pPr>
        <w:ind w:right="4493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</w:p>
    <w:p w14:paraId="4914702A" w14:textId="532CC12E" w:rsidR="006E79DE" w:rsidRDefault="006E79DE" w:rsidP="00AF27B1">
      <w:pPr>
        <w:spacing w:line="240" w:lineRule="auto"/>
        <w:ind w:right="4493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C51032">
        <w:rPr>
          <w:rFonts w:ascii="Times New Roman" w:eastAsia="Arial" w:hAnsi="Times New Roman" w:cs="Times New Roman"/>
          <w:sz w:val="24"/>
          <w:szCs w:val="24"/>
          <w:lang w:val="uk-UA"/>
        </w:rPr>
        <w:t>Про розроблення  комплексного плану просторового розвитку території Чорноморської міської територіальної громади</w:t>
      </w:r>
    </w:p>
    <w:p w14:paraId="76FBD853" w14:textId="77777777" w:rsidR="00C51032" w:rsidRPr="00C51032" w:rsidRDefault="00C51032" w:rsidP="00AF27B1">
      <w:pPr>
        <w:spacing w:line="240" w:lineRule="auto"/>
        <w:ind w:right="4493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</w:p>
    <w:p w14:paraId="301FD9BE" w14:textId="5ECF7924" w:rsidR="006E79DE" w:rsidRPr="00C51032" w:rsidRDefault="006E79DE" w:rsidP="00AF27B1">
      <w:pPr>
        <w:shd w:val="clear" w:color="auto" w:fill="FFFFFF"/>
        <w:tabs>
          <w:tab w:val="left" w:pos="426"/>
        </w:tabs>
        <w:spacing w:line="240" w:lineRule="auto"/>
        <w:ind w:firstLine="567"/>
        <w:jc w:val="both"/>
        <w:rPr>
          <w:rFonts w:ascii="Times New Roman" w:eastAsia="Arial" w:hAnsi="Times New Roman" w:cs="Times New Roman"/>
          <w:b/>
          <w:sz w:val="24"/>
          <w:szCs w:val="24"/>
          <w:lang w:val="uk-UA"/>
        </w:rPr>
      </w:pPr>
      <w:r w:rsidRPr="00C51032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Керуючись статтями 26, </w:t>
      </w:r>
      <w:r w:rsidR="00EF2098" w:rsidRPr="00C51032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59 </w:t>
      </w:r>
      <w:r w:rsidRPr="00C51032">
        <w:rPr>
          <w:rFonts w:ascii="Times New Roman" w:eastAsia="Arial" w:hAnsi="Times New Roman" w:cs="Times New Roman"/>
          <w:sz w:val="24"/>
          <w:szCs w:val="24"/>
          <w:lang w:val="uk-UA"/>
        </w:rPr>
        <w:t>Закону України  «Про місцеве самоврядування в Україні», статтею 13 Закону України «Про архітектурну діяльність», статтею 17 Закону України «Про основи містобудування», статтями 16, 16</w:t>
      </w:r>
      <w:r w:rsidRPr="00C51032">
        <w:rPr>
          <w:rFonts w:ascii="Times New Roman" w:eastAsia="Arial" w:hAnsi="Times New Roman" w:cs="Times New Roman"/>
          <w:sz w:val="24"/>
          <w:szCs w:val="24"/>
          <w:vertAlign w:val="superscript"/>
          <w:lang w:val="uk-UA"/>
        </w:rPr>
        <w:t>1</w:t>
      </w:r>
      <w:r w:rsidRPr="00C51032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, 20, 21 Закону України «Про регулювання містобудівної діяльності», Законом України «Про стратегічну екологічну оцінку», Законом України «Про землеустрій», </w:t>
      </w:r>
      <w:r w:rsidR="0073536E">
        <w:rPr>
          <w:rFonts w:ascii="Times New Roman" w:eastAsia="Arial" w:hAnsi="Times New Roman" w:cs="Times New Roman"/>
          <w:sz w:val="24"/>
          <w:szCs w:val="24"/>
          <w:lang w:val="uk-UA"/>
        </w:rPr>
        <w:t>п</w:t>
      </w:r>
      <w:r w:rsidRPr="00C51032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остановою Кабінету Міністрів України від 01.09.2021 № 926 «Про затвердження Порядку розроблення, оновлення, внесення змін та затвердження містобудівної документації», </w:t>
      </w:r>
      <w:r w:rsidR="0073536E">
        <w:rPr>
          <w:rFonts w:ascii="Times New Roman" w:eastAsia="Arial" w:hAnsi="Times New Roman" w:cs="Times New Roman"/>
          <w:sz w:val="24"/>
          <w:szCs w:val="24"/>
          <w:lang w:val="uk-UA"/>
        </w:rPr>
        <w:t>п</w:t>
      </w:r>
      <w:r w:rsidRPr="00C51032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остановою Кабінету Міністрів України від 25.05.2011 №555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</w:t>
      </w:r>
      <w:r w:rsidR="0073536E">
        <w:rPr>
          <w:rFonts w:ascii="Times New Roman" w:eastAsia="Arial" w:hAnsi="Times New Roman" w:cs="Times New Roman"/>
          <w:sz w:val="24"/>
          <w:szCs w:val="24"/>
          <w:lang w:val="uk-UA"/>
        </w:rPr>
        <w:t>п</w:t>
      </w:r>
      <w:r w:rsidRPr="00C51032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остановою Кабінету Міністрів України від 09.06.2021 № 632 «Про визначення формату електронних документів комплексного плану просторового розвитку території територіальної громади, генерального плану населеного пункту, детального плану території», </w:t>
      </w:r>
      <w:r w:rsidR="00EF2098" w:rsidRPr="00C51032">
        <w:rPr>
          <w:rFonts w:ascii="Times New Roman" w:eastAsia="Arial" w:hAnsi="Times New Roman" w:cs="Times New Roman"/>
          <w:sz w:val="24"/>
          <w:szCs w:val="24"/>
          <w:lang w:val="uk-UA"/>
        </w:rPr>
        <w:t>враховуючи рекомендації постійної комісії з питань будівництва, регулювання земельних відносин, охорони навколишнього середовища та благоустрою,</w:t>
      </w:r>
    </w:p>
    <w:p w14:paraId="50F129BC" w14:textId="77777777" w:rsidR="006E79DE" w:rsidRPr="00C51032" w:rsidRDefault="006E79DE" w:rsidP="00AF27B1">
      <w:pPr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uk-UA"/>
        </w:rPr>
      </w:pPr>
      <w:r w:rsidRPr="00C51032">
        <w:rPr>
          <w:rFonts w:ascii="Times New Roman" w:eastAsia="Arial" w:hAnsi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415E59A9" w14:textId="1BE7736F" w:rsidR="006E79DE" w:rsidRPr="00C51032" w:rsidRDefault="006E79DE" w:rsidP="00AF27B1">
      <w:pPr>
        <w:spacing w:after="0" w:line="240" w:lineRule="auto"/>
        <w:ind w:firstLine="708"/>
        <w:jc w:val="both"/>
        <w:rPr>
          <w:rFonts w:eastAsia="Arial"/>
          <w:sz w:val="24"/>
          <w:lang w:val="uk-UA"/>
        </w:rPr>
      </w:pPr>
      <w:r w:rsidRPr="00C51032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1. </w:t>
      </w:r>
      <w:r w:rsidRPr="00C51032">
        <w:rPr>
          <w:rFonts w:ascii="Times New Roman" w:hAnsi="Times New Roman" w:cs="Times New Roman"/>
          <w:sz w:val="24"/>
          <w:szCs w:val="24"/>
          <w:lang w:val="uk-UA"/>
        </w:rPr>
        <w:t xml:space="preserve">Розробити  комплексний   план просторового розвитку території Чорноморської </w:t>
      </w:r>
      <w:r w:rsidR="00065AA9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Pr="00C51032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(далі – Комплексний план).</w:t>
      </w:r>
    </w:p>
    <w:p w14:paraId="3ECF676E" w14:textId="31E4AE70" w:rsidR="00065AA9" w:rsidRDefault="006E79DE" w:rsidP="00AF27B1">
      <w:pPr>
        <w:pStyle w:val="a3"/>
        <w:ind w:left="0" w:firstLine="709"/>
        <w:jc w:val="both"/>
        <w:rPr>
          <w:sz w:val="24"/>
        </w:rPr>
      </w:pPr>
      <w:r w:rsidRPr="00C51032">
        <w:rPr>
          <w:sz w:val="24"/>
        </w:rPr>
        <w:t xml:space="preserve">2. Виконавчому комітету Чорноморської міської ради </w:t>
      </w:r>
      <w:r w:rsidR="00065AA9">
        <w:rPr>
          <w:sz w:val="24"/>
        </w:rPr>
        <w:t xml:space="preserve">Одеського району Одеської області </w:t>
      </w:r>
      <w:r w:rsidRPr="00C51032">
        <w:rPr>
          <w:sz w:val="24"/>
        </w:rPr>
        <w:t>виступити  замовником розроб</w:t>
      </w:r>
      <w:r w:rsidR="00BC57A4">
        <w:rPr>
          <w:sz w:val="24"/>
        </w:rPr>
        <w:t xml:space="preserve">лення </w:t>
      </w:r>
      <w:r w:rsidRPr="00C51032">
        <w:rPr>
          <w:sz w:val="24"/>
        </w:rPr>
        <w:t xml:space="preserve"> Комплексного  плану.</w:t>
      </w:r>
    </w:p>
    <w:p w14:paraId="0414CD5A" w14:textId="084DC102" w:rsidR="006E79DE" w:rsidRPr="00065AA9" w:rsidRDefault="006E79DE" w:rsidP="00AF27B1">
      <w:pPr>
        <w:pStyle w:val="a3"/>
        <w:ind w:left="0" w:firstLine="709"/>
        <w:jc w:val="both"/>
        <w:rPr>
          <w:rFonts w:eastAsia="Arial"/>
          <w:sz w:val="24"/>
        </w:rPr>
      </w:pPr>
      <w:r w:rsidRPr="00C51032">
        <w:rPr>
          <w:rFonts w:eastAsia="Arial"/>
          <w:sz w:val="24"/>
          <w:highlight w:val="white"/>
        </w:rPr>
        <w:t xml:space="preserve">3. Доручити </w:t>
      </w:r>
      <w:r w:rsidRPr="00C51032">
        <w:rPr>
          <w:sz w:val="24"/>
        </w:rPr>
        <w:t>виконавчо</w:t>
      </w:r>
      <w:r w:rsidR="00EF2098" w:rsidRPr="00C51032">
        <w:rPr>
          <w:sz w:val="24"/>
        </w:rPr>
        <w:t>му</w:t>
      </w:r>
      <w:r w:rsidRPr="00C51032">
        <w:rPr>
          <w:sz w:val="24"/>
        </w:rPr>
        <w:t xml:space="preserve"> комітету Чорноморської міської ради</w:t>
      </w:r>
      <w:r w:rsidR="00065AA9">
        <w:rPr>
          <w:sz w:val="24"/>
        </w:rPr>
        <w:t xml:space="preserve"> Одеського району Одеської області</w:t>
      </w:r>
      <w:r w:rsidRPr="00C51032">
        <w:rPr>
          <w:sz w:val="24"/>
        </w:rPr>
        <w:t>:</w:t>
      </w:r>
    </w:p>
    <w:p w14:paraId="2D16B144" w14:textId="77777777" w:rsidR="006E79DE" w:rsidRPr="00C51032" w:rsidRDefault="006E79DE" w:rsidP="00AF27B1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highlight w:val="white"/>
          <w:lang w:val="uk-UA"/>
        </w:rPr>
      </w:pPr>
      <w:r w:rsidRPr="00C51032">
        <w:rPr>
          <w:rFonts w:ascii="Times New Roman" w:hAnsi="Times New Roman" w:cs="Times New Roman"/>
          <w:sz w:val="24"/>
          <w:szCs w:val="24"/>
          <w:lang w:val="uk-UA"/>
        </w:rPr>
        <w:t>3.1.</w:t>
      </w:r>
      <w:r w:rsidRPr="00C51032">
        <w:rPr>
          <w:rFonts w:ascii="Times New Roman" w:eastAsia="Arial" w:hAnsi="Times New Roman" w:cs="Times New Roman"/>
          <w:sz w:val="24"/>
          <w:szCs w:val="24"/>
          <w:highlight w:val="white"/>
          <w:lang w:val="uk-UA"/>
        </w:rPr>
        <w:t xml:space="preserve"> У встановленому законодавством порядку повідомити про початок розроблення Комплексного плану.</w:t>
      </w:r>
    </w:p>
    <w:p w14:paraId="5A9B40B0" w14:textId="7C6748C5" w:rsidR="006E79DE" w:rsidRPr="00C51032" w:rsidRDefault="006E79DE" w:rsidP="00AF27B1">
      <w:pPr>
        <w:pStyle w:val="a3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eastAsia="Arial"/>
          <w:sz w:val="24"/>
          <w:highlight w:val="white"/>
        </w:rPr>
      </w:pPr>
      <w:r w:rsidRPr="00C51032">
        <w:rPr>
          <w:rFonts w:eastAsia="Arial"/>
          <w:sz w:val="24"/>
          <w:highlight w:val="white"/>
        </w:rPr>
        <w:t>Забезпечити проведення заходів та необхідних робіт підготовчого етапу розроблення Комплексного плану у відповідності до завдань та строків, встановлених Порядком розроблення, оновлення, внесення змін та затвердження містобудівної документації</w:t>
      </w:r>
      <w:r w:rsidR="0073536E">
        <w:rPr>
          <w:rFonts w:eastAsia="Arial"/>
          <w:sz w:val="24"/>
          <w:highlight w:val="white"/>
        </w:rPr>
        <w:t>,</w:t>
      </w:r>
      <w:r w:rsidRPr="00C51032">
        <w:rPr>
          <w:rFonts w:eastAsia="Arial"/>
          <w:sz w:val="24"/>
          <w:highlight w:val="white"/>
        </w:rPr>
        <w:t xml:space="preserve"> </w:t>
      </w:r>
      <w:r w:rsidR="0073536E">
        <w:rPr>
          <w:rFonts w:eastAsia="Arial"/>
          <w:sz w:val="24"/>
          <w:highlight w:val="white"/>
        </w:rPr>
        <w:t xml:space="preserve">затвердженим </w:t>
      </w:r>
      <w:r w:rsidR="0073536E">
        <w:rPr>
          <w:rFonts w:eastAsia="Arial"/>
          <w:sz w:val="24"/>
        </w:rPr>
        <w:t>п</w:t>
      </w:r>
      <w:r w:rsidR="0073536E" w:rsidRPr="00C51032">
        <w:rPr>
          <w:rFonts w:eastAsia="Arial"/>
          <w:sz w:val="24"/>
        </w:rPr>
        <w:t>остановою Кабінету Міністрів України від 01.09.2021 № 926</w:t>
      </w:r>
      <w:r w:rsidR="0073536E">
        <w:rPr>
          <w:rFonts w:eastAsia="Arial"/>
          <w:sz w:val="24"/>
        </w:rPr>
        <w:t>,</w:t>
      </w:r>
      <w:r w:rsidR="0073536E" w:rsidRPr="00C51032">
        <w:rPr>
          <w:rFonts w:eastAsia="Arial"/>
          <w:sz w:val="24"/>
        </w:rPr>
        <w:t xml:space="preserve"> </w:t>
      </w:r>
      <w:r w:rsidRPr="00C51032">
        <w:rPr>
          <w:rFonts w:eastAsia="Arial"/>
          <w:sz w:val="24"/>
          <w:highlight w:val="white"/>
        </w:rPr>
        <w:t xml:space="preserve">в строк до 31 </w:t>
      </w:r>
      <w:r w:rsidR="00EF2098" w:rsidRPr="00C51032">
        <w:rPr>
          <w:rFonts w:eastAsia="Arial"/>
          <w:sz w:val="24"/>
          <w:highlight w:val="white"/>
        </w:rPr>
        <w:t>грудня</w:t>
      </w:r>
      <w:r w:rsidRPr="00C51032">
        <w:rPr>
          <w:rFonts w:eastAsia="Arial"/>
          <w:sz w:val="24"/>
          <w:highlight w:val="white"/>
        </w:rPr>
        <w:t xml:space="preserve"> 202</w:t>
      </w:r>
      <w:r w:rsidR="00EF2098" w:rsidRPr="00C51032">
        <w:rPr>
          <w:rFonts w:eastAsia="Arial"/>
          <w:sz w:val="24"/>
          <w:highlight w:val="white"/>
        </w:rPr>
        <w:t>5</w:t>
      </w:r>
      <w:r w:rsidRPr="00C51032">
        <w:rPr>
          <w:rFonts w:eastAsia="Arial"/>
          <w:sz w:val="24"/>
          <w:highlight w:val="white"/>
        </w:rPr>
        <w:t xml:space="preserve"> року.</w:t>
      </w:r>
    </w:p>
    <w:p w14:paraId="110D889E" w14:textId="0EABB73F" w:rsidR="006E79DE" w:rsidRDefault="006E79DE" w:rsidP="00AF27B1">
      <w:pPr>
        <w:pStyle w:val="a3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eastAsia="Arial"/>
          <w:sz w:val="24"/>
          <w:highlight w:val="white"/>
        </w:rPr>
      </w:pPr>
      <w:r w:rsidRPr="00C51032">
        <w:rPr>
          <w:rFonts w:eastAsia="Arial"/>
          <w:sz w:val="24"/>
          <w:highlight w:val="white"/>
        </w:rPr>
        <w:t xml:space="preserve">Створити тимчасовий консультативно-дорадчий орган </w:t>
      </w:r>
      <w:r w:rsidR="0073536E">
        <w:rPr>
          <w:rFonts w:eastAsia="Arial"/>
          <w:sz w:val="24"/>
          <w:highlight w:val="white"/>
        </w:rPr>
        <w:t xml:space="preserve">при </w:t>
      </w:r>
      <w:r w:rsidRPr="00C51032">
        <w:rPr>
          <w:rFonts w:eastAsia="Arial"/>
          <w:sz w:val="24"/>
          <w:highlight w:val="white"/>
        </w:rPr>
        <w:t>виконавчо</w:t>
      </w:r>
      <w:r w:rsidR="0073536E">
        <w:rPr>
          <w:rFonts w:eastAsia="Arial"/>
          <w:sz w:val="24"/>
          <w:highlight w:val="white"/>
        </w:rPr>
        <w:t>му</w:t>
      </w:r>
      <w:r w:rsidRPr="00C51032">
        <w:rPr>
          <w:rFonts w:eastAsia="Arial"/>
          <w:sz w:val="24"/>
          <w:highlight w:val="white"/>
        </w:rPr>
        <w:t xml:space="preserve"> комітет</w:t>
      </w:r>
      <w:r w:rsidR="0073536E">
        <w:rPr>
          <w:rFonts w:eastAsia="Arial"/>
          <w:sz w:val="24"/>
          <w:highlight w:val="white"/>
        </w:rPr>
        <w:t>і</w:t>
      </w:r>
      <w:r w:rsidRPr="00C51032">
        <w:rPr>
          <w:rFonts w:eastAsia="Arial"/>
          <w:sz w:val="24"/>
          <w:highlight w:val="white"/>
        </w:rPr>
        <w:t xml:space="preserve"> Чорноморської міської ради</w:t>
      </w:r>
      <w:r w:rsidR="0073536E">
        <w:rPr>
          <w:rFonts w:eastAsia="Arial"/>
          <w:sz w:val="24"/>
          <w:highlight w:val="white"/>
        </w:rPr>
        <w:t xml:space="preserve"> </w:t>
      </w:r>
      <w:r w:rsidR="0073536E">
        <w:rPr>
          <w:sz w:val="24"/>
        </w:rPr>
        <w:t>Одеського району Одеської області</w:t>
      </w:r>
      <w:r w:rsidRPr="00C51032">
        <w:rPr>
          <w:rFonts w:eastAsia="Arial"/>
          <w:sz w:val="24"/>
          <w:highlight w:val="white"/>
        </w:rPr>
        <w:t xml:space="preserve"> – робочу групу з формування завдання на розроблення Комплексного плану, сформува</w:t>
      </w:r>
      <w:r w:rsidR="0073536E">
        <w:rPr>
          <w:rFonts w:eastAsia="Arial"/>
          <w:sz w:val="24"/>
          <w:highlight w:val="white"/>
        </w:rPr>
        <w:t>ти</w:t>
      </w:r>
      <w:r w:rsidRPr="00C51032">
        <w:rPr>
          <w:rFonts w:eastAsia="Arial"/>
          <w:sz w:val="24"/>
          <w:highlight w:val="white"/>
        </w:rPr>
        <w:t xml:space="preserve"> її персональний склад з дотриманням наступних вимог:</w:t>
      </w:r>
    </w:p>
    <w:p w14:paraId="6CA1A9ED" w14:textId="1100D23A" w:rsidR="00FA2BCD" w:rsidRDefault="00FA2BCD" w:rsidP="00FA2BCD">
      <w:pPr>
        <w:pStyle w:val="a3"/>
        <w:tabs>
          <w:tab w:val="left" w:pos="1134"/>
        </w:tabs>
        <w:ind w:left="709"/>
        <w:jc w:val="both"/>
        <w:rPr>
          <w:rFonts w:eastAsia="Arial"/>
          <w:sz w:val="24"/>
          <w:highlight w:val="white"/>
        </w:rPr>
      </w:pPr>
    </w:p>
    <w:p w14:paraId="678DA88D" w14:textId="77777777" w:rsidR="00FA2BCD" w:rsidRPr="00C51032" w:rsidRDefault="00FA2BCD" w:rsidP="00FA2BCD">
      <w:pPr>
        <w:pStyle w:val="a3"/>
        <w:tabs>
          <w:tab w:val="left" w:pos="1134"/>
        </w:tabs>
        <w:ind w:left="709"/>
        <w:jc w:val="both"/>
        <w:rPr>
          <w:rFonts w:eastAsia="Arial"/>
          <w:sz w:val="24"/>
          <w:highlight w:val="white"/>
        </w:rPr>
      </w:pPr>
    </w:p>
    <w:p w14:paraId="4F3EBF5C" w14:textId="1A62095C" w:rsidR="006E79DE" w:rsidRPr="00FA2BCD" w:rsidRDefault="000745E6" w:rsidP="00AF27B1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FA2BCD">
        <w:rPr>
          <w:rFonts w:ascii="Times New Roman" w:eastAsia="Arial" w:hAnsi="Times New Roman" w:cs="Times New Roman"/>
          <w:sz w:val="24"/>
          <w:szCs w:val="24"/>
          <w:lang w:val="uk-UA"/>
        </w:rPr>
        <w:t>кількість</w:t>
      </w:r>
      <w:r w:rsidR="006E79DE" w:rsidRPr="00FA2BCD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членів, що представляють Чорноморську міську раду </w:t>
      </w:r>
      <w:r w:rsidR="0073536E" w:rsidRPr="00FA2BCD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Одеського району Одеської області </w:t>
      </w:r>
      <w:r w:rsidR="006E79DE" w:rsidRPr="00FA2BCD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та </w:t>
      </w:r>
      <w:r w:rsidRPr="00FA2BCD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її </w:t>
      </w:r>
      <w:r w:rsidR="006E79DE" w:rsidRPr="00FA2BCD">
        <w:rPr>
          <w:rFonts w:ascii="Times New Roman" w:eastAsia="Arial" w:hAnsi="Times New Roman" w:cs="Times New Roman"/>
          <w:sz w:val="24"/>
          <w:szCs w:val="24"/>
          <w:lang w:val="uk-UA"/>
        </w:rPr>
        <w:t>виконавчі органи, не повинна перевищувати половин</w:t>
      </w:r>
      <w:r w:rsidR="00C608D7" w:rsidRPr="00FA2BCD">
        <w:rPr>
          <w:rFonts w:ascii="Times New Roman" w:eastAsia="Arial" w:hAnsi="Times New Roman" w:cs="Times New Roman"/>
          <w:sz w:val="24"/>
          <w:szCs w:val="24"/>
          <w:lang w:val="uk-UA"/>
        </w:rPr>
        <w:t>у</w:t>
      </w:r>
      <w:r w:rsidR="006E79DE" w:rsidRPr="00FA2BCD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складу робочої групи плюс одна особа;</w:t>
      </w:r>
    </w:p>
    <w:p w14:paraId="353FFB79" w14:textId="119BD70E" w:rsidR="006E79DE" w:rsidRPr="00C51032" w:rsidRDefault="006E79DE" w:rsidP="00AF27B1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4"/>
          <w:szCs w:val="24"/>
          <w:highlight w:val="white"/>
          <w:lang w:val="uk-UA"/>
        </w:rPr>
      </w:pPr>
      <w:r w:rsidRPr="00C51032">
        <w:rPr>
          <w:rFonts w:ascii="Times New Roman" w:eastAsia="Arial" w:hAnsi="Times New Roman" w:cs="Times New Roman"/>
          <w:sz w:val="24"/>
          <w:szCs w:val="24"/>
          <w:highlight w:val="white"/>
          <w:lang w:val="uk-UA"/>
        </w:rPr>
        <w:lastRenderedPageBreak/>
        <w:t xml:space="preserve">забезпечити участь у робочій групі принаймні одного представника від кожного з населених пунктів, розташованих на території </w:t>
      </w:r>
      <w:r w:rsidR="00337831">
        <w:rPr>
          <w:rFonts w:ascii="Times New Roman" w:eastAsia="Arial" w:hAnsi="Times New Roman" w:cs="Times New Roman"/>
          <w:sz w:val="24"/>
          <w:szCs w:val="24"/>
          <w:highlight w:val="white"/>
          <w:lang w:val="uk-UA"/>
        </w:rPr>
        <w:t xml:space="preserve">Чорноморської міської </w:t>
      </w:r>
      <w:r w:rsidRPr="00C51032">
        <w:rPr>
          <w:rFonts w:ascii="Times New Roman" w:eastAsia="Arial" w:hAnsi="Times New Roman" w:cs="Times New Roman"/>
          <w:sz w:val="24"/>
          <w:szCs w:val="24"/>
          <w:highlight w:val="white"/>
          <w:lang w:val="uk-UA"/>
        </w:rPr>
        <w:t xml:space="preserve">територіальної громади, який не є співробітником </w:t>
      </w:r>
      <w:r w:rsidR="00337831" w:rsidRPr="00C51032">
        <w:rPr>
          <w:rFonts w:ascii="Times New Roman" w:eastAsia="Arial" w:hAnsi="Times New Roman" w:cs="Times New Roman"/>
          <w:sz w:val="24"/>
          <w:szCs w:val="24"/>
          <w:highlight w:val="white"/>
          <w:lang w:val="uk-UA"/>
        </w:rPr>
        <w:t>Чорноморськ</w:t>
      </w:r>
      <w:r w:rsidR="00337831">
        <w:rPr>
          <w:rFonts w:ascii="Times New Roman" w:eastAsia="Arial" w:hAnsi="Times New Roman" w:cs="Times New Roman"/>
          <w:sz w:val="24"/>
          <w:szCs w:val="24"/>
          <w:highlight w:val="white"/>
          <w:lang w:val="uk-UA"/>
        </w:rPr>
        <w:t>ої</w:t>
      </w:r>
      <w:r w:rsidR="00337831" w:rsidRPr="00C51032">
        <w:rPr>
          <w:rFonts w:ascii="Times New Roman" w:eastAsia="Arial" w:hAnsi="Times New Roman" w:cs="Times New Roman"/>
          <w:sz w:val="24"/>
          <w:szCs w:val="24"/>
          <w:highlight w:val="white"/>
          <w:lang w:val="uk-UA"/>
        </w:rPr>
        <w:t xml:space="preserve"> міськ</w:t>
      </w:r>
      <w:r w:rsidR="00337831">
        <w:rPr>
          <w:rFonts w:ascii="Times New Roman" w:eastAsia="Arial" w:hAnsi="Times New Roman" w:cs="Times New Roman"/>
          <w:sz w:val="24"/>
          <w:szCs w:val="24"/>
          <w:highlight w:val="white"/>
          <w:lang w:val="uk-UA"/>
        </w:rPr>
        <w:t>ої</w:t>
      </w:r>
      <w:r w:rsidR="00337831" w:rsidRPr="00C51032">
        <w:rPr>
          <w:rFonts w:ascii="Times New Roman" w:eastAsia="Arial" w:hAnsi="Times New Roman" w:cs="Times New Roman"/>
          <w:sz w:val="24"/>
          <w:szCs w:val="24"/>
          <w:highlight w:val="white"/>
          <w:lang w:val="uk-UA"/>
        </w:rPr>
        <w:t xml:space="preserve"> рад</w:t>
      </w:r>
      <w:r w:rsidR="00337831">
        <w:rPr>
          <w:rFonts w:ascii="Times New Roman" w:eastAsia="Arial" w:hAnsi="Times New Roman" w:cs="Times New Roman"/>
          <w:sz w:val="24"/>
          <w:szCs w:val="24"/>
          <w:highlight w:val="white"/>
          <w:lang w:val="uk-UA"/>
        </w:rPr>
        <w:t>и</w:t>
      </w:r>
      <w:r w:rsidR="00337831" w:rsidRPr="00C51032">
        <w:rPr>
          <w:rFonts w:ascii="Times New Roman" w:eastAsia="Arial" w:hAnsi="Times New Roman" w:cs="Times New Roman"/>
          <w:sz w:val="24"/>
          <w:szCs w:val="24"/>
          <w:highlight w:val="white"/>
          <w:lang w:val="uk-UA"/>
        </w:rPr>
        <w:t xml:space="preserve"> </w:t>
      </w:r>
      <w:r w:rsidR="00337831">
        <w:rPr>
          <w:rFonts w:ascii="Times New Roman" w:eastAsia="Arial" w:hAnsi="Times New Roman" w:cs="Times New Roman"/>
          <w:sz w:val="24"/>
          <w:szCs w:val="24"/>
          <w:highlight w:val="white"/>
          <w:lang w:val="uk-UA"/>
        </w:rPr>
        <w:t xml:space="preserve">Одеського району Одеської області </w:t>
      </w:r>
      <w:r w:rsidR="00337831" w:rsidRPr="00C51032">
        <w:rPr>
          <w:rFonts w:ascii="Times New Roman" w:eastAsia="Arial" w:hAnsi="Times New Roman" w:cs="Times New Roman"/>
          <w:sz w:val="24"/>
          <w:szCs w:val="24"/>
          <w:highlight w:val="white"/>
          <w:lang w:val="uk-UA"/>
        </w:rPr>
        <w:t xml:space="preserve">та </w:t>
      </w:r>
      <w:r w:rsidR="00337831">
        <w:rPr>
          <w:rFonts w:ascii="Times New Roman" w:eastAsia="Arial" w:hAnsi="Times New Roman" w:cs="Times New Roman"/>
          <w:sz w:val="24"/>
          <w:szCs w:val="24"/>
          <w:highlight w:val="white"/>
          <w:lang w:val="uk-UA"/>
        </w:rPr>
        <w:t xml:space="preserve">її </w:t>
      </w:r>
      <w:r w:rsidR="00337831" w:rsidRPr="00C51032">
        <w:rPr>
          <w:rFonts w:ascii="Times New Roman" w:eastAsia="Arial" w:hAnsi="Times New Roman" w:cs="Times New Roman"/>
          <w:sz w:val="24"/>
          <w:szCs w:val="24"/>
          <w:highlight w:val="white"/>
          <w:lang w:val="uk-UA"/>
        </w:rPr>
        <w:t>виконавч</w:t>
      </w:r>
      <w:r w:rsidR="00337831">
        <w:rPr>
          <w:rFonts w:ascii="Times New Roman" w:eastAsia="Arial" w:hAnsi="Times New Roman" w:cs="Times New Roman"/>
          <w:sz w:val="24"/>
          <w:szCs w:val="24"/>
          <w:highlight w:val="white"/>
          <w:lang w:val="uk-UA"/>
        </w:rPr>
        <w:t>их</w:t>
      </w:r>
      <w:r w:rsidR="00337831" w:rsidRPr="00C51032">
        <w:rPr>
          <w:rFonts w:ascii="Times New Roman" w:eastAsia="Arial" w:hAnsi="Times New Roman" w:cs="Times New Roman"/>
          <w:sz w:val="24"/>
          <w:szCs w:val="24"/>
          <w:highlight w:val="white"/>
          <w:lang w:val="uk-UA"/>
        </w:rPr>
        <w:t xml:space="preserve"> орган</w:t>
      </w:r>
      <w:r w:rsidR="00337831">
        <w:rPr>
          <w:rFonts w:ascii="Times New Roman" w:eastAsia="Arial" w:hAnsi="Times New Roman" w:cs="Times New Roman"/>
          <w:sz w:val="24"/>
          <w:szCs w:val="24"/>
          <w:highlight w:val="white"/>
          <w:lang w:val="uk-UA"/>
        </w:rPr>
        <w:t>ів</w:t>
      </w:r>
      <w:r w:rsidRPr="00C51032">
        <w:rPr>
          <w:rFonts w:ascii="Times New Roman" w:eastAsia="Arial" w:hAnsi="Times New Roman" w:cs="Times New Roman"/>
          <w:sz w:val="24"/>
          <w:szCs w:val="24"/>
          <w:highlight w:val="white"/>
          <w:lang w:val="uk-UA"/>
        </w:rPr>
        <w:t>;</w:t>
      </w:r>
    </w:p>
    <w:p w14:paraId="729F1CA2" w14:textId="27E6DD82" w:rsidR="006E79DE" w:rsidRPr="00C51032" w:rsidRDefault="006E79DE" w:rsidP="00AF27B1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4"/>
          <w:szCs w:val="24"/>
          <w:highlight w:val="white"/>
          <w:lang w:val="uk-UA"/>
        </w:rPr>
      </w:pPr>
      <w:r w:rsidRPr="00C51032">
        <w:rPr>
          <w:rFonts w:ascii="Times New Roman" w:eastAsia="Arial" w:hAnsi="Times New Roman" w:cs="Times New Roman"/>
          <w:sz w:val="24"/>
          <w:szCs w:val="24"/>
          <w:highlight w:val="white"/>
          <w:lang w:val="uk-UA"/>
        </w:rPr>
        <w:t xml:space="preserve">допускається представлення одним членом робочої групи інтересів кількох суміжних населених пунктів </w:t>
      </w:r>
      <w:r w:rsidR="00337831">
        <w:rPr>
          <w:rFonts w:ascii="Times New Roman" w:eastAsia="Arial" w:hAnsi="Times New Roman" w:cs="Times New Roman"/>
          <w:sz w:val="24"/>
          <w:szCs w:val="24"/>
          <w:highlight w:val="white"/>
          <w:lang w:val="uk-UA"/>
        </w:rPr>
        <w:t xml:space="preserve">Чорноморської міської </w:t>
      </w:r>
      <w:r w:rsidRPr="00C51032">
        <w:rPr>
          <w:rFonts w:ascii="Times New Roman" w:eastAsia="Arial" w:hAnsi="Times New Roman" w:cs="Times New Roman"/>
          <w:sz w:val="24"/>
          <w:szCs w:val="24"/>
          <w:highlight w:val="white"/>
          <w:lang w:val="uk-UA"/>
        </w:rPr>
        <w:t>територіальної громади;</w:t>
      </w:r>
    </w:p>
    <w:p w14:paraId="5D1A5E39" w14:textId="77777777" w:rsidR="006E79DE" w:rsidRPr="00C51032" w:rsidRDefault="006E79DE" w:rsidP="00AF27B1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4"/>
          <w:szCs w:val="24"/>
          <w:highlight w:val="white"/>
          <w:lang w:val="uk-UA"/>
        </w:rPr>
      </w:pPr>
      <w:r w:rsidRPr="00C51032">
        <w:rPr>
          <w:rFonts w:ascii="Times New Roman" w:eastAsia="Arial" w:hAnsi="Times New Roman" w:cs="Times New Roman"/>
          <w:sz w:val="24"/>
          <w:szCs w:val="24"/>
          <w:highlight w:val="white"/>
          <w:lang w:val="uk-UA"/>
        </w:rPr>
        <w:t>строк приймання заявок на участь у робочій групі має становити не менше 10 робочих днів з дня інформування про вимоги до персонального складу робочої групи та порядок подання кандидатур до неї.</w:t>
      </w:r>
    </w:p>
    <w:p w14:paraId="579D95C9" w14:textId="0BB81C17" w:rsidR="006E79DE" w:rsidRPr="00C51032" w:rsidRDefault="006E79DE" w:rsidP="00AF27B1">
      <w:pPr>
        <w:numPr>
          <w:ilvl w:val="1"/>
          <w:numId w:val="9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4"/>
          <w:szCs w:val="24"/>
          <w:highlight w:val="white"/>
          <w:lang w:val="uk-UA"/>
        </w:rPr>
      </w:pPr>
      <w:r w:rsidRPr="00C51032">
        <w:rPr>
          <w:rFonts w:ascii="Times New Roman" w:eastAsia="Arial" w:hAnsi="Times New Roman" w:cs="Times New Roman"/>
          <w:sz w:val="24"/>
          <w:szCs w:val="24"/>
          <w:highlight w:val="white"/>
          <w:lang w:val="uk-UA"/>
        </w:rPr>
        <w:t>Забезпечити врахування при розробленні завдання на розроблення Комплексного плану пропозицій щодо переліку та значень індикаторів (</w:t>
      </w:r>
      <w:r w:rsidR="00337831">
        <w:rPr>
          <w:rFonts w:ascii="Times New Roman" w:eastAsia="Arial" w:hAnsi="Times New Roman" w:cs="Times New Roman"/>
          <w:sz w:val="24"/>
          <w:szCs w:val="24"/>
          <w:highlight w:val="white"/>
          <w:lang w:val="uk-UA"/>
        </w:rPr>
        <w:t>д</w:t>
      </w:r>
      <w:r w:rsidRPr="00C51032">
        <w:rPr>
          <w:rFonts w:ascii="Times New Roman" w:eastAsia="Arial" w:hAnsi="Times New Roman" w:cs="Times New Roman"/>
          <w:sz w:val="24"/>
          <w:szCs w:val="24"/>
          <w:highlight w:val="white"/>
          <w:lang w:val="uk-UA"/>
        </w:rPr>
        <w:t>одаток 1).</w:t>
      </w:r>
    </w:p>
    <w:p w14:paraId="53881B22" w14:textId="77C2DE7D" w:rsidR="006E79DE" w:rsidRPr="00C51032" w:rsidRDefault="006E79DE" w:rsidP="00AF27B1">
      <w:pPr>
        <w:numPr>
          <w:ilvl w:val="1"/>
          <w:numId w:val="9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4"/>
          <w:szCs w:val="24"/>
          <w:highlight w:val="white"/>
          <w:lang w:val="uk-UA"/>
        </w:rPr>
      </w:pPr>
      <w:r w:rsidRPr="00C51032">
        <w:rPr>
          <w:rFonts w:ascii="Times New Roman" w:eastAsia="Arial" w:hAnsi="Times New Roman" w:cs="Times New Roman"/>
          <w:sz w:val="24"/>
          <w:szCs w:val="24"/>
          <w:highlight w:val="white"/>
          <w:lang w:val="uk-UA"/>
        </w:rPr>
        <w:t xml:space="preserve">Оприлюднити прогнозовані наслідки розроблення Комплексного плану </w:t>
      </w:r>
      <w:r w:rsidR="00B24511">
        <w:rPr>
          <w:rFonts w:ascii="Times New Roman" w:eastAsia="Arial" w:hAnsi="Times New Roman" w:cs="Times New Roman"/>
          <w:sz w:val="24"/>
          <w:szCs w:val="24"/>
          <w:highlight w:val="white"/>
          <w:lang w:val="uk-UA"/>
        </w:rPr>
        <w:t xml:space="preserve">                     </w:t>
      </w:r>
      <w:r w:rsidRPr="00C51032">
        <w:rPr>
          <w:rFonts w:ascii="Times New Roman" w:eastAsia="Arial" w:hAnsi="Times New Roman" w:cs="Times New Roman"/>
          <w:sz w:val="24"/>
          <w:szCs w:val="24"/>
          <w:highlight w:val="white"/>
          <w:lang w:val="uk-UA"/>
        </w:rPr>
        <w:t>(</w:t>
      </w:r>
      <w:r w:rsidR="00337831">
        <w:rPr>
          <w:rFonts w:ascii="Times New Roman" w:eastAsia="Arial" w:hAnsi="Times New Roman" w:cs="Times New Roman"/>
          <w:sz w:val="24"/>
          <w:szCs w:val="24"/>
          <w:highlight w:val="white"/>
          <w:lang w:val="uk-UA"/>
        </w:rPr>
        <w:t>д</w:t>
      </w:r>
      <w:r w:rsidRPr="00C51032">
        <w:rPr>
          <w:rFonts w:ascii="Times New Roman" w:eastAsia="Arial" w:hAnsi="Times New Roman" w:cs="Times New Roman"/>
          <w:sz w:val="24"/>
          <w:szCs w:val="24"/>
          <w:highlight w:val="white"/>
          <w:lang w:val="uk-UA"/>
        </w:rPr>
        <w:t>одаток 2)</w:t>
      </w:r>
      <w:r w:rsidR="00337831">
        <w:rPr>
          <w:rFonts w:ascii="Times New Roman" w:eastAsia="Arial" w:hAnsi="Times New Roman" w:cs="Times New Roman"/>
          <w:sz w:val="24"/>
          <w:szCs w:val="24"/>
          <w:highlight w:val="white"/>
          <w:lang w:val="uk-UA"/>
        </w:rPr>
        <w:t xml:space="preserve">. </w:t>
      </w:r>
    </w:p>
    <w:p w14:paraId="2785BC66" w14:textId="56ACF013" w:rsidR="006E79DE" w:rsidRPr="00C51032" w:rsidRDefault="006E79DE" w:rsidP="00AF27B1">
      <w:pPr>
        <w:numPr>
          <w:ilvl w:val="1"/>
          <w:numId w:val="9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4"/>
          <w:szCs w:val="24"/>
          <w:highlight w:val="white"/>
          <w:lang w:val="uk-UA"/>
        </w:rPr>
      </w:pPr>
      <w:r w:rsidRPr="00C51032">
        <w:rPr>
          <w:rFonts w:ascii="Times New Roman" w:eastAsia="Arial" w:hAnsi="Times New Roman" w:cs="Times New Roman"/>
          <w:sz w:val="24"/>
          <w:szCs w:val="24"/>
          <w:highlight w:val="white"/>
          <w:lang w:val="uk-UA"/>
        </w:rPr>
        <w:t>У встановленому законодавством порядку визначити строки розроблення та розробника Комплексного плану.</w:t>
      </w:r>
    </w:p>
    <w:p w14:paraId="50994EC0" w14:textId="77777777" w:rsidR="006E79DE" w:rsidRPr="00C51032" w:rsidRDefault="006E79DE" w:rsidP="00AF27B1">
      <w:pPr>
        <w:numPr>
          <w:ilvl w:val="1"/>
          <w:numId w:val="9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4"/>
          <w:szCs w:val="24"/>
          <w:highlight w:val="white"/>
          <w:lang w:val="uk-UA"/>
        </w:rPr>
      </w:pPr>
      <w:r w:rsidRPr="00C51032">
        <w:rPr>
          <w:rFonts w:ascii="Times New Roman" w:eastAsia="Arial" w:hAnsi="Times New Roman" w:cs="Times New Roman"/>
          <w:sz w:val="24"/>
          <w:szCs w:val="24"/>
          <w:highlight w:val="white"/>
          <w:lang w:val="uk-UA"/>
        </w:rPr>
        <w:t>Здійснювати контроль за розробленням Комплексного плану.</w:t>
      </w:r>
    </w:p>
    <w:p w14:paraId="246EF059" w14:textId="77777777" w:rsidR="006E79DE" w:rsidRPr="00C51032" w:rsidRDefault="006E79DE" w:rsidP="00AF27B1">
      <w:pPr>
        <w:numPr>
          <w:ilvl w:val="1"/>
          <w:numId w:val="9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4"/>
          <w:szCs w:val="24"/>
          <w:highlight w:val="white"/>
          <w:lang w:val="uk-UA"/>
        </w:rPr>
      </w:pPr>
      <w:r w:rsidRPr="00C51032">
        <w:rPr>
          <w:rFonts w:ascii="Times New Roman" w:eastAsia="Arial" w:hAnsi="Times New Roman" w:cs="Times New Roman"/>
          <w:sz w:val="24"/>
          <w:szCs w:val="24"/>
          <w:highlight w:val="white"/>
          <w:lang w:val="uk-UA"/>
        </w:rPr>
        <w:t>Забезпечити здійснення стратегічної екологічної оцінки Комплексного плану.</w:t>
      </w:r>
    </w:p>
    <w:p w14:paraId="4F073C94" w14:textId="69037BB7" w:rsidR="006E79DE" w:rsidRPr="00C51032" w:rsidRDefault="006E79DE" w:rsidP="00AF27B1">
      <w:pPr>
        <w:numPr>
          <w:ilvl w:val="1"/>
          <w:numId w:val="9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4"/>
          <w:szCs w:val="24"/>
          <w:highlight w:val="white"/>
          <w:lang w:val="uk-UA"/>
        </w:rPr>
      </w:pPr>
      <w:r w:rsidRPr="00C51032">
        <w:rPr>
          <w:rFonts w:ascii="Times New Roman" w:eastAsia="Arial" w:hAnsi="Times New Roman" w:cs="Times New Roman"/>
          <w:sz w:val="24"/>
          <w:szCs w:val="24"/>
          <w:highlight w:val="white"/>
          <w:lang w:val="uk-UA"/>
        </w:rPr>
        <w:t>Забезпечити проведення громадських слухань щодо врахування громадських інтересів під</w:t>
      </w:r>
      <w:r w:rsidR="004356BB">
        <w:rPr>
          <w:rFonts w:ascii="Times New Roman" w:eastAsia="Arial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C51032">
        <w:rPr>
          <w:rFonts w:ascii="Times New Roman" w:eastAsia="Arial" w:hAnsi="Times New Roman" w:cs="Times New Roman"/>
          <w:sz w:val="24"/>
          <w:szCs w:val="24"/>
          <w:highlight w:val="white"/>
          <w:lang w:val="uk-UA"/>
        </w:rPr>
        <w:t>час розроблення Комплексного плану.</w:t>
      </w:r>
    </w:p>
    <w:p w14:paraId="63ABE716" w14:textId="2FA6DB1B" w:rsidR="006E79DE" w:rsidRPr="00C51032" w:rsidRDefault="006E79DE" w:rsidP="00AF27B1">
      <w:pPr>
        <w:pStyle w:val="a3"/>
        <w:numPr>
          <w:ilvl w:val="1"/>
          <w:numId w:val="9"/>
        </w:numPr>
        <w:tabs>
          <w:tab w:val="left" w:pos="0"/>
          <w:tab w:val="left" w:pos="1134"/>
          <w:tab w:val="left" w:pos="1276"/>
        </w:tabs>
        <w:ind w:left="0" w:firstLine="567"/>
        <w:jc w:val="both"/>
        <w:rPr>
          <w:rFonts w:eastAsia="Arial"/>
          <w:sz w:val="24"/>
          <w:highlight w:val="white"/>
        </w:rPr>
      </w:pPr>
      <w:r w:rsidRPr="00C51032">
        <w:rPr>
          <w:rFonts w:eastAsia="Arial"/>
          <w:sz w:val="24"/>
          <w:highlight w:val="white"/>
        </w:rPr>
        <w:t xml:space="preserve">Отримати відомості щодо державних інтересів та інтересів суміжних територіальних громад для їх врахування під час розроблення Комплексного плану шляхом подання до виконавчих органів </w:t>
      </w:r>
      <w:r w:rsidR="00324362">
        <w:rPr>
          <w:rFonts w:eastAsia="Arial"/>
          <w:sz w:val="24"/>
          <w:highlight w:val="white"/>
        </w:rPr>
        <w:t xml:space="preserve">таких громад </w:t>
      </w:r>
      <w:r w:rsidRPr="00C51032">
        <w:rPr>
          <w:rFonts w:eastAsia="Arial"/>
          <w:sz w:val="24"/>
          <w:highlight w:val="white"/>
        </w:rPr>
        <w:t xml:space="preserve">запитів  </w:t>
      </w:r>
      <w:r w:rsidR="00FA2BCD">
        <w:rPr>
          <w:rFonts w:eastAsia="Arial"/>
          <w:sz w:val="24"/>
          <w:highlight w:val="white"/>
        </w:rPr>
        <w:t>у</w:t>
      </w:r>
      <w:r w:rsidRPr="00C51032">
        <w:rPr>
          <w:rFonts w:eastAsia="Arial"/>
          <w:sz w:val="24"/>
          <w:highlight w:val="white"/>
        </w:rPr>
        <w:t xml:space="preserve"> частині врегулювання питань щодо територій спільних інтересів.</w:t>
      </w:r>
    </w:p>
    <w:p w14:paraId="54CD115B" w14:textId="408B3DC7" w:rsidR="006E79DE" w:rsidRPr="00C51032" w:rsidRDefault="006E79DE" w:rsidP="00AF27B1">
      <w:pPr>
        <w:pStyle w:val="a3"/>
        <w:numPr>
          <w:ilvl w:val="1"/>
          <w:numId w:val="9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rFonts w:eastAsia="Arial"/>
          <w:sz w:val="24"/>
          <w:highlight w:val="white"/>
        </w:rPr>
      </w:pPr>
      <w:r w:rsidRPr="00C51032">
        <w:rPr>
          <w:rFonts w:eastAsia="Arial"/>
          <w:sz w:val="24"/>
          <w:highlight w:val="white"/>
        </w:rPr>
        <w:t xml:space="preserve">Забезпечити розгляд проєкту Комплексного плану </w:t>
      </w:r>
      <w:r w:rsidR="00324362">
        <w:rPr>
          <w:rFonts w:eastAsia="Arial"/>
          <w:sz w:val="24"/>
          <w:highlight w:val="white"/>
        </w:rPr>
        <w:t xml:space="preserve">                                      </w:t>
      </w:r>
      <w:r w:rsidRPr="00C51032">
        <w:rPr>
          <w:rFonts w:eastAsia="Arial"/>
          <w:sz w:val="24"/>
          <w:highlight w:val="white"/>
        </w:rPr>
        <w:t>архітектурно-містобудівною радою при управлінні з питань містобудування та архітектури Одеської обласної державної адміністрації.</w:t>
      </w:r>
    </w:p>
    <w:p w14:paraId="5A1FAC25" w14:textId="70C1386E" w:rsidR="006E79DE" w:rsidRPr="00C51032" w:rsidRDefault="00324362" w:rsidP="00AF27B1">
      <w:pPr>
        <w:pStyle w:val="a3"/>
        <w:numPr>
          <w:ilvl w:val="1"/>
          <w:numId w:val="11"/>
        </w:numPr>
        <w:tabs>
          <w:tab w:val="left" w:pos="0"/>
          <w:tab w:val="left" w:pos="1134"/>
        </w:tabs>
        <w:ind w:left="0" w:firstLine="567"/>
        <w:jc w:val="both"/>
        <w:rPr>
          <w:rFonts w:eastAsia="Arial"/>
          <w:sz w:val="24"/>
          <w:highlight w:val="white"/>
        </w:rPr>
      </w:pPr>
      <w:r>
        <w:rPr>
          <w:rFonts w:eastAsia="Arial"/>
          <w:sz w:val="24"/>
          <w:highlight w:val="white"/>
        </w:rPr>
        <w:t>З</w:t>
      </w:r>
      <w:r w:rsidR="006E79DE" w:rsidRPr="00C51032">
        <w:rPr>
          <w:rFonts w:eastAsia="Arial"/>
          <w:sz w:val="24"/>
          <w:highlight w:val="white"/>
        </w:rPr>
        <w:t>абезпечити подання про</w:t>
      </w:r>
      <w:r w:rsidR="00FA2BCD">
        <w:rPr>
          <w:rFonts w:eastAsia="Arial"/>
          <w:sz w:val="24"/>
          <w:highlight w:val="white"/>
        </w:rPr>
        <w:t>є</w:t>
      </w:r>
      <w:r w:rsidR="006E79DE" w:rsidRPr="00C51032">
        <w:rPr>
          <w:rFonts w:eastAsia="Arial"/>
          <w:sz w:val="24"/>
          <w:highlight w:val="white"/>
        </w:rPr>
        <w:t>кту Комплексного плану експертній організації для проведення експертизи.</w:t>
      </w:r>
    </w:p>
    <w:p w14:paraId="0C1BEA5A" w14:textId="5DDB8D5C" w:rsidR="006E79DE" w:rsidRPr="00C51032" w:rsidRDefault="006E79DE" w:rsidP="00AF27B1">
      <w:pPr>
        <w:pStyle w:val="a3"/>
        <w:numPr>
          <w:ilvl w:val="1"/>
          <w:numId w:val="12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rFonts w:eastAsia="Arial"/>
          <w:sz w:val="24"/>
          <w:highlight w:val="white"/>
        </w:rPr>
      </w:pPr>
      <w:r w:rsidRPr="00C51032">
        <w:rPr>
          <w:rFonts w:eastAsia="Arial"/>
          <w:sz w:val="24"/>
          <w:highlight w:val="white"/>
        </w:rPr>
        <w:t xml:space="preserve"> Забезпечити погодження відповідних про</w:t>
      </w:r>
      <w:r w:rsidR="00324362">
        <w:rPr>
          <w:rFonts w:eastAsia="Arial"/>
          <w:sz w:val="24"/>
          <w:highlight w:val="white"/>
        </w:rPr>
        <w:t>є</w:t>
      </w:r>
      <w:r w:rsidRPr="00C51032">
        <w:rPr>
          <w:rFonts w:eastAsia="Arial"/>
          <w:sz w:val="24"/>
          <w:highlight w:val="white"/>
        </w:rPr>
        <w:t>ктних рішень Комплексного плану відповідно до Земельного кодексу України.</w:t>
      </w:r>
    </w:p>
    <w:p w14:paraId="25FA292E" w14:textId="472EA021" w:rsidR="006E79DE" w:rsidRDefault="006E79DE" w:rsidP="00AF27B1">
      <w:pPr>
        <w:pStyle w:val="a3"/>
        <w:numPr>
          <w:ilvl w:val="1"/>
          <w:numId w:val="12"/>
        </w:numPr>
        <w:tabs>
          <w:tab w:val="left" w:pos="1134"/>
        </w:tabs>
        <w:ind w:left="0" w:firstLine="567"/>
        <w:jc w:val="both"/>
        <w:rPr>
          <w:sz w:val="24"/>
        </w:rPr>
      </w:pPr>
      <w:r w:rsidRPr="00C51032">
        <w:rPr>
          <w:sz w:val="24"/>
        </w:rPr>
        <w:t>Подати Чорноморській міській раді Одеського району Одеської області на затвердження завершений та узгоджений у порядку, визначеному чинним законодавством України, проєкт Комплексного плану.</w:t>
      </w:r>
    </w:p>
    <w:p w14:paraId="62C1F0B2" w14:textId="48C613CF" w:rsidR="00AF27B1" w:rsidRPr="00AF27B1" w:rsidRDefault="00AF27B1" w:rsidP="00AF27B1">
      <w:pPr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15B4">
        <w:rPr>
          <w:rFonts w:ascii="Times New Roman" w:hAnsi="Times New Roman" w:cs="Times New Roman"/>
          <w:sz w:val="24"/>
          <w:szCs w:val="24"/>
          <w:lang w:val="uk-UA"/>
        </w:rPr>
        <w:t>Фінансування робіт з розробки Комплексного плану здійснювати за рахунок коштів бюджету Чорноморської міської територіальної громади  та інших джерел, не заборонених чинним законодавством України.</w:t>
      </w:r>
    </w:p>
    <w:p w14:paraId="560F4D08" w14:textId="4382ED28" w:rsidR="00D81995" w:rsidRDefault="00B02D50" w:rsidP="00AF27B1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4"/>
        </w:rPr>
      </w:pPr>
      <w:r w:rsidRPr="00E669D3">
        <w:rPr>
          <w:sz w:val="24"/>
        </w:rPr>
        <w:t xml:space="preserve">Координацію роботи з виконання </w:t>
      </w:r>
      <w:r w:rsidR="006D2523">
        <w:rPr>
          <w:sz w:val="24"/>
        </w:rPr>
        <w:t>даного</w:t>
      </w:r>
      <w:r w:rsidRPr="00E669D3">
        <w:rPr>
          <w:sz w:val="24"/>
        </w:rPr>
        <w:t xml:space="preserve"> рішення покласти</w:t>
      </w:r>
      <w:r w:rsidR="006D2523">
        <w:rPr>
          <w:sz w:val="24"/>
        </w:rPr>
        <w:t xml:space="preserve"> на управління архітектури та містобудування виконавчого комітету </w:t>
      </w:r>
      <w:r w:rsidR="006D2523" w:rsidRPr="00D4744C">
        <w:rPr>
          <w:sz w:val="24"/>
        </w:rPr>
        <w:t>Чорноморської міської ради Одеського району Одеської області</w:t>
      </w:r>
      <w:r w:rsidR="006D2523">
        <w:rPr>
          <w:sz w:val="24"/>
        </w:rPr>
        <w:t xml:space="preserve">. </w:t>
      </w:r>
    </w:p>
    <w:p w14:paraId="090AA32E" w14:textId="1FA817F4" w:rsidR="006E79DE" w:rsidRPr="00D4744C" w:rsidRDefault="006E79DE" w:rsidP="00AF27B1">
      <w:pPr>
        <w:pStyle w:val="a3"/>
        <w:numPr>
          <w:ilvl w:val="0"/>
          <w:numId w:val="12"/>
        </w:numPr>
        <w:tabs>
          <w:tab w:val="left" w:pos="0"/>
          <w:tab w:val="left" w:pos="851"/>
        </w:tabs>
        <w:ind w:left="0" w:firstLine="567"/>
        <w:jc w:val="both"/>
        <w:rPr>
          <w:sz w:val="24"/>
        </w:rPr>
      </w:pPr>
      <w:r w:rsidRPr="00D4744C">
        <w:rPr>
          <w:sz w:val="24"/>
        </w:rPr>
        <w:t xml:space="preserve">Рішення Чорноморської міської ради Одеського району Одеської області від 30.07.2021  № 109-VIII «Про розроблення проєкту внесення змін до Генерального плану  </w:t>
      </w:r>
      <w:r w:rsidR="00D4744C" w:rsidRPr="00D4744C">
        <w:rPr>
          <w:sz w:val="24"/>
        </w:rPr>
        <w:t xml:space="preserve">                </w:t>
      </w:r>
      <w:r w:rsidRPr="00D4744C">
        <w:rPr>
          <w:sz w:val="24"/>
        </w:rPr>
        <w:t xml:space="preserve">м. Чорноморська Одеського району Одеської області, поєднаного з планом зонування території населеного пункту у складі генерального плану» </w:t>
      </w:r>
      <w:r w:rsidR="00D71010" w:rsidRPr="00D4744C">
        <w:rPr>
          <w:sz w:val="24"/>
        </w:rPr>
        <w:t xml:space="preserve">та  </w:t>
      </w:r>
      <w:r w:rsidR="00B26617" w:rsidRPr="00D4744C">
        <w:rPr>
          <w:rFonts w:eastAsia="Arial"/>
          <w:sz w:val="24"/>
        </w:rPr>
        <w:t xml:space="preserve">від 19.05.2023 № 395-VIII «Про розроблення комплексного плану просторового розвитку території Чорноморської міської територіальної громади» </w:t>
      </w:r>
      <w:r w:rsidRPr="00D4744C">
        <w:rPr>
          <w:sz w:val="24"/>
        </w:rPr>
        <w:t>визнати таким</w:t>
      </w:r>
      <w:r w:rsidR="00FA2BCD">
        <w:rPr>
          <w:sz w:val="24"/>
        </w:rPr>
        <w:t>и</w:t>
      </w:r>
      <w:r w:rsidRPr="00D4744C">
        <w:rPr>
          <w:sz w:val="24"/>
        </w:rPr>
        <w:t>, що втратил</w:t>
      </w:r>
      <w:r w:rsidR="00FA2BCD">
        <w:rPr>
          <w:sz w:val="24"/>
        </w:rPr>
        <w:t>и</w:t>
      </w:r>
      <w:r w:rsidRPr="00D4744C">
        <w:rPr>
          <w:sz w:val="24"/>
        </w:rPr>
        <w:t xml:space="preserve"> свою чинність.</w:t>
      </w:r>
    </w:p>
    <w:p w14:paraId="69C0FE20" w14:textId="77777777" w:rsidR="006E79DE" w:rsidRPr="00C51032" w:rsidRDefault="006E79DE" w:rsidP="00AF27B1">
      <w:pPr>
        <w:numPr>
          <w:ilvl w:val="0"/>
          <w:numId w:val="12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4"/>
          <w:szCs w:val="24"/>
          <w:highlight w:val="white"/>
          <w:lang w:val="uk-UA"/>
        </w:rPr>
      </w:pPr>
      <w:r w:rsidRPr="00C51032">
        <w:rPr>
          <w:rFonts w:ascii="Times New Roman" w:eastAsia="Arial" w:hAnsi="Times New Roman" w:cs="Times New Roman"/>
          <w:sz w:val="24"/>
          <w:szCs w:val="24"/>
          <w:highlight w:val="white"/>
          <w:lang w:val="uk-UA"/>
        </w:rPr>
        <w:t xml:space="preserve">Контроль за виконанням цього рішення покласти на </w:t>
      </w:r>
      <w:r w:rsidRPr="00C51032">
        <w:rPr>
          <w:rFonts w:ascii="Times New Roman" w:hAnsi="Times New Roman" w:cs="Times New Roman"/>
          <w:sz w:val="24"/>
          <w:szCs w:val="24"/>
          <w:lang w:val="uk-UA"/>
        </w:rPr>
        <w:t>постійну комісію з  питань будівництва, регулювання земельних відносин, охорони навколишнього середовища та благоустрою,  заступника міського голови Ігоря Сурніна.</w:t>
      </w:r>
    </w:p>
    <w:p w14:paraId="1296E461" w14:textId="77777777" w:rsidR="00AF27B1" w:rsidRDefault="00AF27B1" w:rsidP="00AF27B1">
      <w:pPr>
        <w:shd w:val="clear" w:color="auto" w:fill="FFFFFF"/>
        <w:tabs>
          <w:tab w:val="left" w:pos="0"/>
          <w:tab w:val="left" w:pos="851"/>
        </w:tabs>
        <w:spacing w:line="240" w:lineRule="auto"/>
        <w:jc w:val="both"/>
        <w:rPr>
          <w:rFonts w:ascii="Times New Roman" w:eastAsia="Arial" w:hAnsi="Times New Roman" w:cs="Times New Roman"/>
          <w:color w:val="FF0000"/>
          <w:sz w:val="24"/>
          <w:szCs w:val="24"/>
          <w:lang w:val="uk-UA" w:eastAsia="ru-RU"/>
        </w:rPr>
      </w:pPr>
    </w:p>
    <w:p w14:paraId="39AC8295" w14:textId="4F39ED4D" w:rsidR="007C76BE" w:rsidRPr="00C51032" w:rsidRDefault="006E79DE" w:rsidP="00AF27B1">
      <w:pPr>
        <w:shd w:val="clear" w:color="auto" w:fill="FFFFFF"/>
        <w:tabs>
          <w:tab w:val="left" w:pos="0"/>
          <w:tab w:val="left" w:pos="851"/>
        </w:tabs>
        <w:spacing w:line="240" w:lineRule="auto"/>
        <w:ind w:left="567"/>
        <w:jc w:val="both"/>
        <w:rPr>
          <w:rFonts w:eastAsia="Arial"/>
          <w:sz w:val="24"/>
          <w:szCs w:val="24"/>
          <w:lang w:val="uk-UA"/>
        </w:rPr>
      </w:pPr>
      <w:r w:rsidRPr="00C51032"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            Василь ГУЛЯЄВ</w:t>
      </w:r>
    </w:p>
    <w:sectPr w:rsidR="007C76BE" w:rsidRPr="00C51032" w:rsidSect="007715B4">
      <w:headerReference w:type="default" r:id="rId7"/>
      <w:pgSz w:w="11906" w:h="16838"/>
      <w:pgMar w:top="851" w:right="707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13694" w14:textId="77777777" w:rsidR="00B24511" w:rsidRDefault="00B24511" w:rsidP="00B24511">
      <w:pPr>
        <w:spacing w:after="0" w:line="240" w:lineRule="auto"/>
      </w:pPr>
      <w:r>
        <w:separator/>
      </w:r>
    </w:p>
  </w:endnote>
  <w:endnote w:type="continuationSeparator" w:id="0">
    <w:p w14:paraId="3BDD01DC" w14:textId="77777777" w:rsidR="00B24511" w:rsidRDefault="00B24511" w:rsidP="00B24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06267" w14:textId="77777777" w:rsidR="00B24511" w:rsidRDefault="00B24511" w:rsidP="00B24511">
      <w:pPr>
        <w:spacing w:after="0" w:line="240" w:lineRule="auto"/>
      </w:pPr>
      <w:r>
        <w:separator/>
      </w:r>
    </w:p>
  </w:footnote>
  <w:footnote w:type="continuationSeparator" w:id="0">
    <w:p w14:paraId="33CCD826" w14:textId="77777777" w:rsidR="00B24511" w:rsidRDefault="00B24511" w:rsidP="00B24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8864112"/>
      <w:docPartObj>
        <w:docPartGallery w:val="Page Numbers (Top of Page)"/>
        <w:docPartUnique/>
      </w:docPartObj>
    </w:sdtPr>
    <w:sdtEndPr/>
    <w:sdtContent>
      <w:p w14:paraId="05F77AA2" w14:textId="60D6AF3C" w:rsidR="00B24511" w:rsidRDefault="00B245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FF80647" w14:textId="77777777" w:rsidR="00B24511" w:rsidRDefault="00B2451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B98"/>
    <w:multiLevelType w:val="multilevel"/>
    <w:tmpl w:val="F30A851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" w15:restartNumberingAfterBreak="0">
    <w:nsid w:val="04A56476"/>
    <w:multiLevelType w:val="hybridMultilevel"/>
    <w:tmpl w:val="7A5216F6"/>
    <w:lvl w:ilvl="0" w:tplc="074406C8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92F05FA"/>
    <w:multiLevelType w:val="multilevel"/>
    <w:tmpl w:val="AEC2CEF8"/>
    <w:lvl w:ilvl="0">
      <w:start w:val="1"/>
      <w:numFmt w:val="decimal"/>
      <w:lvlText w:val="%1."/>
      <w:lvlJc w:val="left"/>
      <w:pPr>
        <w:ind w:left="1515" w:hanging="1065"/>
      </w:pPr>
      <w:rPr>
        <w:rFonts w:ascii="Times New Roman" w:eastAsia="Arial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431" w:hanging="720"/>
      </w:pPr>
    </w:lvl>
    <w:lvl w:ilvl="3">
      <w:start w:val="1"/>
      <w:numFmt w:val="decimal"/>
      <w:lvlText w:val="%1.%2.%3.%4."/>
      <w:lvlJc w:val="left"/>
      <w:pPr>
        <w:ind w:left="2076" w:hanging="1080"/>
      </w:pPr>
    </w:lvl>
    <w:lvl w:ilvl="4">
      <w:start w:val="1"/>
      <w:numFmt w:val="decimal"/>
      <w:lvlText w:val="%1.%2.%3.%4.%5."/>
      <w:lvlJc w:val="left"/>
      <w:pPr>
        <w:ind w:left="2361" w:hanging="1080"/>
      </w:pPr>
    </w:lvl>
    <w:lvl w:ilvl="5">
      <w:start w:val="1"/>
      <w:numFmt w:val="decimal"/>
      <w:lvlText w:val="%1.%2.%3.%4.%5.%6."/>
      <w:lvlJc w:val="left"/>
      <w:pPr>
        <w:ind w:left="3006" w:hanging="1439"/>
      </w:pPr>
    </w:lvl>
    <w:lvl w:ilvl="6">
      <w:start w:val="1"/>
      <w:numFmt w:val="decimal"/>
      <w:lvlText w:val="%1.%2.%3.%4.%5.%6.%7."/>
      <w:lvlJc w:val="left"/>
      <w:pPr>
        <w:ind w:left="3291" w:hanging="1439"/>
      </w:pPr>
    </w:lvl>
    <w:lvl w:ilvl="7">
      <w:start w:val="1"/>
      <w:numFmt w:val="decimal"/>
      <w:lvlText w:val="%1.%2.%3.%4.%5.%6.%7.%8."/>
      <w:lvlJc w:val="left"/>
      <w:pPr>
        <w:ind w:left="3936" w:hanging="1800"/>
      </w:pPr>
    </w:lvl>
    <w:lvl w:ilvl="8">
      <w:start w:val="1"/>
      <w:numFmt w:val="decimal"/>
      <w:lvlText w:val="%1.%2.%3.%4.%5.%6.%7.%8.%9."/>
      <w:lvlJc w:val="left"/>
      <w:pPr>
        <w:ind w:left="4221" w:hanging="1800"/>
      </w:pPr>
    </w:lvl>
  </w:abstractNum>
  <w:abstractNum w:abstractNumId="3" w15:restartNumberingAfterBreak="0">
    <w:nsid w:val="1B7C2588"/>
    <w:multiLevelType w:val="multilevel"/>
    <w:tmpl w:val="3670E86E"/>
    <w:lvl w:ilvl="0">
      <w:start w:val="1"/>
      <w:numFmt w:val="decimal"/>
      <w:lvlText w:val="2.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E763B"/>
    <w:multiLevelType w:val="multilevel"/>
    <w:tmpl w:val="F8C09D32"/>
    <w:lvl w:ilvl="0">
      <w:start w:val="1"/>
      <w:numFmt w:val="decimal"/>
      <w:lvlText w:val="3.%1."/>
      <w:lvlJc w:val="left"/>
      <w:pPr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CC001E"/>
    <w:multiLevelType w:val="multilevel"/>
    <w:tmpl w:val="7D36F518"/>
    <w:lvl w:ilvl="0">
      <w:start w:val="1"/>
      <w:numFmt w:val="decimal"/>
      <w:lvlText w:val="1.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03699"/>
    <w:multiLevelType w:val="multilevel"/>
    <w:tmpl w:val="A8F2EDA2"/>
    <w:lvl w:ilvl="0">
      <w:start w:val="5"/>
      <w:numFmt w:val="bullet"/>
      <w:lvlText w:val="-"/>
      <w:lvlJc w:val="left"/>
      <w:pPr>
        <w:ind w:left="18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8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C247E70"/>
    <w:multiLevelType w:val="multilevel"/>
    <w:tmpl w:val="BC685D98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F5164"/>
    <w:multiLevelType w:val="multilevel"/>
    <w:tmpl w:val="6062088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5E9825A6"/>
    <w:multiLevelType w:val="hybridMultilevel"/>
    <w:tmpl w:val="3B72ECCC"/>
    <w:lvl w:ilvl="0" w:tplc="BC6E3B32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622C72B4"/>
    <w:multiLevelType w:val="multilevel"/>
    <w:tmpl w:val="55EE01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24" w:hanging="1800"/>
      </w:pPr>
      <w:rPr>
        <w:rFonts w:hint="default"/>
      </w:rPr>
    </w:lvl>
  </w:abstractNum>
  <w:abstractNum w:abstractNumId="11" w15:restartNumberingAfterBreak="0">
    <w:nsid w:val="79463634"/>
    <w:multiLevelType w:val="multilevel"/>
    <w:tmpl w:val="5824BDDE"/>
    <w:lvl w:ilvl="0">
      <w:start w:val="1"/>
      <w:numFmt w:val="decimal"/>
      <w:lvlText w:val="4.%1."/>
      <w:lvlJc w:val="left"/>
      <w:pPr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606A4A"/>
    <w:multiLevelType w:val="multilevel"/>
    <w:tmpl w:val="BFB403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11"/>
  </w:num>
  <w:num w:numId="6">
    <w:abstractNumId w:val="12"/>
  </w:num>
  <w:num w:numId="7">
    <w:abstractNumId w:val="2"/>
  </w:num>
  <w:num w:numId="8">
    <w:abstractNumId w:val="6"/>
  </w:num>
  <w:num w:numId="9">
    <w:abstractNumId w:val="10"/>
  </w:num>
  <w:num w:numId="10">
    <w:abstractNumId w:val="9"/>
  </w:num>
  <w:num w:numId="11">
    <w:abstractNumId w:val="0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07A"/>
    <w:rsid w:val="00065AA9"/>
    <w:rsid w:val="000745E6"/>
    <w:rsid w:val="00107C60"/>
    <w:rsid w:val="002327A8"/>
    <w:rsid w:val="00324362"/>
    <w:rsid w:val="00337831"/>
    <w:rsid w:val="00364F27"/>
    <w:rsid w:val="004356BB"/>
    <w:rsid w:val="004F4F79"/>
    <w:rsid w:val="006A312D"/>
    <w:rsid w:val="006C69A1"/>
    <w:rsid w:val="006D2523"/>
    <w:rsid w:val="006E79DE"/>
    <w:rsid w:val="0073536E"/>
    <w:rsid w:val="0075147F"/>
    <w:rsid w:val="0076694A"/>
    <w:rsid w:val="007715B4"/>
    <w:rsid w:val="007C76BE"/>
    <w:rsid w:val="007E13C1"/>
    <w:rsid w:val="00857E19"/>
    <w:rsid w:val="0091353C"/>
    <w:rsid w:val="00AF27B1"/>
    <w:rsid w:val="00B02D50"/>
    <w:rsid w:val="00B16BDE"/>
    <w:rsid w:val="00B24511"/>
    <w:rsid w:val="00B26617"/>
    <w:rsid w:val="00BC57A4"/>
    <w:rsid w:val="00C51032"/>
    <w:rsid w:val="00C608D7"/>
    <w:rsid w:val="00D4744C"/>
    <w:rsid w:val="00D71010"/>
    <w:rsid w:val="00D81995"/>
    <w:rsid w:val="00EF2098"/>
    <w:rsid w:val="00F3207A"/>
    <w:rsid w:val="00FA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68F4"/>
  <w15:docId w15:val="{E8788886-2000-41B9-9A7F-61808C3E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9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9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val="uk-UA" w:eastAsia="ru-RU"/>
    </w:rPr>
  </w:style>
  <w:style w:type="table" w:customStyle="1" w:styleId="1">
    <w:name w:val="1"/>
    <w:basedOn w:val="a1"/>
    <w:rsid w:val="006E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StyleRowBandSize w:val="1"/>
      <w:tblStyleColBandSize w:val="1"/>
      <w:tblCellMar>
        <w:left w:w="40" w:type="dxa"/>
        <w:right w:w="40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B16B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B16B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B24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24511"/>
  </w:style>
  <w:style w:type="paragraph" w:styleId="a8">
    <w:name w:val="footer"/>
    <w:basedOn w:val="a"/>
    <w:link w:val="a9"/>
    <w:uiPriority w:val="99"/>
    <w:unhideWhenUsed/>
    <w:rsid w:val="00B24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2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887</Words>
  <Characters>5059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ilya</cp:lastModifiedBy>
  <cp:revision>28</cp:revision>
  <dcterms:created xsi:type="dcterms:W3CDTF">2024-12-05T12:04:00Z</dcterms:created>
  <dcterms:modified xsi:type="dcterms:W3CDTF">2024-12-13T12:32:00Z</dcterms:modified>
</cp:coreProperties>
</file>