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4663F" w14:textId="77777777" w:rsidR="00B50A3E" w:rsidRDefault="00B50A3E" w:rsidP="00B50A3E">
      <w:pPr>
        <w:rPr>
          <w:sz w:val="28"/>
          <w:szCs w:val="28"/>
          <w:lang w:val="uk-UA" w:eastAsia="ru-RU"/>
        </w:rPr>
      </w:pPr>
    </w:p>
    <w:p w14:paraId="62B37D37" w14:textId="77777777" w:rsidR="00B50A3E" w:rsidRPr="00034E94" w:rsidRDefault="00B50A3E" w:rsidP="00B50A3E">
      <w:pPr>
        <w:ind w:left="1274" w:right="1303"/>
        <w:jc w:val="center"/>
        <w:rPr>
          <w:color w:val="FFFFFF"/>
        </w:rPr>
      </w:pPr>
      <w:r w:rsidRPr="00034E94">
        <w:rPr>
          <w:noProof/>
          <w:color w:val="FFFFFF"/>
          <w:lang w:eastAsia="ru-RU"/>
        </w:rPr>
        <w:drawing>
          <wp:inline distT="0" distB="0" distL="0" distR="0" wp14:anchorId="33035086" wp14:editId="213502CB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8A6A" w14:textId="77777777" w:rsidR="00B50A3E" w:rsidRPr="00034E94" w:rsidRDefault="00B50A3E" w:rsidP="00B50A3E">
      <w:pPr>
        <w:shd w:val="clear" w:color="auto" w:fill="FFFFFF"/>
        <w:spacing w:before="205"/>
        <w:jc w:val="center"/>
        <w:rPr>
          <w:b/>
          <w:bCs/>
        </w:rPr>
      </w:pPr>
      <w:r w:rsidRPr="00034E94">
        <w:rPr>
          <w:b/>
          <w:bCs/>
          <w:sz w:val="18"/>
          <w:szCs w:val="18"/>
        </w:rPr>
        <w:t>УКРАЇНА</w:t>
      </w:r>
    </w:p>
    <w:p w14:paraId="59E5B968" w14:textId="77777777" w:rsidR="00B50A3E" w:rsidRPr="00034E94" w:rsidRDefault="00B50A3E" w:rsidP="00B50A3E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034E94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D06ADC3" w14:textId="77777777" w:rsidR="00B50A3E" w:rsidRPr="00034E94" w:rsidRDefault="00B50A3E" w:rsidP="00B50A3E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 w:rsidRPr="00034E94"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6444E9A7" w14:textId="77777777" w:rsidR="00B50A3E" w:rsidRPr="00034E94" w:rsidRDefault="00B50A3E" w:rsidP="00B50A3E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 w:rsidRPr="00034E94">
        <w:rPr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b/>
          <w:bCs/>
          <w:caps/>
          <w:spacing w:val="-15"/>
          <w:sz w:val="32"/>
          <w:szCs w:val="32"/>
        </w:rPr>
        <w:t xml:space="preserve"> і ш е н н я</w:t>
      </w:r>
    </w:p>
    <w:p w14:paraId="42C4A760" w14:textId="77777777" w:rsidR="00B50A3E" w:rsidRPr="00034E94" w:rsidRDefault="00B50A3E" w:rsidP="00B50A3E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D55E372" w14:textId="355EBFBD" w:rsidR="00B50A3E" w:rsidRPr="00034E94" w:rsidRDefault="00B50A3E" w:rsidP="00B50A3E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B0146A" wp14:editId="48851AB7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12C1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C13E7" wp14:editId="13EF9051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D1B5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22075E75" w14:textId="0EEE86A9" w:rsidR="0030254F" w:rsidRDefault="0030254F" w:rsidP="0030254F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86DDF" w:rsidRPr="00DB7EA4" w14:paraId="65DE6CEA" w14:textId="77777777" w:rsidTr="009A469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848C24C" w:rsidR="00586DDF" w:rsidRPr="00F40838" w:rsidRDefault="007E52DC" w:rsidP="007E52DC">
            <w:pPr>
              <w:pStyle w:val="a3"/>
              <w:ind w:right="34"/>
              <w:jc w:val="both"/>
              <w:rPr>
                <w:lang w:val="uk-UA"/>
              </w:rPr>
            </w:pPr>
            <w:r w:rsidRPr="00607640">
              <w:rPr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      </w:r>
            <w:r w:rsidRPr="00607640">
              <w:rPr>
                <w:spacing w:val="-2"/>
                <w:sz w:val="24"/>
                <w:szCs w:val="24"/>
                <w:lang w:val="uk-UA"/>
              </w:rPr>
              <w:t xml:space="preserve">2024 рік, </w:t>
            </w:r>
            <w:r w:rsidRPr="00607640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22.12.2023 № 516-VIII (зі змінами)</w:t>
            </w:r>
          </w:p>
        </w:tc>
      </w:tr>
    </w:tbl>
    <w:p w14:paraId="5789ACB0" w14:textId="77777777" w:rsidR="000264C7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66D2083E" w:rsidR="0091798B" w:rsidRPr="00D076BD" w:rsidRDefault="008E052E" w:rsidP="000264C7">
      <w:pPr>
        <w:ind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З метою підтримки</w:t>
      </w:r>
      <w:r w:rsidRPr="00607640">
        <w:rPr>
          <w:b/>
          <w:bCs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607640">
        <w:rPr>
          <w:sz w:val="24"/>
          <w:szCs w:val="24"/>
        </w:rPr>
        <w:t> </w:t>
      </w:r>
      <w:r w:rsidRPr="00607640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командирів військових частин</w:t>
      </w:r>
      <w:r w:rsidR="002C6413">
        <w:rPr>
          <w:sz w:val="24"/>
          <w:szCs w:val="24"/>
          <w:lang w:val="uk-UA"/>
        </w:rPr>
        <w:t xml:space="preserve">, </w:t>
      </w:r>
      <w:r w:rsidR="00DB7EA4">
        <w:rPr>
          <w:sz w:val="24"/>
          <w:szCs w:val="24"/>
          <w:lang w:val="uk-UA"/>
        </w:rPr>
        <w:t>розпорядження Одеської обласної державної (військової) адміністрації від 20.12.2024 №1235/А-2024,</w:t>
      </w:r>
      <w:r w:rsidR="002C6413">
        <w:rPr>
          <w:sz w:val="24"/>
          <w:szCs w:val="24"/>
          <w:lang w:val="uk-UA"/>
        </w:rPr>
        <w:t>ві</w:t>
      </w:r>
      <w:r w:rsidR="00D076BD" w:rsidRPr="00D076BD">
        <w:rPr>
          <w:sz w:val="24"/>
          <w:szCs w:val="24"/>
          <w:lang w:val="uk-UA"/>
        </w:rPr>
        <w:t xml:space="preserve">дповідно до </w:t>
      </w:r>
      <w:r w:rsidR="00457DFC">
        <w:rPr>
          <w:sz w:val="24"/>
          <w:szCs w:val="24"/>
          <w:lang w:val="uk-UA" w:eastAsia="uk-UA"/>
        </w:rPr>
        <w:t>з</w:t>
      </w:r>
      <w:r w:rsidR="004446E7" w:rsidRPr="0014732A">
        <w:rPr>
          <w:sz w:val="24"/>
          <w:szCs w:val="24"/>
          <w:lang w:val="uk-UA" w:eastAsia="uk-UA"/>
        </w:rPr>
        <w:t xml:space="preserve">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>частин</w:t>
      </w:r>
      <w:r w:rsidR="000D76F5">
        <w:rPr>
          <w:sz w:val="24"/>
          <w:szCs w:val="24"/>
          <w:lang w:val="uk-UA"/>
        </w:rPr>
        <w:t>и</w:t>
      </w:r>
      <w:r w:rsidR="00E545F4">
        <w:rPr>
          <w:sz w:val="24"/>
          <w:szCs w:val="24"/>
          <w:lang w:val="uk-UA"/>
        </w:rPr>
        <w:t xml:space="preserve"> першо</w:t>
      </w:r>
      <w:r w:rsidR="000D76F5">
        <w:rPr>
          <w:sz w:val="24"/>
          <w:szCs w:val="24"/>
          <w:lang w:val="uk-UA"/>
        </w:rPr>
        <w:t>ї</w:t>
      </w:r>
      <w:r w:rsidR="00E545F4">
        <w:rPr>
          <w:sz w:val="24"/>
          <w:szCs w:val="24"/>
          <w:lang w:val="uk-UA"/>
        </w:rPr>
        <w:t xml:space="preserve">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0264C7">
      <w:pPr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097C1AEE" w14:textId="77777777" w:rsidR="00D076BD" w:rsidRPr="003E5602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0264C7">
      <w:pPr>
        <w:pStyle w:val="a3"/>
        <w:rPr>
          <w:sz w:val="24"/>
          <w:szCs w:val="24"/>
        </w:rPr>
      </w:pPr>
    </w:p>
    <w:p w14:paraId="75001D8A" w14:textId="0F37D2D5" w:rsid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1. </w:t>
      </w:r>
      <w:r w:rsidR="00A1679B" w:rsidRPr="00F604D7">
        <w:rPr>
          <w:sz w:val="24"/>
          <w:szCs w:val="24"/>
          <w:lang w:val="uk-UA"/>
        </w:rPr>
        <w:t xml:space="preserve">Внести зміни до </w:t>
      </w:r>
      <w:r w:rsidR="008E052E" w:rsidRPr="00F604D7">
        <w:rPr>
          <w:sz w:val="24"/>
          <w:szCs w:val="24"/>
          <w:lang w:val="uk-UA"/>
        </w:rPr>
        <w:t xml:space="preserve"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</w:t>
      </w:r>
      <w:r w:rsidR="008E052E" w:rsidRPr="00F604D7">
        <w:rPr>
          <w:spacing w:val="-2"/>
          <w:sz w:val="24"/>
          <w:szCs w:val="24"/>
          <w:lang w:val="uk-UA"/>
        </w:rPr>
        <w:t xml:space="preserve">2024 рік, </w:t>
      </w:r>
      <w:r w:rsidR="008E052E" w:rsidRPr="00F604D7">
        <w:rPr>
          <w:rFonts w:eastAsia="MS Mincho"/>
          <w:sz w:val="24"/>
          <w:szCs w:val="24"/>
          <w:lang w:val="uk-UA" w:eastAsia="ru-RU"/>
        </w:rPr>
        <w:t>затвердженої рішенням Чорноморської міської ради Одеського району Одеської області від 22.12.2023 № 516-VIII (зі змінами)</w:t>
      </w:r>
      <w:r>
        <w:rPr>
          <w:rFonts w:eastAsia="MS Mincho"/>
          <w:sz w:val="24"/>
          <w:szCs w:val="24"/>
          <w:lang w:val="uk-UA" w:eastAsia="ru-RU"/>
        </w:rPr>
        <w:t xml:space="preserve">, </w:t>
      </w:r>
      <w:r w:rsidRPr="00F604D7">
        <w:rPr>
          <w:rFonts w:eastAsia="MS Mincho"/>
          <w:sz w:val="24"/>
          <w:szCs w:val="24"/>
          <w:lang w:val="uk-UA" w:eastAsia="ru-RU"/>
        </w:rPr>
        <w:t>а саме:</w:t>
      </w:r>
    </w:p>
    <w:p w14:paraId="26C47BDA" w14:textId="4BED726C" w:rsidR="00F604D7" w:rsidRPr="00F604D7" w:rsidRDefault="00F604D7" w:rsidP="00F604D7">
      <w:pPr>
        <w:pStyle w:val="a4"/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1.1. Паспорт Програми викласти в новій редакції згідно з додатком 1 до даного рішення (додається).</w:t>
      </w:r>
    </w:p>
    <w:p w14:paraId="22003690" w14:textId="669E6DFE" w:rsidR="00F45CEC" w:rsidRPr="00F604D7" w:rsidRDefault="00F604D7" w:rsidP="00F604D7">
      <w:pPr>
        <w:pStyle w:val="a4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Д</w:t>
      </w:r>
      <w:r w:rsidR="00F45CEC" w:rsidRPr="00F604D7">
        <w:rPr>
          <w:sz w:val="24"/>
          <w:szCs w:val="24"/>
          <w:lang w:val="uk-UA"/>
        </w:rPr>
        <w:t xml:space="preserve">одаток 2 до Програми  </w:t>
      </w:r>
      <w:r>
        <w:rPr>
          <w:sz w:val="24"/>
          <w:szCs w:val="24"/>
          <w:lang w:val="uk-UA"/>
        </w:rPr>
        <w:t xml:space="preserve">викласти </w:t>
      </w:r>
      <w:r w:rsidR="00F45CEC" w:rsidRPr="00F604D7">
        <w:rPr>
          <w:sz w:val="24"/>
          <w:szCs w:val="24"/>
          <w:lang w:val="uk-UA"/>
        </w:rPr>
        <w:t>в но</w:t>
      </w:r>
      <w:r w:rsidR="0094630B" w:rsidRPr="00F604D7">
        <w:rPr>
          <w:sz w:val="24"/>
          <w:szCs w:val="24"/>
          <w:lang w:val="uk-UA"/>
        </w:rPr>
        <w:t>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="0094630B" w:rsidRPr="00F604D7">
        <w:rPr>
          <w:sz w:val="24"/>
          <w:szCs w:val="24"/>
          <w:lang w:val="uk-UA"/>
        </w:rPr>
        <w:t xml:space="preserve"> </w:t>
      </w:r>
      <w:r w:rsidR="00F45CEC" w:rsidRPr="00F604D7">
        <w:rPr>
          <w:sz w:val="24"/>
          <w:szCs w:val="24"/>
          <w:lang w:val="uk-UA"/>
        </w:rPr>
        <w:t>до даного  рішення</w:t>
      </w:r>
      <w:r w:rsidR="0029491B" w:rsidRPr="00F604D7">
        <w:rPr>
          <w:sz w:val="24"/>
          <w:szCs w:val="24"/>
          <w:lang w:val="uk-UA"/>
        </w:rPr>
        <w:t xml:space="preserve"> (додається)</w:t>
      </w:r>
      <w:r w:rsidR="00B0289F" w:rsidRPr="00F604D7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0264C7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687473CD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568B7FF9" w14:textId="77777777" w:rsidR="008E052E" w:rsidRDefault="008E052E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8E052E">
      <w:pPr>
        <w:pStyle w:val="a3"/>
        <w:ind w:firstLine="709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1D1568">
      <w:pgSz w:w="12240" w:h="15840"/>
      <w:pgMar w:top="568" w:right="616" w:bottom="0" w:left="15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4FFB6" w14:textId="77777777" w:rsidR="00445810" w:rsidRDefault="00445810">
      <w:r>
        <w:separator/>
      </w:r>
    </w:p>
  </w:endnote>
  <w:endnote w:type="continuationSeparator" w:id="0">
    <w:p w14:paraId="0DAABD22" w14:textId="77777777" w:rsidR="00445810" w:rsidRDefault="0044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599BC" w14:textId="77777777" w:rsidR="00445810" w:rsidRDefault="00445810">
      <w:r>
        <w:separator/>
      </w:r>
    </w:p>
  </w:footnote>
  <w:footnote w:type="continuationSeparator" w:id="0">
    <w:p w14:paraId="3C3070FA" w14:textId="77777777" w:rsidR="00445810" w:rsidRDefault="0044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250"/>
    <w:multiLevelType w:val="hybridMultilevel"/>
    <w:tmpl w:val="8DC8BDBE"/>
    <w:lvl w:ilvl="0" w:tplc="B6625BF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1482E"/>
    <w:rsid w:val="00017764"/>
    <w:rsid w:val="000264C7"/>
    <w:rsid w:val="00027023"/>
    <w:rsid w:val="00044B03"/>
    <w:rsid w:val="00061062"/>
    <w:rsid w:val="0006401A"/>
    <w:rsid w:val="00094C18"/>
    <w:rsid w:val="00095827"/>
    <w:rsid w:val="000B32E2"/>
    <w:rsid w:val="000D76F5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1816A8"/>
    <w:rsid w:val="001D1568"/>
    <w:rsid w:val="00271662"/>
    <w:rsid w:val="00286FE3"/>
    <w:rsid w:val="0029491B"/>
    <w:rsid w:val="002B5F46"/>
    <w:rsid w:val="002C3E6E"/>
    <w:rsid w:val="002C6413"/>
    <w:rsid w:val="002D6324"/>
    <w:rsid w:val="002E667C"/>
    <w:rsid w:val="0030254F"/>
    <w:rsid w:val="00326B7C"/>
    <w:rsid w:val="0035114E"/>
    <w:rsid w:val="00362A4A"/>
    <w:rsid w:val="003745EA"/>
    <w:rsid w:val="00387B83"/>
    <w:rsid w:val="003B4CA1"/>
    <w:rsid w:val="003B50EB"/>
    <w:rsid w:val="003C4DDB"/>
    <w:rsid w:val="003E09E7"/>
    <w:rsid w:val="003E5602"/>
    <w:rsid w:val="003F211F"/>
    <w:rsid w:val="003F3E87"/>
    <w:rsid w:val="004320BD"/>
    <w:rsid w:val="004446E7"/>
    <w:rsid w:val="00445810"/>
    <w:rsid w:val="00457DFC"/>
    <w:rsid w:val="004815D8"/>
    <w:rsid w:val="00495E57"/>
    <w:rsid w:val="004A3B35"/>
    <w:rsid w:val="004D471E"/>
    <w:rsid w:val="00504BA3"/>
    <w:rsid w:val="00512BA9"/>
    <w:rsid w:val="005218B5"/>
    <w:rsid w:val="00526120"/>
    <w:rsid w:val="00544A43"/>
    <w:rsid w:val="00571B81"/>
    <w:rsid w:val="00586DDF"/>
    <w:rsid w:val="005F1515"/>
    <w:rsid w:val="00605AC2"/>
    <w:rsid w:val="00606045"/>
    <w:rsid w:val="006307A5"/>
    <w:rsid w:val="006A7115"/>
    <w:rsid w:val="006C3E6F"/>
    <w:rsid w:val="006D7A66"/>
    <w:rsid w:val="00743140"/>
    <w:rsid w:val="00771A84"/>
    <w:rsid w:val="00775E10"/>
    <w:rsid w:val="007E52DC"/>
    <w:rsid w:val="007F417F"/>
    <w:rsid w:val="00843E5E"/>
    <w:rsid w:val="0085071A"/>
    <w:rsid w:val="00863F53"/>
    <w:rsid w:val="0086618C"/>
    <w:rsid w:val="0089248C"/>
    <w:rsid w:val="00895563"/>
    <w:rsid w:val="008C6039"/>
    <w:rsid w:val="008E052E"/>
    <w:rsid w:val="0090018F"/>
    <w:rsid w:val="00913B49"/>
    <w:rsid w:val="0091798B"/>
    <w:rsid w:val="0094630B"/>
    <w:rsid w:val="009600BC"/>
    <w:rsid w:val="009771FE"/>
    <w:rsid w:val="009A469A"/>
    <w:rsid w:val="009B21C7"/>
    <w:rsid w:val="009C6A9C"/>
    <w:rsid w:val="009D6310"/>
    <w:rsid w:val="009F68C3"/>
    <w:rsid w:val="00A1679B"/>
    <w:rsid w:val="00A1780E"/>
    <w:rsid w:val="00A3609A"/>
    <w:rsid w:val="00A859CB"/>
    <w:rsid w:val="00A9210B"/>
    <w:rsid w:val="00AA1C1E"/>
    <w:rsid w:val="00AD20D3"/>
    <w:rsid w:val="00AD419D"/>
    <w:rsid w:val="00B0289F"/>
    <w:rsid w:val="00B227A8"/>
    <w:rsid w:val="00B50A3E"/>
    <w:rsid w:val="00B5285F"/>
    <w:rsid w:val="00B8299B"/>
    <w:rsid w:val="00BD1970"/>
    <w:rsid w:val="00BE01E9"/>
    <w:rsid w:val="00BE3938"/>
    <w:rsid w:val="00BF6EE2"/>
    <w:rsid w:val="00C23492"/>
    <w:rsid w:val="00CC3E51"/>
    <w:rsid w:val="00CD153E"/>
    <w:rsid w:val="00CE3934"/>
    <w:rsid w:val="00D01492"/>
    <w:rsid w:val="00D04A06"/>
    <w:rsid w:val="00D076BD"/>
    <w:rsid w:val="00D25561"/>
    <w:rsid w:val="00DA20A8"/>
    <w:rsid w:val="00DB7EA4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40838"/>
    <w:rsid w:val="00F45CEC"/>
    <w:rsid w:val="00F604D7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220FU3</cp:lastModifiedBy>
  <cp:revision>19</cp:revision>
  <cp:lastPrinted>2024-12-23T06:20:00Z</cp:lastPrinted>
  <dcterms:created xsi:type="dcterms:W3CDTF">2024-03-15T11:42:00Z</dcterms:created>
  <dcterms:modified xsi:type="dcterms:W3CDTF">2024-12-23T06:20:00Z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