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D0EF" w14:textId="77777777" w:rsidR="00B07BEB" w:rsidRDefault="00B07BEB" w:rsidP="00B07B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 w:eastAsia="zh-CN"/>
        </w:rPr>
      </w:pPr>
      <w:bookmarkStart w:id="0" w:name="_Hlk149118016"/>
      <w:bookmarkStart w:id="1" w:name="_Hlk149118076"/>
      <w:r>
        <w:pict w14:anchorId="3097A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7" o:title="" croptop="-328f" cropbottom="-328f" cropleft="-462f" cropright="-462f"/>
          </v:shape>
        </w:pict>
      </w:r>
    </w:p>
    <w:p w14:paraId="6CF32E13" w14:textId="77777777" w:rsidR="00B07BEB" w:rsidRPr="00B07BEB" w:rsidRDefault="00B07BEB" w:rsidP="00B07B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483B7328" w14:textId="77777777" w:rsidR="00B07BEB" w:rsidRPr="00B07BEB" w:rsidRDefault="00B07BEB" w:rsidP="00B07B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2BBDA0DF" w14:textId="77777777" w:rsidR="00B07BEB" w:rsidRPr="00B07BEB" w:rsidRDefault="00B07BEB" w:rsidP="00B07BE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ЧОРНОМОРСЬКОЇ МІСЬКОЇ РАДИ</w:t>
      </w:r>
    </w:p>
    <w:p w14:paraId="24D14E99" w14:textId="77777777" w:rsidR="00B07BEB" w:rsidRDefault="00B07BEB" w:rsidP="00B07BE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proofErr w:type="spellStart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Одеського</w:t>
      </w:r>
      <w:proofErr w:type="spellEnd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району </w:t>
      </w:r>
      <w:proofErr w:type="spellStart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Одеської</w:t>
      </w:r>
      <w:proofErr w:type="spellEnd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</w:t>
      </w:r>
      <w:proofErr w:type="spellStart"/>
      <w:r w:rsidRPr="00B07BEB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області</w:t>
      </w:r>
      <w:proofErr w:type="spellEnd"/>
    </w:p>
    <w:p w14:paraId="0CC11748" w14:textId="77777777" w:rsidR="00B07BEB" w:rsidRDefault="00B07BEB" w:rsidP="00B07BE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07BEB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B07BEB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B07BEB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66A6D482" w14:textId="68DDA6C7" w:rsidR="00B07BEB" w:rsidRDefault="00B07BEB" w:rsidP="00B07BEB">
      <w:pPr>
        <w:spacing w:after="0"/>
        <w:rPr>
          <w:rFonts w:ascii="Times New Roman" w:hAnsi="Times New Roman"/>
          <w:lang w:val="ru-RU"/>
        </w:rPr>
      </w:pPr>
      <w:r>
        <w:pict w14:anchorId="3FDA3AC1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320CD016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 w:rsidRPr="00B07BEB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ru-RU"/>
        </w:rPr>
        <w:t>0</w:t>
      </w:r>
      <w:r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ru-RU"/>
        </w:rPr>
        <w:t>4</w:t>
      </w:r>
      <w:bookmarkEnd w:id="1"/>
      <w:r>
        <w:rPr>
          <w:rFonts w:ascii="Times New Roman" w:hAnsi="Times New Roman"/>
          <w:b/>
          <w:sz w:val="36"/>
          <w:szCs w:val="36"/>
          <w:lang w:val="ru-RU"/>
        </w:rPr>
        <w:t>73</w:t>
      </w:r>
    </w:p>
    <w:p w14:paraId="625C3655" w14:textId="77777777" w:rsidR="000C6285" w:rsidRDefault="000C6285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914E4" w:rsidRPr="00B07BEB" w14:paraId="61B0A596" w14:textId="77777777">
        <w:tc>
          <w:tcPr>
            <w:tcW w:w="4219" w:type="dxa"/>
            <w:shd w:val="clear" w:color="auto" w:fill="auto"/>
          </w:tcPr>
          <w:p w14:paraId="7620C19D" w14:textId="4DF7D7BC" w:rsidR="00E914E4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D05B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bookmarkStart w:id="2" w:name="_Hlk181281104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0671A8">
              <w:rPr>
                <w:rFonts w:ascii="Times New Roman" w:hAnsi="Times New Roman"/>
                <w:sz w:val="24"/>
                <w:szCs w:val="24"/>
                <w:lang w:val="uk-UA"/>
              </w:rPr>
              <w:t>громадянам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додаткових соціальних гарантій з теплопостачання, водопостачання та водовідведення, утримання будинків та прибудинкових територій</w:t>
            </w:r>
            <w:bookmarkEnd w:id="2"/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39C82E68" w:rsidR="00BC75DD" w:rsidRPr="00DE1E71" w:rsidRDefault="0032013F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2013F">
        <w:rPr>
          <w:rFonts w:ascii="Times New Roman" w:hAnsi="Times New Roman"/>
          <w:sz w:val="24"/>
          <w:szCs w:val="24"/>
          <w:lang w:val="uk-UA"/>
        </w:rPr>
        <w:t>Для надання соціальної підтримки громадян Чорноморської міської територіальної громади в умовах воєнного стану</w:t>
      </w:r>
      <w:r w:rsidR="000C6285">
        <w:rPr>
          <w:rFonts w:ascii="Times New Roman" w:hAnsi="Times New Roman"/>
          <w:sz w:val="24"/>
          <w:szCs w:val="24"/>
          <w:lang w:val="uk-UA"/>
        </w:rPr>
        <w:t>,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0C6285">
        <w:rPr>
          <w:rFonts w:ascii="Times New Roman" w:hAnsi="Times New Roman"/>
          <w:sz w:val="24"/>
          <w:szCs w:val="24"/>
          <w:lang w:val="uk-UA"/>
        </w:rPr>
        <w:t xml:space="preserve"> враховуючи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зростання цін на продукти, медикаменти та </w:t>
      </w:r>
      <w:r w:rsidR="000C6285">
        <w:rPr>
          <w:rFonts w:ascii="Times New Roman" w:hAnsi="Times New Roman"/>
          <w:sz w:val="24"/>
          <w:szCs w:val="24"/>
          <w:lang w:val="uk-UA"/>
        </w:rPr>
        <w:t>підвищення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тарифів на житлово-комунальні послуги, енергоносії, відповідно до </w:t>
      </w:r>
      <w:r w:rsidRPr="0032013F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32013F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</w:t>
      </w:r>
      <w:r w:rsidR="00A52D03" w:rsidRPr="00DE1E7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   громади    на  2021-2025 роки</w:t>
      </w:r>
      <w:r w:rsidR="00A52D03" w:rsidRPr="00DE1E7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DE1E71">
        <w:rPr>
          <w:rFonts w:ascii="Times New Roman" w:hAnsi="Times New Roman"/>
          <w:sz w:val="24"/>
          <w:szCs w:val="24"/>
        </w:rPr>
        <w:t>VI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(зі змінами),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0C6285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0C6285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0C6285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0C6285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5E5AC846" w:rsidR="00BC75DD" w:rsidRPr="00A52D03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r w:rsidR="000671A8">
        <w:rPr>
          <w:rFonts w:ascii="Times New Roman" w:hAnsi="Times New Roman"/>
          <w:sz w:val="24"/>
          <w:szCs w:val="24"/>
          <w:lang w:val="uk-UA"/>
        </w:rPr>
        <w:t>громадянам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Чорноморської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додаткових соціальних гарантій з теплопостачання, водопостачання та водовідведення, утримання будинків та прибудинкових територій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1E406188" w14:textId="77777777" w:rsidR="007C7CF0" w:rsidRDefault="007C7CF0" w:rsidP="007C7CF0">
      <w:pPr>
        <w:pStyle w:val="a3"/>
        <w:tabs>
          <w:tab w:val="left" w:pos="0"/>
          <w:tab w:val="left" w:pos="851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D7F175" w14:textId="77777777" w:rsidR="007C7CF0" w:rsidRDefault="00BC75DD" w:rsidP="007C7CF0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Одеської </w:t>
      </w:r>
    </w:p>
    <w:p w14:paraId="26FC87E7" w14:textId="78955482" w:rsidR="00BC75DD" w:rsidRDefault="00BC75DD" w:rsidP="007C7CF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додаткових соціальних гарантій громадянам 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26EE59C5" w14:textId="77777777" w:rsidR="007C7CF0" w:rsidRPr="00A52D03" w:rsidRDefault="007C7CF0" w:rsidP="007C7CF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21DBAD8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2EB981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643F6B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8FB03D" w14:textId="77777777" w:rsidR="007C7CF0" w:rsidRPr="00CA394C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64BD436F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CA394C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CA394C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35F888A6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63BD52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25C496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E6C17C" w14:textId="77777777" w:rsidR="000C6285" w:rsidRDefault="000C6285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4FA931C2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FC48A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EADD" w14:textId="77777777" w:rsidR="00FF3AEC" w:rsidRDefault="00FF3AEC" w:rsidP="007C7CF0">
      <w:pPr>
        <w:spacing w:after="0" w:line="240" w:lineRule="auto"/>
      </w:pPr>
      <w:r>
        <w:separator/>
      </w:r>
    </w:p>
  </w:endnote>
  <w:endnote w:type="continuationSeparator" w:id="0">
    <w:p w14:paraId="5547F93D" w14:textId="77777777" w:rsidR="00FF3AEC" w:rsidRDefault="00FF3AEC" w:rsidP="007C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1481" w14:textId="77777777" w:rsidR="00FF3AEC" w:rsidRDefault="00FF3AEC" w:rsidP="007C7CF0">
      <w:pPr>
        <w:spacing w:after="0" w:line="240" w:lineRule="auto"/>
      </w:pPr>
      <w:r>
        <w:separator/>
      </w:r>
    </w:p>
  </w:footnote>
  <w:footnote w:type="continuationSeparator" w:id="0">
    <w:p w14:paraId="3BC7BCC4" w14:textId="77777777" w:rsidR="00FF3AEC" w:rsidRDefault="00FF3AEC" w:rsidP="007C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E1A6" w14:textId="65C02308" w:rsidR="007C7CF0" w:rsidRDefault="007C7CF0" w:rsidP="007C7CF0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1A8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85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CC6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463C"/>
    <w:rsid w:val="001C5B65"/>
    <w:rsid w:val="001C6241"/>
    <w:rsid w:val="001C69B8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C7CF0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38E4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BEB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BC2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3AEC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7C7CF0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7C7CF0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7C7CF0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7C7C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70</cp:revision>
  <cp:lastPrinted>2024-11-19T07:14:00Z</cp:lastPrinted>
  <dcterms:created xsi:type="dcterms:W3CDTF">2016-08-08T05:09:00Z</dcterms:created>
  <dcterms:modified xsi:type="dcterms:W3CDTF">2024-12-24T07:47:00Z</dcterms:modified>
</cp:coreProperties>
</file>