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75332E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5D4D" w:rsidRDefault="0085430F" w:rsidP="00854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наданим Управлінням Державної казначейської  служби України у                                      м. Чорноморську Одеської області  </w:t>
      </w:r>
      <w:r>
        <w:rPr>
          <w:rFonts w:ascii="Times New Roman" w:hAnsi="Times New Roman" w:cs="Times New Roman"/>
          <w:sz w:val="24"/>
          <w:szCs w:val="24"/>
          <w:lang w:val="uk-UA"/>
        </w:rPr>
        <w:t>звітом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виконання місцевих бюджетів за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 xml:space="preserve">на кінець звітного періоду (31.12.2024)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Calibri" w:hAnsi="Calibri" w:cs="Calibri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котлових</w:t>
      </w:r>
      <w:r>
        <w:rPr>
          <w:rFonts w:ascii="Calibri" w:hAnsi="Calibri" w:cs="Calibri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рахунках бюджету Чорноморської міської територіальної громади утворилися вільні залишки коштів у загальній сумі 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>315 071 704,07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в тому числі на рахунк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>ах:</w:t>
      </w:r>
    </w:p>
    <w:p w:rsidR="00E45D4D" w:rsidRDefault="00050CE9" w:rsidP="00854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30F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фонду – 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>274 598 677,07</w:t>
      </w:r>
      <w:r w:rsidR="0085430F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>ень, із яких за рахунок субвенцій з бюджетів різних рівнів та додаткової дотації з Державного бюджету – 99 831 698,99 гривень;</w:t>
      </w:r>
    </w:p>
    <w:p w:rsidR="0085430F" w:rsidRDefault="00050CE9" w:rsidP="00854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спеціального фонду – 40 473 027 гривень, із яких за рахунок субвенцій з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 xml:space="preserve">та обласного бюджету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– 23 036 527,62 гривні.</w:t>
      </w:r>
      <w:r w:rsidR="00E45D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067345" w:rsidRDefault="00251E41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частини 4 статті 14, статті 72 та частини 8 статті 78,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</w:t>
      </w:r>
      <w:r w:rsidR="002064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="0075332E"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A1A1E" w:rsidRPr="004E20B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3A1A1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8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розділу </w:t>
      </w:r>
      <w:r w:rsidR="0075332E"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 11.03.2022 № 252 "Деякі питання формування та виконання місцевих бюджетів у період воєнного стану" (зі змінами),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фінансовим управлінням сформовано про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кт рішення Чорноморської міської ради Одеського району Одеської області 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 2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681F48">
        <w:rPr>
          <w:rFonts w:ascii="Times New Roman" w:hAnsi="Times New Roman" w:cs="Times New Roman"/>
          <w:sz w:val="24"/>
          <w:szCs w:val="24"/>
        </w:rPr>
        <w:t>V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681F48">
        <w:rPr>
          <w:rFonts w:ascii="Times New Roman" w:hAnsi="Times New Roman" w:cs="Times New Roman"/>
          <w:sz w:val="24"/>
          <w:szCs w:val="24"/>
        </w:rPr>
        <w:t>II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2064C0" w:rsidRDefault="00344075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Даним </w:t>
      </w:r>
      <w:r w:rsidR="00067345">
        <w:rPr>
          <w:lang w:val="uk-UA"/>
        </w:rPr>
        <w:t>про</w:t>
      </w:r>
      <w:r w:rsidR="0044717E">
        <w:rPr>
          <w:lang w:val="uk-UA"/>
        </w:rPr>
        <w:t>є</w:t>
      </w:r>
      <w:r w:rsidR="00067345">
        <w:rPr>
          <w:lang w:val="uk-UA"/>
        </w:rPr>
        <w:t>ктом Рішення пропонується збільшення доход</w:t>
      </w:r>
      <w:r w:rsidR="003A1A1E">
        <w:rPr>
          <w:lang w:val="uk-UA"/>
        </w:rPr>
        <w:t>ної частини бюджету на 12 710 484 гривні, в тому числі</w:t>
      </w:r>
      <w:r w:rsidR="002064C0">
        <w:rPr>
          <w:lang w:val="uk-UA"/>
        </w:rPr>
        <w:t>:</w:t>
      </w:r>
    </w:p>
    <w:p w:rsidR="003A1A1E" w:rsidRDefault="002064C0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1)</w:t>
      </w:r>
      <w:r w:rsidR="003A1A1E">
        <w:rPr>
          <w:lang w:val="uk-UA"/>
        </w:rPr>
        <w:t xml:space="preserve"> за рахунок субвенцій </w:t>
      </w:r>
      <w:r w:rsidR="00D00B5B">
        <w:rPr>
          <w:lang w:val="uk-UA"/>
        </w:rPr>
        <w:t xml:space="preserve">загального фонду </w:t>
      </w:r>
      <w:r w:rsidR="003A1A1E">
        <w:rPr>
          <w:lang w:val="uk-UA"/>
        </w:rPr>
        <w:t>12 095 544 гривні, і</w:t>
      </w:r>
      <w:r w:rsidR="00D00B5B">
        <w:rPr>
          <w:lang w:val="uk-UA"/>
        </w:rPr>
        <w:t>з</w:t>
      </w:r>
      <w:r w:rsidR="003A1A1E">
        <w:rPr>
          <w:lang w:val="uk-UA"/>
        </w:rPr>
        <w:t xml:space="preserve"> них:</w:t>
      </w:r>
    </w:p>
    <w:p w:rsidR="003A1A1E" w:rsidRDefault="003A1A1E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- 330 900 гривень - с</w:t>
      </w:r>
      <w:r w:rsidRPr="003A1A1E">
        <w:rPr>
          <w:lang w:val="uk-UA"/>
        </w:rPr>
        <w:t>убвенція з державного бюджету місцевим бюджетам на надання державної підтримки особам з особливими освітніми потребами</w:t>
      </w:r>
      <w:r>
        <w:rPr>
          <w:lang w:val="uk-UA"/>
        </w:rPr>
        <w:t xml:space="preserve"> (постанова Кабінету Міністрів України від 27.12.2024р. № 1519, розпис субвенції доведено листом Департаменту фінансів Одеської обласної державної (військової) адміністрації від 08.01.2025 № 38/03/02.01-20/2-25);</w:t>
      </w:r>
    </w:p>
    <w:p w:rsidR="003A1A1E" w:rsidRDefault="00D00B5B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- 3 043 200 гривень - с</w:t>
      </w:r>
      <w:r w:rsidRPr="00D00B5B">
        <w:rPr>
          <w:lang w:val="uk-UA"/>
        </w:rPr>
        <w:t>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"Нова українська школа"</w:t>
      </w:r>
      <w:r>
        <w:rPr>
          <w:lang w:val="uk-UA"/>
        </w:rPr>
        <w:t xml:space="preserve"> (постанова Кабінету Міністрів України від 31.12.2024р. № 1554, розпис субвенції доведено листом Департаменту фінансів Одеської обласної державної (військової) адміністрації від 13.01.2025 № 71/03/02.01-20/2-25);</w:t>
      </w:r>
    </w:p>
    <w:p w:rsidR="00D00B5B" w:rsidRDefault="00D00B5B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- 7 051 000 гривень - су</w:t>
      </w:r>
      <w:r w:rsidRPr="00D00B5B">
        <w:rPr>
          <w:lang w:val="uk-UA"/>
        </w:rPr>
        <w:t>бвенція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lang w:val="uk-UA"/>
        </w:rPr>
        <w:t xml:space="preserve"> (постанова Кабінету Міністрів України від 27.12.2024р. № 1515, розпис субвенції доведено листом Департаменту фінансів Одеської обласної державної (військової) адміністрації від 13.01.2025 № 72/03/02.01-20/2-25);</w:t>
      </w:r>
    </w:p>
    <w:p w:rsidR="00D00B5B" w:rsidRDefault="00D00B5B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- 1 670 444 гривень - с</w:t>
      </w:r>
      <w:r w:rsidRPr="00D00B5B">
        <w:rPr>
          <w:lang w:val="uk-UA"/>
        </w:rPr>
        <w:t>убвенція з місцевого бюджету на здійснення переданих видатків у сфері освіти за рахунок коштів освітньої субвенції</w:t>
      </w:r>
      <w:r>
        <w:rPr>
          <w:lang w:val="uk-UA"/>
        </w:rPr>
        <w:t xml:space="preserve"> (розпорядження Одеської обласної державної (військової) адміністрації від 14.01.2025 № 20/А-2025, листи Департаменту фінансів Одеської обласної державної (військової) адміністрації від 14.01.2025 № 91/03/02.01-25/2-25 (</w:t>
      </w:r>
      <w:proofErr w:type="spellStart"/>
      <w:r>
        <w:rPr>
          <w:lang w:val="uk-UA"/>
        </w:rPr>
        <w:t>інклюзивно</w:t>
      </w:r>
      <w:proofErr w:type="spellEnd"/>
      <w:r>
        <w:rPr>
          <w:lang w:val="uk-UA"/>
        </w:rPr>
        <w:t>-ресурсні центри</w:t>
      </w:r>
      <w:r w:rsidR="002064C0">
        <w:rPr>
          <w:lang w:val="uk-UA"/>
        </w:rPr>
        <w:t xml:space="preserve"> – </w:t>
      </w:r>
      <w:r>
        <w:rPr>
          <w:lang w:val="uk-UA"/>
        </w:rPr>
        <w:t>1 387 870 гривень), від 15.01.2025 № 94/03/02.03-25/2-25 (приватні заклади загальної середньої освіти – 282 574 гривень);</w:t>
      </w:r>
    </w:p>
    <w:p w:rsidR="00D00B5B" w:rsidRPr="00D00B5B" w:rsidRDefault="002064C0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2) </w:t>
      </w:r>
      <w:r w:rsidR="00D00B5B">
        <w:rPr>
          <w:lang w:val="uk-UA"/>
        </w:rPr>
        <w:t>доходів спеціального фонду – 614 940 гривень, із них за рахунок надходжень до цільового фонду – 24 940 гривень (</w:t>
      </w:r>
      <w:proofErr w:type="spellStart"/>
      <w:r w:rsidR="00D00B5B">
        <w:rPr>
          <w:lang w:val="uk-UA"/>
        </w:rPr>
        <w:t>співфінансування</w:t>
      </w:r>
      <w:proofErr w:type="spellEnd"/>
      <w:r w:rsidR="00D00B5B">
        <w:rPr>
          <w:lang w:val="uk-UA"/>
        </w:rPr>
        <w:t xml:space="preserve"> за </w:t>
      </w:r>
      <w:r w:rsidR="00D00B5B" w:rsidRPr="00D00B5B">
        <w:rPr>
          <w:lang w:val="uk-UA"/>
        </w:rPr>
        <w:t>Міськ</w:t>
      </w:r>
      <w:r w:rsidR="00D00B5B">
        <w:rPr>
          <w:lang w:val="uk-UA"/>
        </w:rPr>
        <w:t>ою</w:t>
      </w:r>
      <w:r w:rsidR="00D00B5B" w:rsidRPr="00D00B5B">
        <w:rPr>
          <w:lang w:val="uk-UA"/>
        </w:rPr>
        <w:t xml:space="preserve"> програм</w:t>
      </w:r>
      <w:r w:rsidR="00D00B5B">
        <w:rPr>
          <w:lang w:val="uk-UA"/>
        </w:rPr>
        <w:t>ою</w:t>
      </w:r>
      <w:r w:rsidR="00D00B5B" w:rsidRPr="00D00B5B">
        <w:rPr>
          <w:lang w:val="uk-UA"/>
        </w:rPr>
        <w:t xml:space="preserve"> сприяння діяльності об'єднань співвласників багатоквартирних будинків, житлово-будівельних кооперативів в багатоквартирних будинках на території Чорноморської міської ради </w:t>
      </w:r>
      <w:r w:rsidR="00D00B5B" w:rsidRPr="00D00B5B">
        <w:rPr>
          <w:lang w:val="uk-UA"/>
        </w:rPr>
        <w:lastRenderedPageBreak/>
        <w:t>Одеської області</w:t>
      </w:r>
      <w:r w:rsidR="00D00B5B">
        <w:rPr>
          <w:lang w:val="uk-UA"/>
        </w:rPr>
        <w:t>) та надходжень до бюджету розвитку (фактичні надходження) – 590</w:t>
      </w:r>
      <w:r w:rsidR="003F4BEE">
        <w:rPr>
          <w:lang w:val="uk-UA"/>
        </w:rPr>
        <w:t> </w:t>
      </w:r>
      <w:r w:rsidR="00D00B5B">
        <w:rPr>
          <w:lang w:val="uk-UA"/>
        </w:rPr>
        <w:t>000</w:t>
      </w:r>
      <w:r w:rsidR="003F4BEE">
        <w:rPr>
          <w:lang w:val="uk-UA"/>
        </w:rPr>
        <w:t> </w:t>
      </w:r>
      <w:r w:rsidR="00D00B5B">
        <w:rPr>
          <w:lang w:val="uk-UA"/>
        </w:rPr>
        <w:t>гривень.</w:t>
      </w:r>
    </w:p>
    <w:p w:rsidR="00EB1FBB" w:rsidRDefault="00C511B8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Відповідні зміни </w:t>
      </w:r>
      <w:r w:rsidR="008D0B68">
        <w:rPr>
          <w:lang w:val="uk-UA"/>
        </w:rPr>
        <w:t xml:space="preserve">враховані в </w:t>
      </w:r>
      <w:r>
        <w:rPr>
          <w:lang w:val="uk-UA"/>
        </w:rPr>
        <w:t>додат</w:t>
      </w:r>
      <w:r w:rsidR="008D0B68">
        <w:rPr>
          <w:lang w:val="uk-UA"/>
        </w:rPr>
        <w:t xml:space="preserve">ку </w:t>
      </w:r>
      <w:r>
        <w:rPr>
          <w:lang w:val="uk-UA"/>
        </w:rPr>
        <w:t xml:space="preserve">1 до </w:t>
      </w:r>
      <w:r w:rsidR="008D0B68">
        <w:rPr>
          <w:lang w:val="uk-UA"/>
        </w:rPr>
        <w:t xml:space="preserve">проєкту Рішення. </w:t>
      </w:r>
    </w:p>
    <w:p w:rsidR="00C511B8" w:rsidRPr="00C2326C" w:rsidRDefault="00C511B8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6D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169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620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323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1 156 485 083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13 135 240 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гривень.</w:t>
      </w:r>
    </w:p>
    <w:p w:rsidR="00A02572" w:rsidRDefault="00C511B8" w:rsidP="004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зміни до доходної частини, </w:t>
      </w:r>
      <w:r w:rsidR="00A02572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вільного залишку коштів станом на 01.01.2025, </w:t>
      </w:r>
      <w:r w:rsidR="00CB45D8">
        <w:rPr>
          <w:rFonts w:ascii="Times New Roman" w:hAnsi="Times New Roman" w:cs="Times New Roman"/>
          <w:sz w:val="24"/>
          <w:szCs w:val="24"/>
          <w:lang w:val="uk-UA"/>
        </w:rPr>
        <w:t xml:space="preserve">приймаючи до уваги </w:t>
      </w:r>
      <w:r w:rsidR="00785E3E" w:rsidRPr="00A02572">
        <w:rPr>
          <w:rFonts w:ascii="Times New Roman" w:hAnsi="Times New Roman" w:cs="Times New Roman"/>
          <w:sz w:val="24"/>
          <w:szCs w:val="24"/>
          <w:lang w:val="uk-UA"/>
        </w:rPr>
        <w:t>звернення командирів військових формувань, головних розпорядників бюджетних коштів, відповідальних виконавців Міських цільових програм щодо необхідності вирішення нагальних проблем</w:t>
      </w:r>
      <w:r w:rsidR="00785E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4C06">
        <w:rPr>
          <w:rFonts w:ascii="Times New Roman" w:hAnsi="Times New Roman" w:cs="Times New Roman"/>
          <w:sz w:val="24"/>
          <w:szCs w:val="24"/>
          <w:lang w:val="uk-UA"/>
        </w:rPr>
        <w:t xml:space="preserve">бюджет Чорноморської міської територіальної громади за видатками пропонується до збільшення на </w:t>
      </w:r>
      <w:r w:rsidR="00A02572">
        <w:rPr>
          <w:rFonts w:ascii="Times New Roman" w:hAnsi="Times New Roman" w:cs="Times New Roman"/>
          <w:sz w:val="24"/>
          <w:szCs w:val="24"/>
          <w:lang w:val="uk-UA"/>
        </w:rPr>
        <w:t>196 622 521,68 гривень, із них:</w:t>
      </w:r>
    </w:p>
    <w:p w:rsidR="00A02572" w:rsidRDefault="00A02572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120 864 403,50 грн - за рахунок залишків коштів цільових трансфертів з державного, обласного та інших місцевих бюджетів;</w:t>
      </w:r>
    </w:p>
    <w:p w:rsidR="00A02572" w:rsidRDefault="00A02572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63 047 634,18 грн – за рахунок розподілу вільного залишку коштів бюджету громади, який сформувався станом на 01.01.2025</w:t>
      </w:r>
      <w:r w:rsidR="00AC4C06">
        <w:rPr>
          <w:rFonts w:ascii="Times New Roman" w:hAnsi="Times New Roman" w:cs="Times New Roman"/>
          <w:sz w:val="24"/>
          <w:szCs w:val="24"/>
          <w:lang w:val="uk-UA"/>
        </w:rPr>
        <w:t xml:space="preserve"> та відповідно до приписів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п.22</w:t>
      </w:r>
      <w:r w:rsidRPr="00A0257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Прикінцевих положень Бюджетного кодексу України, пропонується </w:t>
      </w:r>
      <w:r w:rsidR="00AC4C06">
        <w:rPr>
          <w:rFonts w:ascii="Times New Roman" w:hAnsi="Times New Roman" w:cs="Times New Roman"/>
          <w:sz w:val="24"/>
          <w:szCs w:val="24"/>
          <w:lang w:val="uk-UA"/>
        </w:rPr>
        <w:t xml:space="preserve">спрямувати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на:</w:t>
      </w:r>
    </w:p>
    <w:p w:rsidR="00A02572" w:rsidRPr="00785E3E" w:rsidRDefault="00A02572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оплату комунальних послуг – 730</w:t>
      </w:r>
      <w:r w:rsidR="00C24C6D"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000 </w:t>
      </w: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грн;</w:t>
      </w:r>
    </w:p>
    <w:p w:rsidR="00A02572" w:rsidRPr="00785E3E" w:rsidRDefault="00A02572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соціальний захист та соціальне забезпечення – 35 000 000 грн;</w:t>
      </w:r>
    </w:p>
    <w:p w:rsidR="00A02572" w:rsidRPr="00785E3E" w:rsidRDefault="00A02572" w:rsidP="00A02572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підтримку сил безпеки та оборони – 7 400 500 грн;</w:t>
      </w:r>
    </w:p>
    <w:p w:rsidR="00A02572" w:rsidRPr="00785E3E" w:rsidRDefault="00A02572" w:rsidP="004E20B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проектування, будівництво, реконструкці</w:t>
      </w:r>
      <w:r w:rsidR="00C24C6D" w:rsidRPr="00785E3E">
        <w:rPr>
          <w:rFonts w:ascii="Times New Roman" w:hAnsi="Times New Roman" w:cs="Times New Roman"/>
          <w:i/>
          <w:sz w:val="24"/>
          <w:szCs w:val="24"/>
          <w:lang w:val="uk-UA"/>
        </w:rPr>
        <w:t>ї</w:t>
      </w: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ремонт, облаштування захисних споруд цивільного захисту -  </w:t>
      </w:r>
      <w:r w:rsidR="00C24C6D"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17 655 971,0 </w:t>
      </w: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грн;</w:t>
      </w:r>
    </w:p>
    <w:p w:rsidR="00A02572" w:rsidRPr="00785E3E" w:rsidRDefault="00C24C6D" w:rsidP="004E20B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ремонт пошкоджених внаслідок збройної агресії об'єктів критичної інфраструктури, соціально-культурної сфери – 597 400 грн;</w:t>
      </w:r>
    </w:p>
    <w:p w:rsidR="00C24C6D" w:rsidRPr="00785E3E" w:rsidRDefault="00C24C6D" w:rsidP="004E20B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співфінансування</w:t>
      </w:r>
      <w:proofErr w:type="spellEnd"/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бюджету громади – 1 304 329 грн;</w:t>
      </w:r>
    </w:p>
    <w:p w:rsidR="00C24C6D" w:rsidRPr="00785E3E" w:rsidRDefault="00AC4C06" w:rsidP="004E20B6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співвласник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ами</w:t>
      </w:r>
      <w:r w:rsidR="004B43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багатоквартирних будинків заходів </w:t>
      </w:r>
      <w:r w:rsidRPr="00785E3E">
        <w:rPr>
          <w:rFonts w:ascii="Times New Roman" w:hAnsi="Times New Roman" w:cs="Times New Roman"/>
          <w:i/>
          <w:sz w:val="24"/>
          <w:szCs w:val="24"/>
          <w:lang w:val="uk-UA"/>
        </w:rPr>
        <w:t>за відповідною Міською цільовою програмою  – 359 434,18 грн.</w:t>
      </w:r>
      <w:r w:rsidR="004B43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="00C24C6D" w:rsidRPr="00785E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C2326C" w:rsidRPr="00785E3E" w:rsidRDefault="00C2326C" w:rsidP="00C2326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sz w:val="24"/>
          <w:szCs w:val="24"/>
          <w:lang w:val="uk-UA"/>
        </w:rPr>
        <w:t>Крім того, враховано пропозиції щодо перерозподілу коштів відповідно до звернень головних розпорядників бюджетних коштів</w:t>
      </w:r>
      <w:r w:rsidR="006D6398">
        <w:rPr>
          <w:rFonts w:ascii="Times New Roman" w:hAnsi="Times New Roman" w:cs="Times New Roman"/>
          <w:sz w:val="24"/>
          <w:szCs w:val="24"/>
          <w:lang w:val="uk-UA"/>
        </w:rPr>
        <w:t xml:space="preserve">, які викладені в узагальнених пропозиціях до </w:t>
      </w:r>
      <w:r w:rsidR="006D6398" w:rsidRPr="00785E3E">
        <w:rPr>
          <w:rFonts w:ascii="Times New Roman" w:hAnsi="Times New Roman" w:cs="Times New Roman"/>
          <w:sz w:val="24"/>
          <w:szCs w:val="24"/>
          <w:lang w:val="uk-UA"/>
        </w:rPr>
        <w:t>цього висновку</w:t>
      </w:r>
      <w:r w:rsidR="004848F4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та враховані в додатках 3-</w:t>
      </w:r>
      <w:r w:rsidR="00AE64FA" w:rsidRPr="00785E3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848F4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DF1279" w:rsidRPr="00785E3E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1 353 532 360,68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 w:rsidRPr="00785E3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1 129 107 097,87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–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224 425 262,81 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>гривень, із яких видатки бюджету розвитку –</w:t>
      </w:r>
      <w:r w:rsidR="00DD6DD4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204</w:t>
      </w:r>
      <w:r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469</w:t>
      </w:r>
      <w:r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788,63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="00DF1279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407F" w:rsidRPr="00785E3E" w:rsidRDefault="00EF407F" w:rsidP="00C57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C57D97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183 912 037,68 </w:t>
      </w:r>
      <w:r w:rsidR="00E353E0" w:rsidRPr="00785E3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785E3E">
        <w:rPr>
          <w:rFonts w:ascii="Times New Roman" w:hAnsi="Times New Roman"/>
          <w:color w:val="000000"/>
          <w:lang w:val="uk-UA"/>
        </w:rPr>
        <w:t xml:space="preserve"> 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2 до проєкту Рішення).</w:t>
      </w:r>
    </w:p>
    <w:p w:rsidR="00ED7897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5E" w:rsidRDefault="0031685E" w:rsidP="0010022D">
      <w:pPr>
        <w:spacing w:after="0" w:line="240" w:lineRule="auto"/>
      </w:pPr>
      <w:r>
        <w:separator/>
      </w:r>
    </w:p>
  </w:endnote>
  <w:endnote w:type="continuationSeparator" w:id="0">
    <w:p w:rsidR="0031685E" w:rsidRDefault="0031685E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5E" w:rsidRDefault="0031685E" w:rsidP="0010022D">
      <w:pPr>
        <w:spacing w:after="0" w:line="240" w:lineRule="auto"/>
      </w:pPr>
      <w:r>
        <w:separator/>
      </w:r>
    </w:p>
  </w:footnote>
  <w:footnote w:type="continuationSeparator" w:id="0">
    <w:p w:rsidR="0031685E" w:rsidRDefault="0031685E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4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2082"/>
    <w:rsid w:val="00273C86"/>
    <w:rsid w:val="00274470"/>
    <w:rsid w:val="00283647"/>
    <w:rsid w:val="00290B7B"/>
    <w:rsid w:val="002A06F1"/>
    <w:rsid w:val="002A7591"/>
    <w:rsid w:val="002B12D9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101B3"/>
    <w:rsid w:val="0031685E"/>
    <w:rsid w:val="00322203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D10"/>
    <w:rsid w:val="004B06C1"/>
    <w:rsid w:val="004B1758"/>
    <w:rsid w:val="004B43CE"/>
    <w:rsid w:val="004B4432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147D5"/>
    <w:rsid w:val="00A3143D"/>
    <w:rsid w:val="00A40D0D"/>
    <w:rsid w:val="00A448F4"/>
    <w:rsid w:val="00A63AC4"/>
    <w:rsid w:val="00A67E3F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4C06"/>
    <w:rsid w:val="00AC57E5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B01E09"/>
    <w:rsid w:val="00B02CDC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C1612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7897"/>
    <w:rsid w:val="00EE163E"/>
    <w:rsid w:val="00EE1ECC"/>
    <w:rsid w:val="00EE2866"/>
    <w:rsid w:val="00EE3B04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90F97"/>
    <w:rsid w:val="00F93AB1"/>
    <w:rsid w:val="00F965BC"/>
    <w:rsid w:val="00FA081C"/>
    <w:rsid w:val="00FB3A16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C856-14CF-48DC-BFFE-E849005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248</cp:revision>
  <cp:lastPrinted>2025-01-22T14:47:00Z</cp:lastPrinted>
  <dcterms:created xsi:type="dcterms:W3CDTF">2019-02-18T11:38:00Z</dcterms:created>
  <dcterms:modified xsi:type="dcterms:W3CDTF">2025-01-22T14:48:00Z</dcterms:modified>
</cp:coreProperties>
</file>