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26" w:rsidRDefault="00F72526" w:rsidP="00F72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:rsidR="00F72526" w:rsidRDefault="00F72526" w:rsidP="00F72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:rsidR="00670D4B" w:rsidRPr="00395C4A" w:rsidRDefault="00670D4B" w:rsidP="00670D4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95C4A">
        <w:rPr>
          <w:rFonts w:ascii="Times New Roman" w:hAnsi="Times New Roman"/>
          <w:noProof/>
          <w:color w:val="FFFFFF"/>
          <w:lang w:val="ru-RU" w:eastAsia="ru-RU"/>
        </w:rPr>
        <w:drawing>
          <wp:inline distT="0" distB="0" distL="0" distR="0" wp14:anchorId="3DF9D156" wp14:editId="33E0AC7B">
            <wp:extent cx="42291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7975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D4B" w:rsidRPr="00395C4A" w:rsidRDefault="00670D4B" w:rsidP="00670D4B">
      <w:pPr>
        <w:spacing w:after="0" w:line="240" w:lineRule="auto"/>
        <w:rPr>
          <w:rFonts w:ascii="Times New Roman" w:hAnsi="Times New Roman"/>
          <w:vanish/>
          <w:sz w:val="32"/>
          <w:szCs w:val="32"/>
          <w:specVanish/>
        </w:rPr>
      </w:pPr>
    </w:p>
    <w:p w:rsidR="00670D4B" w:rsidRPr="00395C4A" w:rsidRDefault="00670D4B" w:rsidP="00670D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395C4A">
        <w:rPr>
          <w:rFonts w:ascii="Times New Roman" w:hAnsi="Times New Roman"/>
          <w:b/>
          <w:sz w:val="18"/>
        </w:rPr>
        <w:t>УКРАЇНА</w:t>
      </w:r>
    </w:p>
    <w:p w:rsidR="00670D4B" w:rsidRPr="00395C4A" w:rsidRDefault="00670D4B" w:rsidP="00670D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Cs w:val="20"/>
        </w:rPr>
      </w:pPr>
      <w:r w:rsidRPr="00395C4A">
        <w:rPr>
          <w:rFonts w:ascii="Times New Roman" w:hAnsi="Times New Roman"/>
          <w:b/>
          <w:spacing w:val="2"/>
        </w:rPr>
        <w:t xml:space="preserve">ЧОРНОМОРСЬКА МІСЬКА РАДА </w:t>
      </w:r>
    </w:p>
    <w:p w:rsidR="00670D4B" w:rsidRPr="00395C4A" w:rsidRDefault="00670D4B" w:rsidP="00670D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395C4A">
        <w:rPr>
          <w:rFonts w:ascii="Times New Roman" w:hAnsi="Times New Roman"/>
          <w:spacing w:val="2"/>
        </w:rPr>
        <w:t>ОДЕСЬКА ОБЛАСТЬ</w:t>
      </w:r>
    </w:p>
    <w:p w:rsidR="00670D4B" w:rsidRPr="00395C4A" w:rsidRDefault="00670D4B" w:rsidP="00670D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395C4A">
        <w:rPr>
          <w:rFonts w:ascii="Times New Roman" w:hAnsi="Times New Roman"/>
          <w:b/>
          <w:caps/>
          <w:spacing w:val="-15"/>
          <w:sz w:val="32"/>
          <w:szCs w:val="32"/>
        </w:rPr>
        <w:t xml:space="preserve"> Р і ш е н </w:t>
      </w:r>
      <w:proofErr w:type="spellStart"/>
      <w:r w:rsidRPr="00395C4A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395C4A">
        <w:rPr>
          <w:rFonts w:ascii="Times New Roman" w:hAnsi="Times New Roman"/>
          <w:b/>
          <w:caps/>
          <w:spacing w:val="-15"/>
          <w:sz w:val="32"/>
          <w:szCs w:val="32"/>
        </w:rPr>
        <w:t xml:space="preserve"> я</w:t>
      </w:r>
    </w:p>
    <w:p w:rsidR="00670D4B" w:rsidRPr="00395C4A" w:rsidRDefault="00670D4B" w:rsidP="00670D4B">
      <w:pPr>
        <w:tabs>
          <w:tab w:val="left" w:pos="7785"/>
        </w:tabs>
        <w:spacing w:after="0" w:line="240" w:lineRule="auto"/>
        <w:rPr>
          <w:rFonts w:ascii="Times New Roman" w:hAnsi="Times New Roman"/>
          <w:sz w:val="20"/>
        </w:rPr>
      </w:pPr>
    </w:p>
    <w:p w:rsidR="00670D4B" w:rsidRPr="00395C4A" w:rsidRDefault="00670D4B" w:rsidP="00670D4B">
      <w:pPr>
        <w:tabs>
          <w:tab w:val="left" w:pos="77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70D4B" w:rsidRPr="00395C4A" w:rsidRDefault="006E0A92" w:rsidP="00670D4B">
      <w:pPr>
        <w:tabs>
          <w:tab w:val="left" w:pos="778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/>
          <w:sz w:val="24"/>
          <w:szCs w:val="24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670D4B" w:rsidRPr="00395C4A">
        <w:rPr>
          <w:rFonts w:ascii="Times New Roman" w:hAnsi="Times New Roman"/>
          <w:sz w:val="28"/>
          <w:szCs w:val="28"/>
        </w:rPr>
        <w:t xml:space="preserve">     </w:t>
      </w:r>
      <w:r w:rsidR="00670D4B">
        <w:rPr>
          <w:rFonts w:ascii="Times New Roman" w:hAnsi="Times New Roman"/>
          <w:sz w:val="32"/>
          <w:szCs w:val="32"/>
        </w:rPr>
        <w:t xml:space="preserve">  12</w:t>
      </w:r>
      <w:r w:rsidR="00670D4B" w:rsidRPr="00395C4A">
        <w:rPr>
          <w:rFonts w:ascii="Times New Roman" w:hAnsi="Times New Roman"/>
          <w:sz w:val="32"/>
          <w:szCs w:val="32"/>
        </w:rPr>
        <w:t>.0</w:t>
      </w:r>
      <w:r w:rsidR="00670D4B">
        <w:rPr>
          <w:rFonts w:ascii="Times New Roman" w:hAnsi="Times New Roman"/>
          <w:sz w:val="32"/>
          <w:szCs w:val="32"/>
        </w:rPr>
        <w:t>9</w:t>
      </w:r>
      <w:r w:rsidR="00670D4B" w:rsidRPr="00395C4A">
        <w:rPr>
          <w:rFonts w:ascii="Times New Roman" w:hAnsi="Times New Roman"/>
          <w:sz w:val="32"/>
          <w:szCs w:val="32"/>
        </w:rPr>
        <w:t>.2019                                                                 №  4</w:t>
      </w:r>
      <w:r w:rsidR="00670D4B">
        <w:rPr>
          <w:rFonts w:ascii="Times New Roman" w:hAnsi="Times New Roman"/>
          <w:sz w:val="32"/>
          <w:szCs w:val="32"/>
        </w:rPr>
        <w:t>85</w:t>
      </w:r>
      <w:r w:rsidR="00670D4B" w:rsidRPr="00395C4A">
        <w:rPr>
          <w:rFonts w:ascii="Times New Roman" w:hAnsi="Times New Roman"/>
          <w:sz w:val="32"/>
          <w:szCs w:val="32"/>
        </w:rPr>
        <w:t>-</w:t>
      </w:r>
      <w:r w:rsidR="00670D4B" w:rsidRPr="00395C4A">
        <w:rPr>
          <w:rFonts w:ascii="Times New Roman" w:hAnsi="Times New Roman"/>
          <w:sz w:val="32"/>
          <w:szCs w:val="32"/>
          <w:lang w:val="en-US"/>
        </w:rPr>
        <w:t>VII</w:t>
      </w:r>
    </w:p>
    <w:p w:rsidR="00670D4B" w:rsidRDefault="00670D4B" w:rsidP="00670D4B">
      <w:pPr>
        <w:shd w:val="clear" w:color="auto" w:fill="FFFFFF"/>
        <w:spacing w:after="0" w:line="240" w:lineRule="auto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526" w:rsidRDefault="00F72526" w:rsidP="00F72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:rsidR="00F72526" w:rsidRPr="0066165D" w:rsidRDefault="00F72526" w:rsidP="00F72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>Про</w:t>
      </w:r>
      <w:r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>Міську</w:t>
      </w:r>
      <w:r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>програму</w:t>
      </w:r>
      <w:r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 модернізації л</w:t>
      </w: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>іфтового</w:t>
      </w:r>
    </w:p>
    <w:p w:rsidR="00F72526" w:rsidRDefault="00F72526" w:rsidP="00F72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господарства </w:t>
      </w:r>
      <w:r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Чорноморської </w:t>
      </w:r>
      <w:r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>міської</w:t>
      </w:r>
      <w:r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 ради</w:t>
      </w:r>
    </w:p>
    <w:p w:rsidR="00F72526" w:rsidRPr="0066165D" w:rsidRDefault="00F72526" w:rsidP="00F72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>Одеської області на 201</w:t>
      </w:r>
      <w:r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>9</w:t>
      </w: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>-2023 роки</w:t>
      </w:r>
    </w:p>
    <w:p w:rsidR="00F72526" w:rsidRDefault="00F72526" w:rsidP="00F72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:rsidR="00F72526" w:rsidRPr="006F6D7F" w:rsidRDefault="00F72526" w:rsidP="00F72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          З метою забезпечення належної технічної експлуатац</w:t>
      </w:r>
      <w:r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ії та безпечної роботи </w:t>
      </w: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>ліфтів, які відпрацювали 25-річний ресурс,</w:t>
      </w:r>
      <w:r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 їх модернізації,  </w:t>
      </w: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недопущення систематичного виходу з ладу ліфтів з технічних причин, </w:t>
      </w:r>
      <w:r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а також для </w:t>
      </w: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 вирішення питання відновлення та поліпшення технічного стану ліфтового господарства усіх форм власності на території Чорноморської міської ради Одеської області, відповідно до Закону України «Про охорону праці», наказу Державного комітету України з промислової безпеки, охорони праці та гірничого нагляду від 01.09.2008 року № 190 «Про затвердження Правил будови і безпечної експлуатації ліфтів», враховуючи рекомендаці</w:t>
      </w:r>
      <w:r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>ю</w:t>
      </w: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постійної комісії</w:t>
      </w:r>
      <w:r w:rsidRPr="0066165D">
        <w:rPr>
          <w:rFonts w:ascii="Times New Roman" w:eastAsia="Times New Roman" w:hAnsi="Times New Roman"/>
          <w:sz w:val="24"/>
          <w:szCs w:val="24"/>
          <w:lang w:eastAsia="ru-RU"/>
        </w:rPr>
        <w:t xml:space="preserve"> з фінансово-економічних питань, бюджету, інвестицій та комунальної власності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6165D">
        <w:rPr>
          <w:rFonts w:ascii="Times New Roman" w:eastAsia="Times New Roman" w:hAnsi="Times New Roman"/>
          <w:sz w:val="24"/>
          <w:szCs w:val="24"/>
          <w:lang w:eastAsia="ru-RU"/>
        </w:rPr>
        <w:t xml:space="preserve">керуючись п. 22 ч. 1 ст. 26 </w:t>
      </w:r>
      <w:r w:rsidRPr="0066165D"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  <w:t xml:space="preserve">Закону України «Про місцеве самоврядування в Україні»,                              </w:t>
      </w:r>
    </w:p>
    <w:p w:rsidR="00F72526" w:rsidRPr="0066165D" w:rsidRDefault="00F72526" w:rsidP="00F72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:rsidR="00F72526" w:rsidRPr="0066165D" w:rsidRDefault="00F72526" w:rsidP="00F7252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165D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Одеської області вирішила:</w:t>
      </w:r>
    </w:p>
    <w:p w:rsidR="00F72526" w:rsidRDefault="00F72526" w:rsidP="00F72526">
      <w:pPr>
        <w:shd w:val="clear" w:color="auto" w:fill="FFFFFF"/>
        <w:tabs>
          <w:tab w:val="left" w:pos="993"/>
        </w:tabs>
        <w:spacing w:after="0" w:line="240" w:lineRule="auto"/>
        <w:ind w:left="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526" w:rsidRDefault="00F72526" w:rsidP="00F72526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left="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1. </w:t>
      </w:r>
      <w:r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Затвердити </w:t>
      </w:r>
      <w:r w:rsidRPr="0066165D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Міську програму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модернізації</w:t>
      </w:r>
      <w:r w:rsidRPr="0066165D">
        <w:rPr>
          <w:rFonts w:ascii="Times New Roman" w:eastAsia="Times New Roman" w:hAnsi="Times New Roman"/>
          <w:sz w:val="24"/>
          <w:szCs w:val="24"/>
          <w:lang w:eastAsia="ru-RU"/>
        </w:rPr>
        <w:t xml:space="preserve"> ліфтового господарства Чорноморської міської ради Одеської області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6165D">
        <w:rPr>
          <w:rFonts w:ascii="Times New Roman" w:eastAsia="Times New Roman" w:hAnsi="Times New Roman"/>
          <w:sz w:val="24"/>
          <w:szCs w:val="24"/>
          <w:lang w:eastAsia="ru-RU"/>
        </w:rPr>
        <w:t>-2023 роки (додаток 1) та кошторис витрат на фінансування заходів, передбачених даною Програмою (додаток 2).</w:t>
      </w:r>
    </w:p>
    <w:p w:rsidR="00F72526" w:rsidRDefault="00F72526" w:rsidP="00F72526">
      <w:pPr>
        <w:shd w:val="clear" w:color="auto" w:fill="FFFFFF"/>
        <w:tabs>
          <w:tab w:val="left" w:pos="993"/>
        </w:tabs>
        <w:spacing w:after="0" w:line="240" w:lineRule="auto"/>
        <w:ind w:left="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F72526" w:rsidRDefault="00F72526" w:rsidP="00F72526">
      <w:pPr>
        <w:shd w:val="clear" w:color="auto" w:fill="FFFFFF"/>
        <w:tabs>
          <w:tab w:val="left" w:pos="993"/>
        </w:tabs>
        <w:spacing w:after="0" w:line="240" w:lineRule="auto"/>
        <w:ind w:left="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2. </w:t>
      </w:r>
      <w:r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Фінансовому управлінню Чорноморської міської ради Одеської області щорічно при формуванні проекту міського бюджету на відповідний рік передбачити асигнування на реалізацію заходів Міської програми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ліфтового господарства Чорноморської міської ради Одеської області на 201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-2023 роки в межах фінансової можливості міського бюджету.</w:t>
      </w:r>
    </w:p>
    <w:p w:rsidR="00F72526" w:rsidRPr="006F6D7F" w:rsidRDefault="00F72526" w:rsidP="00F72526">
      <w:pPr>
        <w:shd w:val="clear" w:color="auto" w:fill="FFFFFF"/>
        <w:tabs>
          <w:tab w:val="left" w:pos="993"/>
        </w:tabs>
        <w:spacing w:after="0" w:line="240" w:lineRule="auto"/>
        <w:ind w:left="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F72526" w:rsidRPr="00AE18F3" w:rsidRDefault="00F72526" w:rsidP="00F72526">
      <w:pPr>
        <w:shd w:val="clear" w:color="auto" w:fill="FFFFFF"/>
        <w:tabs>
          <w:tab w:val="left" w:pos="993"/>
        </w:tabs>
        <w:spacing w:after="0" w:line="240" w:lineRule="auto"/>
        <w:ind w:left="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3. </w:t>
      </w:r>
      <w:r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постійну</w:t>
      </w:r>
      <w:r w:rsidRPr="006616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комісію</w:t>
      </w:r>
      <w:r w:rsidRPr="0066165D">
        <w:rPr>
          <w:rFonts w:ascii="Times New Roman" w:eastAsia="Times New Roman" w:hAnsi="Times New Roman"/>
          <w:sz w:val="24"/>
          <w:szCs w:val="24"/>
          <w:lang w:eastAsia="ru-RU"/>
        </w:rPr>
        <w:t xml:space="preserve"> з фінансово-економічних питань, бюджету</w:t>
      </w:r>
      <w:r w:rsidRPr="009B0B3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6165D">
        <w:rPr>
          <w:rFonts w:ascii="Times New Roman" w:eastAsia="Times New Roman" w:hAnsi="Times New Roman"/>
          <w:sz w:val="24"/>
          <w:szCs w:val="24"/>
          <w:lang w:eastAsia="ru-RU"/>
        </w:rPr>
        <w:t xml:space="preserve"> інвестицій та комунальної власності, заступників міського голови </w:t>
      </w:r>
      <w:proofErr w:type="spellStart"/>
      <w:r w:rsidRPr="00AE18F3">
        <w:rPr>
          <w:rFonts w:ascii="Times New Roman" w:eastAsia="Times New Roman" w:hAnsi="Times New Roman"/>
          <w:sz w:val="24"/>
          <w:szCs w:val="24"/>
          <w:lang w:eastAsia="ru-RU"/>
        </w:rPr>
        <w:t>Нарожного</w:t>
      </w:r>
      <w:proofErr w:type="spellEnd"/>
      <w:r w:rsidRPr="00AE18F3">
        <w:rPr>
          <w:rFonts w:ascii="Times New Roman" w:eastAsia="Times New Roman" w:hAnsi="Times New Roman"/>
          <w:sz w:val="24"/>
          <w:szCs w:val="24"/>
          <w:lang w:eastAsia="ru-RU"/>
        </w:rPr>
        <w:t xml:space="preserve"> Г.О. та </w:t>
      </w:r>
      <w:proofErr w:type="spellStart"/>
      <w:r w:rsidRPr="00AE18F3">
        <w:rPr>
          <w:rFonts w:ascii="Times New Roman" w:eastAsia="Times New Roman" w:hAnsi="Times New Roman"/>
          <w:sz w:val="24"/>
          <w:szCs w:val="24"/>
          <w:lang w:eastAsia="ru-RU"/>
        </w:rPr>
        <w:t>Яволову</w:t>
      </w:r>
      <w:proofErr w:type="spellEnd"/>
      <w:r w:rsidRPr="00AE18F3">
        <w:rPr>
          <w:rFonts w:ascii="Times New Roman" w:eastAsia="Times New Roman" w:hAnsi="Times New Roman"/>
          <w:sz w:val="24"/>
          <w:szCs w:val="24"/>
          <w:lang w:eastAsia="ru-RU"/>
        </w:rPr>
        <w:t xml:space="preserve"> Н.О.</w:t>
      </w:r>
    </w:p>
    <w:p w:rsidR="00F72526" w:rsidRPr="0066165D" w:rsidRDefault="00F72526" w:rsidP="00F72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526" w:rsidRPr="0066165D" w:rsidRDefault="00F72526" w:rsidP="00F72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526" w:rsidRDefault="00F72526" w:rsidP="00F725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F72526" w:rsidRDefault="00F72526" w:rsidP="00F725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Міський голова </w:t>
      </w:r>
      <w:r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В.Я.Хмельнюк</w:t>
      </w:r>
    </w:p>
    <w:p w:rsidR="00F72526" w:rsidRPr="0066165D" w:rsidRDefault="00F72526" w:rsidP="00F725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F72526" w:rsidRDefault="00F72526" w:rsidP="00F725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F72526" w:rsidRDefault="00F72526" w:rsidP="00F725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CD655C" w:rsidRPr="0066165D" w:rsidRDefault="00CD655C" w:rsidP="00CD65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CD655C" w:rsidRPr="0066165D" w:rsidRDefault="00CD655C" w:rsidP="00CD65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lastRenderedPageBreak/>
        <w:t>Узгоджено:</w:t>
      </w: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D655C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Секретар мі</w:t>
      </w:r>
      <w:r w:rsidR="00D744A3" w:rsidRPr="0066165D">
        <w:rPr>
          <w:rFonts w:ascii="Times New Roman" w:hAnsi="Times New Roman"/>
          <w:sz w:val="24"/>
          <w:szCs w:val="24"/>
        </w:rPr>
        <w:t>ської ради</w:t>
      </w:r>
      <w:r w:rsidR="00D744A3" w:rsidRPr="0066165D">
        <w:rPr>
          <w:rFonts w:ascii="Times New Roman" w:hAnsi="Times New Roman"/>
          <w:sz w:val="24"/>
          <w:szCs w:val="24"/>
        </w:rPr>
        <w:tab/>
      </w:r>
      <w:r w:rsidR="00D744A3" w:rsidRPr="0066165D">
        <w:rPr>
          <w:rFonts w:ascii="Times New Roman" w:hAnsi="Times New Roman"/>
          <w:sz w:val="24"/>
          <w:szCs w:val="24"/>
        </w:rPr>
        <w:tab/>
      </w:r>
      <w:r w:rsidR="00D744A3" w:rsidRPr="0066165D">
        <w:rPr>
          <w:rFonts w:ascii="Times New Roman" w:hAnsi="Times New Roman"/>
          <w:sz w:val="24"/>
          <w:szCs w:val="24"/>
        </w:rPr>
        <w:tab/>
      </w:r>
      <w:r w:rsidR="00D744A3" w:rsidRPr="0066165D">
        <w:rPr>
          <w:rFonts w:ascii="Times New Roman" w:hAnsi="Times New Roman"/>
          <w:sz w:val="24"/>
          <w:szCs w:val="24"/>
        </w:rPr>
        <w:tab/>
      </w:r>
      <w:r w:rsidR="00D744A3" w:rsidRPr="0066165D">
        <w:rPr>
          <w:rFonts w:ascii="Times New Roman" w:hAnsi="Times New Roman"/>
          <w:sz w:val="24"/>
          <w:szCs w:val="24"/>
        </w:rPr>
        <w:tab/>
      </w:r>
      <w:r w:rsidR="00D744A3" w:rsidRPr="0066165D">
        <w:rPr>
          <w:rFonts w:ascii="Times New Roman" w:hAnsi="Times New Roman"/>
          <w:sz w:val="24"/>
          <w:szCs w:val="24"/>
        </w:rPr>
        <w:tab/>
        <w:t>О.</w:t>
      </w:r>
      <w:r w:rsidR="00DB3437">
        <w:rPr>
          <w:rFonts w:ascii="Times New Roman" w:hAnsi="Times New Roman"/>
          <w:sz w:val="24"/>
          <w:szCs w:val="24"/>
        </w:rPr>
        <w:t>П</w:t>
      </w:r>
      <w:r w:rsidR="00D744A3" w:rsidRPr="0066165D">
        <w:rPr>
          <w:rFonts w:ascii="Times New Roman" w:hAnsi="Times New Roman"/>
          <w:sz w:val="24"/>
          <w:szCs w:val="24"/>
        </w:rPr>
        <w:t xml:space="preserve">. </w:t>
      </w:r>
      <w:r w:rsidR="00DB3437">
        <w:rPr>
          <w:rFonts w:ascii="Times New Roman" w:hAnsi="Times New Roman"/>
          <w:sz w:val="24"/>
          <w:szCs w:val="24"/>
        </w:rPr>
        <w:t>Лисиця</w:t>
      </w:r>
    </w:p>
    <w:p w:rsidR="008157B5" w:rsidRPr="0066165D" w:rsidRDefault="008157B5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D655C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Заступник міського голови</w:t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="003F1A27">
        <w:rPr>
          <w:rFonts w:ascii="Times New Roman" w:hAnsi="Times New Roman"/>
          <w:sz w:val="24"/>
          <w:szCs w:val="24"/>
          <w:lang w:val="ru-RU"/>
        </w:rPr>
        <w:t>Г.</w:t>
      </w:r>
      <w:r w:rsidR="003F1A27">
        <w:rPr>
          <w:rFonts w:ascii="Times New Roman" w:hAnsi="Times New Roman"/>
          <w:sz w:val="24"/>
          <w:szCs w:val="24"/>
        </w:rPr>
        <w:t>О. Нарожний</w:t>
      </w:r>
      <w:r w:rsidRPr="0066165D">
        <w:rPr>
          <w:rFonts w:ascii="Times New Roman" w:hAnsi="Times New Roman"/>
          <w:sz w:val="24"/>
          <w:szCs w:val="24"/>
        </w:rPr>
        <w:t xml:space="preserve"> </w:t>
      </w:r>
    </w:p>
    <w:p w:rsidR="008157B5" w:rsidRDefault="008157B5" w:rsidP="00CD655C">
      <w:p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AE18F3" w:rsidRDefault="00AE18F3" w:rsidP="00CD655C">
      <w:p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AE18F3" w:rsidRDefault="00AE18F3" w:rsidP="00AE18F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Заступник міського голови</w:t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Н.</w:t>
      </w:r>
      <w:r>
        <w:rPr>
          <w:rFonts w:ascii="Times New Roman" w:hAnsi="Times New Roman"/>
          <w:sz w:val="24"/>
          <w:szCs w:val="24"/>
        </w:rPr>
        <w:t xml:space="preserve">О.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Яволова</w:t>
      </w:r>
      <w:proofErr w:type="spellEnd"/>
      <w:r w:rsidRPr="0066165D">
        <w:rPr>
          <w:rFonts w:ascii="Times New Roman" w:hAnsi="Times New Roman"/>
          <w:sz w:val="24"/>
          <w:szCs w:val="24"/>
        </w:rPr>
        <w:t xml:space="preserve"> </w:t>
      </w:r>
    </w:p>
    <w:p w:rsidR="008157B5" w:rsidRPr="0066165D" w:rsidRDefault="008157B5" w:rsidP="00AE18F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157B5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Начальник фінансового управління</w:t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  <w:t xml:space="preserve"> </w:t>
      </w:r>
      <w:r w:rsidRPr="0066165D">
        <w:rPr>
          <w:rFonts w:ascii="Times New Roman" w:hAnsi="Times New Roman"/>
          <w:sz w:val="24"/>
          <w:szCs w:val="24"/>
        </w:rPr>
        <w:tab/>
        <w:t>О.М. Яковенко</w:t>
      </w:r>
    </w:p>
    <w:p w:rsidR="00CD655C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 w:rsidRPr="0066165D">
        <w:rPr>
          <w:rFonts w:ascii="Times New Roman" w:hAnsi="Times New Roman"/>
          <w:sz w:val="24"/>
          <w:szCs w:val="24"/>
        </w:rPr>
        <w:t xml:space="preserve"> </w:t>
      </w:r>
    </w:p>
    <w:p w:rsidR="00AE18F3" w:rsidRDefault="00AE18F3" w:rsidP="00CD655C">
      <w:p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AE18F3" w:rsidRDefault="00AE18F3" w:rsidP="00CD655C">
      <w:p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 w:rsidRPr="00AE18F3">
        <w:rPr>
          <w:rFonts w:ascii="Times New Roman" w:hAnsi="Times New Roman"/>
          <w:sz w:val="24"/>
          <w:szCs w:val="24"/>
        </w:rPr>
        <w:t>Керуюча</w:t>
      </w:r>
      <w:r>
        <w:rPr>
          <w:rFonts w:ascii="Times New Roman" w:hAnsi="Times New Roman"/>
          <w:sz w:val="24"/>
          <w:szCs w:val="24"/>
          <w:lang w:val="ru-RU"/>
        </w:rPr>
        <w:t xml:space="preserve"> справами                                      </w:t>
      </w:r>
      <w:r w:rsidR="008157B5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8157B5">
        <w:rPr>
          <w:rFonts w:ascii="Times New Roman" w:hAnsi="Times New Roman"/>
          <w:sz w:val="24"/>
          <w:szCs w:val="24"/>
          <w:lang w:val="ru-RU"/>
        </w:rPr>
        <w:t xml:space="preserve"> Н.В.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Кушніренко</w:t>
      </w:r>
      <w:proofErr w:type="spellEnd"/>
    </w:p>
    <w:p w:rsidR="008157B5" w:rsidRPr="00AE18F3" w:rsidRDefault="008157B5" w:rsidP="00CD655C">
      <w:p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CD655C" w:rsidRPr="0066165D" w:rsidRDefault="00D744A3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Начальник управління державної</w:t>
      </w: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реєстрації прав та правового</w:t>
      </w:r>
    </w:p>
    <w:p w:rsidR="008157B5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забезпечення</w:t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  <w:t>Д.В. Скрипниченко</w:t>
      </w: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 xml:space="preserve"> </w:t>
      </w: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Начальник організаційного відділу</w:t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Pr="0066165D">
        <w:rPr>
          <w:rFonts w:ascii="Times New Roman" w:hAnsi="Times New Roman"/>
          <w:sz w:val="24"/>
          <w:szCs w:val="24"/>
        </w:rPr>
        <w:tab/>
      </w:r>
      <w:r w:rsidR="00DB3437" w:rsidRPr="00DB3437">
        <w:rPr>
          <w:rFonts w:ascii="Times New Roman" w:hAnsi="Times New Roman"/>
          <w:sz w:val="24"/>
          <w:szCs w:val="24"/>
        </w:rPr>
        <w:t>І</w:t>
      </w:r>
      <w:r w:rsidRPr="00DB3437">
        <w:rPr>
          <w:rFonts w:ascii="Times New Roman" w:hAnsi="Times New Roman"/>
          <w:sz w:val="24"/>
          <w:szCs w:val="24"/>
        </w:rPr>
        <w:t xml:space="preserve">.В. </w:t>
      </w:r>
      <w:proofErr w:type="spellStart"/>
      <w:r w:rsidR="00DB3437" w:rsidRPr="00DB3437">
        <w:rPr>
          <w:rFonts w:ascii="Times New Roman" w:hAnsi="Times New Roman"/>
          <w:sz w:val="24"/>
          <w:szCs w:val="24"/>
        </w:rPr>
        <w:t>Виражук</w:t>
      </w:r>
      <w:proofErr w:type="spellEnd"/>
      <w:r w:rsidRPr="0066165D">
        <w:rPr>
          <w:rFonts w:ascii="Times New Roman" w:hAnsi="Times New Roman"/>
          <w:sz w:val="24"/>
          <w:szCs w:val="24"/>
        </w:rPr>
        <w:t xml:space="preserve"> </w:t>
      </w: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D655C" w:rsidRPr="0066165D" w:rsidRDefault="00D744A3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Виконавець:</w:t>
      </w:r>
    </w:p>
    <w:p w:rsidR="00D744A3" w:rsidRPr="0066165D" w:rsidRDefault="00D744A3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D744A3" w:rsidRPr="0066165D" w:rsidRDefault="00BD6858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proofErr w:type="spellStart"/>
      <w:r w:rsidRPr="0066165D">
        <w:rPr>
          <w:rFonts w:ascii="Times New Roman" w:hAnsi="Times New Roman"/>
          <w:sz w:val="24"/>
          <w:szCs w:val="24"/>
        </w:rPr>
        <w:t>ачальник</w:t>
      </w:r>
      <w:proofErr w:type="spellEnd"/>
      <w:r w:rsidR="00D744A3" w:rsidRPr="0066165D">
        <w:rPr>
          <w:rFonts w:ascii="Times New Roman" w:hAnsi="Times New Roman"/>
          <w:sz w:val="24"/>
          <w:szCs w:val="24"/>
        </w:rPr>
        <w:t xml:space="preserve"> КП «МУЖКГ»</w:t>
      </w:r>
    </w:p>
    <w:p w:rsidR="00D744A3" w:rsidRPr="0066165D" w:rsidRDefault="00D744A3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Чорноморської міської ради</w:t>
      </w:r>
    </w:p>
    <w:p w:rsidR="00D744A3" w:rsidRPr="0066165D" w:rsidRDefault="00D744A3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 xml:space="preserve">Одеської області                                                                              </w:t>
      </w:r>
      <w:r w:rsidR="00BD6858">
        <w:rPr>
          <w:rFonts w:ascii="Times New Roman" w:hAnsi="Times New Roman"/>
          <w:sz w:val="24"/>
          <w:szCs w:val="24"/>
        </w:rPr>
        <w:t>С</w:t>
      </w:r>
      <w:r w:rsidRPr="0066165D">
        <w:rPr>
          <w:rFonts w:ascii="Times New Roman" w:hAnsi="Times New Roman"/>
          <w:sz w:val="24"/>
          <w:szCs w:val="24"/>
        </w:rPr>
        <w:t>.</w:t>
      </w:r>
      <w:r w:rsidR="00BD6858">
        <w:rPr>
          <w:rFonts w:ascii="Times New Roman" w:hAnsi="Times New Roman"/>
          <w:sz w:val="24"/>
          <w:szCs w:val="24"/>
        </w:rPr>
        <w:t>В</w:t>
      </w:r>
      <w:r w:rsidRPr="0066165D">
        <w:rPr>
          <w:rFonts w:ascii="Times New Roman" w:hAnsi="Times New Roman"/>
          <w:sz w:val="24"/>
          <w:szCs w:val="24"/>
        </w:rPr>
        <w:t>.</w:t>
      </w:r>
      <w:r w:rsidR="00B82264">
        <w:rPr>
          <w:rFonts w:ascii="Times New Roman" w:hAnsi="Times New Roman"/>
          <w:sz w:val="24"/>
          <w:szCs w:val="24"/>
        </w:rPr>
        <w:t xml:space="preserve"> </w:t>
      </w:r>
      <w:r w:rsidR="00BD6858">
        <w:rPr>
          <w:rFonts w:ascii="Times New Roman" w:hAnsi="Times New Roman"/>
          <w:sz w:val="24"/>
          <w:szCs w:val="24"/>
        </w:rPr>
        <w:t>Миза</w:t>
      </w:r>
    </w:p>
    <w:p w:rsidR="00D744A3" w:rsidRPr="0066165D" w:rsidRDefault="00D744A3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D744A3" w:rsidRPr="0066165D" w:rsidRDefault="00D744A3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D744A3" w:rsidRPr="0066165D" w:rsidRDefault="00D744A3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Розсилка:</w:t>
      </w: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D655C" w:rsidRPr="0066165D" w:rsidRDefault="00D744A3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Оргвідділ – 1</w:t>
      </w: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МУЖКГ – 2</w:t>
      </w:r>
    </w:p>
    <w:p w:rsidR="00CD655C" w:rsidRPr="0066165D" w:rsidRDefault="00D744A3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165D">
        <w:rPr>
          <w:rFonts w:ascii="Times New Roman" w:hAnsi="Times New Roman"/>
          <w:sz w:val="24"/>
          <w:szCs w:val="24"/>
        </w:rPr>
        <w:t>Фінансове управління - 1</w:t>
      </w:r>
    </w:p>
    <w:p w:rsidR="00CD655C" w:rsidRPr="0066165D" w:rsidRDefault="00CD655C" w:rsidP="00CD65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D655C" w:rsidRPr="0066165D" w:rsidRDefault="00CD655C" w:rsidP="00CD65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744A3" w:rsidRPr="0066165D" w:rsidRDefault="00D744A3" w:rsidP="00CD65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744A3" w:rsidRPr="0066165D" w:rsidRDefault="00D744A3" w:rsidP="00CD65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744A3" w:rsidRPr="0066165D" w:rsidRDefault="00D744A3" w:rsidP="00CD65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744A3" w:rsidRPr="0066165D" w:rsidRDefault="00D744A3" w:rsidP="00CD65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744A3" w:rsidRDefault="00D744A3" w:rsidP="00CD65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D655C" w:rsidRDefault="00CD655C" w:rsidP="003D5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A92" w:rsidRPr="0066165D" w:rsidRDefault="006E0A92" w:rsidP="003D5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A92" w:rsidRDefault="0023221B" w:rsidP="00AE68D5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Додаток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1</w:t>
      </w:r>
    </w:p>
    <w:p w:rsidR="006A61A1" w:rsidRPr="0066165D" w:rsidRDefault="007C0354" w:rsidP="00AE68D5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до </w:t>
      </w:r>
      <w:r w:rsidR="007D6AA3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рішення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Чорноморської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</w:t>
      </w:r>
    </w:p>
    <w:p w:rsidR="00AE68D5" w:rsidRPr="006E0A92" w:rsidRDefault="00670D4B" w:rsidP="00AE68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0A9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</w:t>
      </w:r>
      <w:r w:rsidR="00AE68D5" w:rsidRPr="006E0A9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  <w:r w:rsidR="006E0A92">
        <w:rPr>
          <w:rFonts w:ascii="Times New Roman" w:eastAsia="Times New Roman" w:hAnsi="Times New Roman"/>
          <w:sz w:val="24"/>
          <w:szCs w:val="24"/>
          <w:lang w:val="en-US" w:eastAsia="uk-UA"/>
        </w:rPr>
        <w:t xml:space="preserve">      </w:t>
      </w:r>
      <w:r w:rsidR="00AE68D5" w:rsidRPr="006E0A9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C0354" w:rsidRPr="0066165D">
        <w:rPr>
          <w:rFonts w:ascii="Times New Roman" w:eastAsia="Times New Roman" w:hAnsi="Times New Roman"/>
          <w:sz w:val="24"/>
          <w:szCs w:val="24"/>
          <w:lang w:eastAsia="uk-UA"/>
        </w:rPr>
        <w:t>Одеської області</w:t>
      </w:r>
      <w:r w:rsidR="006A61A1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365529" w:rsidRDefault="00AE68D5" w:rsidP="00AE68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0A9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</w:t>
      </w:r>
      <w:r w:rsidR="006E0A92">
        <w:rPr>
          <w:rFonts w:ascii="Times New Roman" w:eastAsia="Times New Roman" w:hAnsi="Times New Roman"/>
          <w:sz w:val="24"/>
          <w:szCs w:val="24"/>
          <w:lang w:val="en-US" w:eastAsia="uk-UA"/>
        </w:rPr>
        <w:t xml:space="preserve">      </w:t>
      </w:r>
      <w:bookmarkStart w:id="0" w:name="_GoBack"/>
      <w:bookmarkEnd w:id="0"/>
      <w:r w:rsidRPr="006E0A92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від</w:t>
      </w:r>
      <w:r w:rsidR="004F37A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670D4B">
        <w:rPr>
          <w:rFonts w:ascii="Times New Roman" w:eastAsia="Times New Roman" w:hAnsi="Times New Roman"/>
          <w:sz w:val="24"/>
          <w:szCs w:val="24"/>
          <w:lang w:eastAsia="uk-UA"/>
        </w:rPr>
        <w:t>12.09.2019</w:t>
      </w:r>
      <w:r w:rsidR="004F37A4">
        <w:rPr>
          <w:rFonts w:ascii="Times New Roman" w:eastAsia="Times New Roman" w:hAnsi="Times New Roman"/>
          <w:sz w:val="24"/>
          <w:szCs w:val="24"/>
          <w:lang w:eastAsia="uk-UA"/>
        </w:rPr>
        <w:t xml:space="preserve"> № </w:t>
      </w:r>
      <w:r w:rsidR="00670D4B">
        <w:rPr>
          <w:rFonts w:ascii="Times New Roman" w:eastAsia="Times New Roman" w:hAnsi="Times New Roman"/>
          <w:sz w:val="24"/>
          <w:szCs w:val="24"/>
          <w:lang w:eastAsia="uk-UA"/>
        </w:rPr>
        <w:t>485-</w:t>
      </w:r>
      <w:r w:rsidR="00670D4B">
        <w:rPr>
          <w:rFonts w:ascii="Times New Roman" w:eastAsia="Times New Roman" w:hAnsi="Times New Roman"/>
          <w:sz w:val="24"/>
          <w:szCs w:val="24"/>
          <w:lang w:val="en-US" w:eastAsia="uk-UA"/>
        </w:rPr>
        <w:t>VII</w:t>
      </w:r>
    </w:p>
    <w:p w:rsidR="003D51E4" w:rsidRPr="0066165D" w:rsidRDefault="003D51E4" w:rsidP="003655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3221B" w:rsidRPr="0066165D" w:rsidRDefault="00BC5D2B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Міська програма</w:t>
      </w:r>
      <w:r w:rsidR="0023221B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br/>
      </w:r>
      <w:r w:rsidR="00D337F7" w:rsidRPr="00D337F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модернізації</w:t>
      </w:r>
      <w:r w:rsidR="00D744A3" w:rsidRPr="00D337F7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D744A3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ліфтового господарства Чорноморської міської ради</w:t>
      </w:r>
    </w:p>
    <w:p w:rsidR="00D744A3" w:rsidRPr="0066165D" w:rsidRDefault="00D744A3" w:rsidP="002322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Одеської області на 201</w:t>
      </w:r>
      <w:r w:rsidR="00DB3437">
        <w:rPr>
          <w:rFonts w:ascii="Times New Roman" w:eastAsia="Times New Roman" w:hAnsi="Times New Roman"/>
          <w:b/>
          <w:sz w:val="24"/>
          <w:szCs w:val="24"/>
          <w:lang w:eastAsia="uk-UA"/>
        </w:rPr>
        <w:t>9</w:t>
      </w: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-2023 роки</w:t>
      </w:r>
    </w:p>
    <w:p w:rsidR="000D0A68" w:rsidRPr="0066165D" w:rsidRDefault="000D0A68" w:rsidP="002322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3221B" w:rsidRPr="0066165D" w:rsidRDefault="0023221B" w:rsidP="002322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1. Паспорт Програми</w:t>
      </w:r>
    </w:p>
    <w:p w:rsidR="0023221B" w:rsidRPr="0066165D" w:rsidRDefault="0023221B" w:rsidP="00232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925"/>
        <w:gridCol w:w="6101"/>
      </w:tblGrid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Чорноморська міська рада Одеської області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D74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Комунальне підприємство «Міське управління житлово-комунального господарства» Чорноморської міської ради Одеської області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503548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ідділ комунального господарства </w:t>
            </w:r>
            <w:r w:rsidR="00D744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r w:rsidR="00503548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 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Чорноморської міської ради Одеської області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365529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23221B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Виконавці (учасники) Програми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BA0BB2" w:rsidRDefault="0023221B" w:rsidP="00BA0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Комунальне підприємство «Міське управління житлово-комунального господарства» Чорноморської міської ради Одеської області</w:t>
            </w:r>
            <w:r w:rsidR="0080221E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(далі – КП «МУЖКГ»)</w:t>
            </w:r>
            <w:r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503548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4059A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ідділ комунального господарства </w:t>
            </w:r>
            <w:r w:rsidR="00D744A3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r w:rsidR="00503548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 </w:t>
            </w:r>
            <w:r w:rsidR="00A4059A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Чорноморської міської ради Одеської області, </w:t>
            </w:r>
            <w:r w:rsidR="006E297B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об’єднан</w:t>
            </w:r>
            <w:r w:rsidR="00761495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r w:rsidR="006E297B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співвласників багатоквартирних будинків (далі – ОСББ)</w:t>
            </w:r>
            <w:r w:rsidR="00F3751E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спеціалізовані підприємства, які проводять технічне обслуговування</w:t>
            </w:r>
            <w:r w:rsidR="00F3751E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365529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</w:t>
            </w:r>
            <w:r w:rsidR="00F3751E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ремонт</w:t>
            </w:r>
            <w:r w:rsidR="00761495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65529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3751E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="00D337F7" w:rsidRPr="00BA0BB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модернізацію</w:t>
            </w:r>
            <w:r w:rsidR="00D337F7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ліфтів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365529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23221B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Мета Програми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653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безпечного проживання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обслуговування мешканців Чорноморська, поліпшення якості послуг, </w:t>
            </w:r>
            <w:r w:rsidR="00E0392E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 метою 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енергозбереження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через проведення </w:t>
            </w:r>
            <w:r w:rsidR="00D337F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модернізації</w:t>
            </w:r>
            <w:r w:rsidR="00D337F7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ліфтів у 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житлових</w:t>
            </w:r>
            <w:r w:rsidR="008914DE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будинках</w:t>
            </w:r>
            <w:r w:rsidR="008914DE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8914DE" w:rsidRPr="009B0B3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які </w:t>
            </w:r>
            <w:r w:rsidR="00E0392E" w:rsidRPr="009B0B3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перебувають </w:t>
            </w:r>
            <w:r w:rsidR="008914DE" w:rsidRPr="009B0B3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балансі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КП «МУЖКГ», ОСББ,</w:t>
            </w:r>
            <w:r w:rsidR="008914DE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63507D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житлово-будівельних кооперативів (далі – </w:t>
            </w:r>
            <w:r w:rsidR="008914DE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ЖБК</w:t>
            </w:r>
            <w:r w:rsidR="0063507D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  <w:r w:rsidR="00E0392E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будівлях м. Чорноморська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365529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23221B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DB3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</w:t>
            </w:r>
            <w:r w:rsidR="00DB34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– 2023 роки (два етапи):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І етап – 201</w:t>
            </w:r>
            <w:r w:rsidR="00DB34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-2020 роки</w:t>
            </w:r>
            <w:r w:rsidR="00AB51C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ІІ етап – 2021-2023 роки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365529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="0023221B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1E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 м. Чорноморськ</w:t>
            </w:r>
            <w:r w:rsidR="001E40BD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 Одеської області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інші джерела</w:t>
            </w:r>
            <w:r w:rsidR="001E40BD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</w:t>
            </w:r>
            <w:r w:rsidR="001E40BD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заборонен</w:t>
            </w:r>
            <w:r w:rsidR="001E40BD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законодавством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365529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="0023221B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Загальний обсяг фінансування 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D36C6F" w:rsidRDefault="000D5A4C" w:rsidP="00217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220,920</w:t>
            </w:r>
            <w:r w:rsidR="0023221B"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млн. грн.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365529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="0023221B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Орієнтовний обсяг фінансування, у тому числі: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D36C6F" w:rsidRDefault="0023221B" w:rsidP="003F1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 етап: 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2019 рік – 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8,580</w:t>
            </w:r>
            <w:r w:rsidR="007B2B5E"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млн. грн.; 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2020 рік – </w:t>
            </w:r>
            <w:r w:rsidR="000D5A4C" w:rsidRPr="00BD68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112,040</w:t>
            </w:r>
            <w:r w:rsidR="003F29DE"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млн. грн.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ІІ етап: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2021 рік – </w:t>
            </w:r>
            <w:r w:rsidR="007B2B5E"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F1A27" w:rsidRPr="00BD68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="003F1A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,5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</w:t>
            </w:r>
            <w:r w:rsidR="007B2B5E"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млн. грн.; 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2022 рік – 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F1A27" w:rsidRPr="00BD68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3F1A27" w:rsidRPr="00BD68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млн. грн.; 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2023 рік – 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6,</w:t>
            </w:r>
            <w:r w:rsidR="003F1A27" w:rsidRPr="00BD68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</w:t>
            </w:r>
            <w:r w:rsidR="003F29DE"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млн. грн.</w:t>
            </w:r>
          </w:p>
        </w:tc>
      </w:tr>
    </w:tbl>
    <w:p w:rsidR="0023221B" w:rsidRPr="0066165D" w:rsidRDefault="0023221B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5F651B" w:rsidRPr="0066165D" w:rsidRDefault="0023221B" w:rsidP="005F65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lastRenderedPageBreak/>
        <w:t>2. Аналіз проблем та перспектив ліфтового господарства м. Чорноморська</w:t>
      </w:r>
    </w:p>
    <w:p w:rsidR="00896EC8" w:rsidRPr="0066165D" w:rsidRDefault="00896EC8" w:rsidP="00896EC8">
      <w:pPr>
        <w:pStyle w:val="a8"/>
        <w:spacing w:line="240" w:lineRule="atLeast"/>
        <w:rPr>
          <w:sz w:val="24"/>
          <w:u w:val="none"/>
          <w:lang w:val="uk-UA"/>
        </w:rPr>
      </w:pPr>
      <w:r w:rsidRPr="0066165D">
        <w:rPr>
          <w:sz w:val="24"/>
          <w:u w:val="none"/>
          <w:lang w:val="uk-UA"/>
        </w:rPr>
        <w:t>Житлово-комунальне господарство - це важлива соціальна галузь, яка забезпечує населення, підприємства та організації усіх сфер економіки країни необхідними житлово-комунальними послугами, суттєво впливає на розвиток економічних взаємовідносин у державі.</w:t>
      </w:r>
    </w:p>
    <w:p w:rsidR="00896EC8" w:rsidRPr="0066165D" w:rsidRDefault="00896EC8" w:rsidP="00896EC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6165D">
        <w:rPr>
          <w:rFonts w:ascii="Times New Roman" w:eastAsia="Times New Roman" w:hAnsi="Times New Roman"/>
          <w:sz w:val="24"/>
          <w:szCs w:val="20"/>
          <w:lang w:eastAsia="ru-RU"/>
        </w:rPr>
        <w:t>Ліфтове господарство має високий рівень фізичного і морального зносу конструкцій та електрообладнання.</w:t>
      </w:r>
    </w:p>
    <w:p w:rsidR="00896EC8" w:rsidRPr="0066165D" w:rsidRDefault="0066165D" w:rsidP="00896E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896EC8" w:rsidRPr="0066165D">
        <w:rPr>
          <w:rFonts w:ascii="Times New Roman" w:eastAsia="Times New Roman" w:hAnsi="Times New Roman"/>
          <w:sz w:val="24"/>
          <w:szCs w:val="24"/>
          <w:lang w:eastAsia="uk-UA"/>
        </w:rPr>
        <w:t>Ліфтове обладнання з року в рік старішає. Ліфти, які відпрацювали 25-р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оків</w:t>
      </w:r>
      <w:r w:rsidR="00896EC8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і більше, підлягають технічному обстеженню для вирішення питання з їх ремонту,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D337F7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896EC8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та подальшої експлуатації. Ці ліфти вимагають модернізації, оскільки є небезпечними для користувачів. Головним Управлінням </w:t>
      </w:r>
      <w:proofErr w:type="spellStart"/>
      <w:r w:rsidR="00896EC8" w:rsidRPr="0066165D">
        <w:rPr>
          <w:rFonts w:ascii="Times New Roman" w:eastAsia="Times New Roman" w:hAnsi="Times New Roman"/>
          <w:sz w:val="24"/>
          <w:szCs w:val="24"/>
          <w:lang w:eastAsia="uk-UA"/>
        </w:rPr>
        <w:t>Держпраці</w:t>
      </w:r>
      <w:proofErr w:type="spellEnd"/>
      <w:r w:rsidR="00896EC8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в Одеській області за результатами перевірки, в окремих випадках, забороняється експлуатація таких ліфтів.</w:t>
      </w:r>
    </w:p>
    <w:p w:rsidR="00B40454" w:rsidRDefault="00B40454" w:rsidP="00896E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У 70-х – 80-х роках почалася масова забудова міста висотними будинками. 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житлових будинках м. Чорноморська, які перебувають на балансі КП «МУЖКГ», ОСББ, </w:t>
      </w:r>
      <w:r w:rsidRPr="00BD6858">
        <w:rPr>
          <w:rFonts w:ascii="Times New Roman" w:eastAsia="Times New Roman" w:hAnsi="Times New Roman"/>
          <w:sz w:val="24"/>
          <w:szCs w:val="24"/>
          <w:lang w:eastAsia="uk-UA"/>
        </w:rPr>
        <w:t xml:space="preserve">ЖБК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та в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інших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будівлях налічується 330 ліфтів, технічне обслуговування яких здійснюють п’ять спеціалізованих організацій, а саме: ТОВ «АПОГЄЙ», ВАТ «</w:t>
      </w:r>
      <w:proofErr w:type="spellStart"/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Одесліфт</w:t>
      </w:r>
      <w:proofErr w:type="spellEnd"/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», </w:t>
      </w:r>
      <w:r w:rsidR="004F37A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Т</w:t>
      </w:r>
      <w:r w:rsidRPr="0003020F">
        <w:rPr>
          <w:rFonts w:ascii="Times New Roman" w:eastAsia="Times New Roman" w:hAnsi="Times New Roman"/>
          <w:sz w:val="24"/>
          <w:szCs w:val="24"/>
          <w:lang w:eastAsia="uk-UA"/>
        </w:rPr>
        <w:t>ОВ «КОНТАКТ», ВАТ «КРАЯН», ЗАО «ОТИС».</w:t>
      </w:r>
    </w:p>
    <w:p w:rsidR="00896EC8" w:rsidRDefault="00896EC8" w:rsidP="00896E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На сьогодні з 330 ліфтів 209 (64%) вже відпрацювали 25-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років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і більше. З кожним роком кількість таких ліфтів зростає приблизно на 40 одиниць. Фактично до 2023 року 74 % ліфтів відпрацюють 25 і більше років. </w:t>
      </w:r>
      <w:r w:rsid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Кількість ліфтів, які вимагають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66165D">
        <w:rPr>
          <w:rFonts w:ascii="Times New Roman" w:eastAsia="Times New Roman" w:hAnsi="Times New Roman"/>
          <w:sz w:val="24"/>
          <w:szCs w:val="24"/>
          <w:lang w:eastAsia="uk-UA"/>
        </w:rPr>
        <w:t>, наведено у таблицях до Програми:</w:t>
      </w:r>
    </w:p>
    <w:p w:rsidR="0066165D" w:rsidRDefault="0066165D" w:rsidP="006616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таблиця 1 «Зведена таблиця кількості ліфтів, які вимагають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у житлових будинках КП «МУЖКГ», ОСББ, в </w:t>
      </w:r>
      <w:r w:rsidR="00D36C6F">
        <w:rPr>
          <w:rFonts w:ascii="Times New Roman" w:eastAsia="Times New Roman" w:hAnsi="Times New Roman"/>
          <w:sz w:val="24"/>
          <w:szCs w:val="24"/>
          <w:lang w:eastAsia="uk-UA"/>
        </w:rPr>
        <w:t xml:space="preserve">інших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будівлях Чорноморської міської ради Одеської області на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-2023 роки»;</w:t>
      </w:r>
    </w:p>
    <w:p w:rsidR="0066165D" w:rsidRDefault="00CD36D8" w:rsidP="006616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таблиця 2 «Зведена таблиця ліфтів, які вимагають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 в житлових будинках КП «МУЖКГ» на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-2023 роки (з адресами)»;</w:t>
      </w:r>
    </w:p>
    <w:p w:rsidR="00CD36D8" w:rsidRDefault="00CD36D8" w:rsidP="006616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таблиця 3 «Зведена таблиця ліфтів,  які вимагають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 в житлових будинках ОСББ та ЖБК на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-2023 роки (з адресами);</w:t>
      </w:r>
    </w:p>
    <w:p w:rsidR="00CD36D8" w:rsidRPr="0066165D" w:rsidRDefault="003708C4" w:rsidP="006616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таблиця 4 «Зведена таблиця ліфтів в </w:t>
      </w:r>
      <w:r w:rsidR="00D36C6F">
        <w:rPr>
          <w:rFonts w:ascii="Times New Roman" w:eastAsia="Times New Roman" w:hAnsi="Times New Roman"/>
          <w:sz w:val="24"/>
          <w:szCs w:val="24"/>
          <w:lang w:eastAsia="uk-UA"/>
        </w:rPr>
        <w:t>інших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будівлях, які вимагають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D337F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на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-2023 роки (з адресами)».</w:t>
      </w:r>
    </w:p>
    <w:p w:rsidR="00C13344" w:rsidRPr="0003020F" w:rsidRDefault="00A4059A" w:rsidP="005F6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Через 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>брак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коштів, необхідних для капітально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го ремонту і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D337F7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ліфтів,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останні 10 років спостерігається </w:t>
      </w:r>
      <w:r w:rsidR="009F6C66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їх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інтенсивне 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>зноше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ння і, як наслідок, систематичне зупинення з технічних причин, а потреба у коштах на капітальний ремонт </w:t>
      </w:r>
      <w:r w:rsidR="00684607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ліфтів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і їх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модернізацію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щорічно зростає. </w:t>
      </w:r>
    </w:p>
    <w:p w:rsidR="0023221B" w:rsidRPr="0066165D" w:rsidRDefault="00A4059A" w:rsidP="00896E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>Починаючи з 200</w:t>
      </w:r>
      <w:r w:rsidR="000D0A68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7 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>року</w:t>
      </w:r>
      <w:r w:rsidR="00E558E7" w:rsidRPr="0003020F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Чорноморська міська рада </w:t>
      </w:r>
      <w:r w:rsidR="00E558E7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Одеської області </w:t>
      </w:r>
      <w:r w:rsidR="0003020F">
        <w:rPr>
          <w:rFonts w:ascii="Times New Roman" w:eastAsia="Times New Roman" w:hAnsi="Times New Roman"/>
          <w:sz w:val="24"/>
          <w:szCs w:val="24"/>
          <w:lang w:eastAsia="uk-UA"/>
        </w:rPr>
        <w:t>проводила фінансування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за рахунок коштів міського бюджету </w:t>
      </w:r>
      <w:r w:rsid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на 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капітальні ремонти ліфтів </w:t>
      </w:r>
      <w:r w:rsidR="00C866AD" w:rsidRPr="0003020F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житлових будинках, які знаходяться на балансі КП «МУЖКГ».</w:t>
      </w:r>
      <w:r w:rsidR="00AA63BA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П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>озитивн</w:t>
      </w:r>
      <w:r w:rsidR="00AA63BA" w:rsidRPr="0003020F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динамік</w:t>
      </w:r>
      <w:r w:rsidR="00AA63BA" w:rsidRPr="0003020F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виконання </w:t>
      </w:r>
      <w:r w:rsidR="000D0A68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капітального 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>ремонту ліфтового господарства за попередні періоди</w:t>
      </w:r>
      <w:r w:rsidR="00AA63BA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дозволила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A63BA" w:rsidRPr="0003020F">
        <w:rPr>
          <w:rFonts w:ascii="Times New Roman" w:eastAsia="Times New Roman" w:hAnsi="Times New Roman"/>
          <w:sz w:val="24"/>
          <w:szCs w:val="24"/>
          <w:lang w:eastAsia="uk-UA"/>
        </w:rPr>
        <w:t>подовжити строк експлуатації ліфтів</w:t>
      </w:r>
      <w:r w:rsidR="00942335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="00AA63BA" w:rsidRPr="0003020F">
        <w:rPr>
          <w:rFonts w:ascii="Times New Roman" w:eastAsia="Times New Roman" w:hAnsi="Times New Roman"/>
          <w:sz w:val="24"/>
          <w:szCs w:val="24"/>
          <w:lang w:eastAsia="uk-UA"/>
        </w:rPr>
        <w:t>сі ліфти знаходяться</w:t>
      </w:r>
      <w:r w:rsidR="00AA63BA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в робочому стані</w:t>
      </w:r>
      <w:r w:rsidR="00942335" w:rsidRPr="0066165D">
        <w:rPr>
          <w:rFonts w:ascii="Times New Roman" w:eastAsia="Times New Roman" w:hAnsi="Times New Roman"/>
          <w:sz w:val="24"/>
          <w:szCs w:val="24"/>
          <w:lang w:eastAsia="uk-UA"/>
        </w:rPr>
        <w:t>, а</w:t>
      </w:r>
      <w:r w:rsidR="00AA63BA" w:rsidRPr="0066165D">
        <w:rPr>
          <w:rFonts w:ascii="Times New Roman" w:eastAsia="Times New Roman" w:hAnsi="Times New Roman"/>
          <w:sz w:val="24"/>
          <w:szCs w:val="24"/>
          <w:lang w:eastAsia="uk-UA"/>
        </w:rPr>
        <w:t>ле на початок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 w:rsidR="00AA63BA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року велика </w:t>
      </w:r>
      <w:r w:rsidR="00942335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їх </w:t>
      </w:r>
      <w:r w:rsidR="00AA63BA" w:rsidRPr="0066165D">
        <w:rPr>
          <w:rFonts w:ascii="Times New Roman" w:eastAsia="Times New Roman" w:hAnsi="Times New Roman"/>
          <w:sz w:val="24"/>
          <w:szCs w:val="24"/>
          <w:lang w:eastAsia="uk-UA"/>
        </w:rPr>
        <w:t>кількість вже відпрацювала свій нормативний строк</w:t>
      </w:r>
      <w:r w:rsidR="006A1582" w:rsidRPr="0066165D">
        <w:rPr>
          <w:rFonts w:ascii="Times New Roman" w:eastAsia="Times New Roman" w:hAnsi="Times New Roman"/>
          <w:sz w:val="24"/>
          <w:szCs w:val="24"/>
          <w:lang w:eastAsia="uk-UA"/>
        </w:rPr>
        <w:t>. Є</w:t>
      </w:r>
      <w:r w:rsidR="00AA63BA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ліфти</w:t>
      </w:r>
      <w:r w:rsidR="006A1582" w:rsidRPr="0066165D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AA63BA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які відпрацювали більше 40 років, тому </w:t>
      </w:r>
      <w:r w:rsidR="003708C4">
        <w:rPr>
          <w:rFonts w:ascii="Times New Roman" w:eastAsia="Times New Roman" w:hAnsi="Times New Roman"/>
          <w:sz w:val="24"/>
          <w:szCs w:val="24"/>
          <w:lang w:eastAsia="uk-UA"/>
        </w:rPr>
        <w:t xml:space="preserve">виникла необхідність у розробленні Міської програми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D337F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3708C4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ліфтового господарства Чорноморської міської ради </w:t>
      </w:r>
      <w:r w:rsidR="00C13344" w:rsidRPr="0066165D">
        <w:rPr>
          <w:rFonts w:ascii="Times New Roman" w:eastAsia="Times New Roman" w:hAnsi="Times New Roman"/>
          <w:sz w:val="24"/>
          <w:szCs w:val="24"/>
          <w:lang w:eastAsia="uk-UA"/>
        </w:rPr>
        <w:t>Одеської області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на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-2023 роки</w:t>
      </w:r>
      <w:r w:rsidR="0066165D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(далі – Програма)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:rsidR="00C13344" w:rsidRPr="0066165D" w:rsidRDefault="00C13344" w:rsidP="00C13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44A7E" w:rsidRPr="0066165D" w:rsidRDefault="0023221B" w:rsidP="00044A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3. Мета Програми</w:t>
      </w:r>
    </w:p>
    <w:p w:rsidR="003D51E4" w:rsidRDefault="0023221B" w:rsidP="00264A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Метою Програми є </w:t>
      </w:r>
      <w:r w:rsidR="002478A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забезпечення безпечного користування ліфтами, </w:t>
      </w:r>
      <w:r w:rsidR="00E34DEF" w:rsidRPr="0066165D">
        <w:rPr>
          <w:rFonts w:ascii="Times New Roman" w:eastAsia="Times New Roman" w:hAnsi="Times New Roman"/>
          <w:sz w:val="24"/>
          <w:szCs w:val="24"/>
          <w:lang w:eastAsia="uk-UA"/>
        </w:rPr>
        <w:t>встановлення</w:t>
      </w:r>
      <w:r w:rsidR="002478A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більш енергоефективного обладнання, недопущення частих зупинок ліфтів з технічних причин шляхом </w:t>
      </w:r>
      <w:r w:rsidR="00D337F7" w:rsidRPr="00D337F7">
        <w:rPr>
          <w:rFonts w:ascii="Times New Roman" w:eastAsia="Times New Roman" w:hAnsi="Times New Roman"/>
          <w:sz w:val="24"/>
          <w:szCs w:val="24"/>
          <w:lang w:eastAsia="uk-UA"/>
        </w:rPr>
        <w:t xml:space="preserve">модернізації </w:t>
      </w:r>
      <w:r w:rsidR="00CF279D" w:rsidRPr="0066165D">
        <w:rPr>
          <w:rFonts w:ascii="Times New Roman" w:eastAsia="Times New Roman" w:hAnsi="Times New Roman"/>
          <w:sz w:val="24"/>
          <w:szCs w:val="24"/>
          <w:lang w:eastAsia="uk-UA"/>
        </w:rPr>
        <w:t>тих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CF279D" w:rsidRPr="0066165D"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 xml:space="preserve"> відпрацювали 25-років </w:t>
      </w:r>
      <w:r w:rsidR="000D0A68" w:rsidRPr="0066165D">
        <w:rPr>
          <w:rFonts w:ascii="Times New Roman" w:eastAsia="Times New Roman" w:hAnsi="Times New Roman"/>
          <w:sz w:val="24"/>
          <w:szCs w:val="24"/>
          <w:lang w:eastAsia="uk-UA"/>
        </w:rPr>
        <w:t>і більше</w:t>
      </w:r>
      <w:r w:rsidR="00D342C2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264AC0" w:rsidRDefault="00264AC0" w:rsidP="00264A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4AC0" w:rsidRDefault="00264AC0" w:rsidP="00264A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4AC0" w:rsidRDefault="00264AC0" w:rsidP="00264A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4AC0" w:rsidRPr="00264AC0" w:rsidRDefault="00264AC0" w:rsidP="00264A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D51E4" w:rsidRDefault="003D51E4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23221B" w:rsidRPr="0066165D" w:rsidRDefault="0023221B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lastRenderedPageBreak/>
        <w:t>4. Основні завдання Програми</w:t>
      </w:r>
    </w:p>
    <w:p w:rsidR="00C13344" w:rsidRPr="0066165D" w:rsidRDefault="0003020F" w:rsidP="00030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Основними напрямками та завданнями Програми є:</w:t>
      </w:r>
      <w:r w:rsidR="00C1334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0D0A68" w:rsidRPr="0066165D" w:rsidRDefault="0003020F" w:rsidP="00030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4.1.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Підвищення надійності та безпечної роботи ліфтів у м. </w:t>
      </w:r>
      <w:r w:rsidR="00C13344" w:rsidRPr="0066165D">
        <w:rPr>
          <w:rFonts w:ascii="Times New Roman" w:eastAsia="Times New Roman" w:hAnsi="Times New Roman"/>
          <w:sz w:val="24"/>
          <w:szCs w:val="24"/>
          <w:lang w:eastAsia="uk-UA"/>
        </w:rPr>
        <w:t>Чорноморськ</w:t>
      </w:r>
      <w:r w:rsidR="0068221D" w:rsidRPr="0066165D">
        <w:rPr>
          <w:rFonts w:ascii="Times New Roman" w:eastAsia="Times New Roman" w:hAnsi="Times New Roman"/>
          <w:sz w:val="24"/>
          <w:szCs w:val="24"/>
          <w:lang w:eastAsia="uk-UA"/>
        </w:rPr>
        <w:t>у.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br/>
        <w:t>4.</w:t>
      </w:r>
      <w:r w:rsidR="0068221D" w:rsidRPr="0066165D">
        <w:rPr>
          <w:rFonts w:ascii="Times New Roman" w:eastAsia="Times New Roman" w:hAnsi="Times New Roman"/>
          <w:sz w:val="24"/>
          <w:szCs w:val="24"/>
          <w:lang w:eastAsia="uk-UA"/>
        </w:rPr>
        <w:t>2.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Своєчасн</w:t>
      </w:r>
      <w:r w:rsidR="000D0A68" w:rsidRPr="0066165D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модернізація 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морально зношеного ліфтового обладнання у житлових будинках</w:t>
      </w:r>
      <w:r w:rsidR="000D0A68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C13344" w:rsidRPr="0066165D" w:rsidRDefault="0003020F" w:rsidP="00030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4.</w:t>
      </w:r>
      <w:r w:rsidR="00D36C6F">
        <w:rPr>
          <w:rFonts w:ascii="Times New Roman" w:eastAsia="Times New Roman" w:hAnsi="Times New Roman"/>
          <w:sz w:val="24"/>
          <w:szCs w:val="24"/>
          <w:lang w:eastAsia="uk-UA"/>
        </w:rPr>
        <w:t>3</w:t>
      </w:r>
      <w:r w:rsidR="0068221D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Поліпшення роботи ліфтового господарства і поступове приведення ліфтів до сучасних вимог та стандартів.</w:t>
      </w:r>
      <w:r w:rsidR="00C1334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3221B" w:rsidRPr="0066165D" w:rsidRDefault="0003020F" w:rsidP="00030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4.</w:t>
      </w:r>
      <w:r w:rsidR="00D36C6F">
        <w:rPr>
          <w:rFonts w:ascii="Times New Roman" w:eastAsia="Times New Roman" w:hAnsi="Times New Roman"/>
          <w:sz w:val="24"/>
          <w:szCs w:val="24"/>
          <w:lang w:eastAsia="uk-UA"/>
        </w:rPr>
        <w:t>4</w:t>
      </w:r>
      <w:r w:rsidR="0068221D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Підвищення якості надання житлово-комунальних послуг мешканцям </w:t>
      </w:r>
      <w:r w:rsidR="0068221D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м. </w:t>
      </w:r>
      <w:r w:rsidR="00C13344" w:rsidRPr="0066165D">
        <w:rPr>
          <w:rFonts w:ascii="Times New Roman" w:eastAsia="Times New Roman" w:hAnsi="Times New Roman"/>
          <w:sz w:val="24"/>
          <w:szCs w:val="24"/>
          <w:lang w:eastAsia="uk-UA"/>
        </w:rPr>
        <w:t>Чорноморськ</w:t>
      </w:r>
      <w:r w:rsidR="0068221D" w:rsidRPr="0066165D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687440" w:rsidRPr="0066165D" w:rsidRDefault="00687440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3D51E4" w:rsidRDefault="0023221B" w:rsidP="003D51E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5. Заходи щодо реалізації Програми та їх</w:t>
      </w:r>
      <w:r w:rsidR="00687440"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фінансове забезпечення</w:t>
      </w:r>
    </w:p>
    <w:p w:rsidR="00C13344" w:rsidRPr="0066165D" w:rsidRDefault="0023221B" w:rsidP="00524D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5.1. Про</w:t>
      </w:r>
      <w:r w:rsidR="002D712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грама реалізовуватиметься 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="002D712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 w:rsidR="007D6AA3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-2023 роках 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="007D6AA3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залежності від реального фінансування з міського бюджету</w:t>
      </w:r>
      <w:r w:rsid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м. Чорноморськ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="007D6AA3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C017A9" w:rsidRDefault="0023221B" w:rsidP="00C13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5.2. </w:t>
      </w:r>
      <w:r w:rsidR="00C017A9" w:rsidRPr="0066165D">
        <w:rPr>
          <w:rFonts w:ascii="Times New Roman" w:eastAsia="Times New Roman" w:hAnsi="Times New Roman"/>
          <w:sz w:val="24"/>
          <w:szCs w:val="24"/>
          <w:lang w:eastAsia="uk-UA"/>
        </w:rPr>
        <w:t>Фінансове забезпечення Програми здійснюється у межах кошторисних призначень, передбачених у міському бюджеті м. Чорноморська на відповідний рік, та з інших джерел, не заборонених законодавством України.</w:t>
      </w:r>
    </w:p>
    <w:p w:rsidR="00C017A9" w:rsidRDefault="00C017A9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5.3.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Джерела фінансування заходів Програми:</w:t>
      </w:r>
    </w:p>
    <w:p w:rsidR="00C017A9" w:rsidRDefault="00C017A9" w:rsidP="00C13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5.3.</w:t>
      </w:r>
      <w:r w:rsidR="00261B21" w:rsidRPr="00D337F7">
        <w:rPr>
          <w:rFonts w:ascii="Times New Roman" w:eastAsia="Times New Roman" w:hAnsi="Times New Roman"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D337F7">
        <w:rPr>
          <w:rFonts w:ascii="Times New Roman" w:eastAsia="Times New Roman" w:hAnsi="Times New Roman"/>
          <w:sz w:val="24"/>
          <w:szCs w:val="24"/>
          <w:lang w:eastAsia="uk-UA"/>
        </w:rPr>
        <w:t>Модернізація</w:t>
      </w:r>
      <w:r w:rsidR="00D337F7" w:rsidRPr="00D337F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ліфтів у будинках, які перебувають на балансі КП «МУЖКГ», </w:t>
      </w:r>
      <w:r w:rsidR="00B40454" w:rsidRPr="0066165D">
        <w:rPr>
          <w:rFonts w:ascii="Times New Roman" w:eastAsia="Times New Roman" w:hAnsi="Times New Roman"/>
          <w:sz w:val="24"/>
          <w:szCs w:val="24"/>
          <w:lang w:eastAsia="uk-UA"/>
        </w:rPr>
        <w:t>ОСББ</w:t>
      </w:r>
      <w:r w:rsidR="00B40454" w:rsidRPr="00B40454">
        <w:rPr>
          <w:rFonts w:ascii="Times New Roman" w:eastAsia="Times New Roman" w:hAnsi="Times New Roman"/>
          <w:sz w:val="24"/>
          <w:szCs w:val="24"/>
          <w:lang w:eastAsia="uk-UA"/>
        </w:rPr>
        <w:t>, ЖБК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B4045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за рахунок коштів міського бюджету, або кредитних коштів.</w:t>
      </w:r>
    </w:p>
    <w:p w:rsidR="00C017A9" w:rsidRDefault="00C017A9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5.4.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У разі зміни форми управління будинку, який на цей час перебуває на балансі                                 КП «МУЖКГ», фінансування робіт з експертизи проводиться за кошти власника будинку, роботи по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D337F7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ліфтів - за рахунок коштів міського бюджету.</w:t>
      </w:r>
    </w:p>
    <w:p w:rsidR="00C017A9" w:rsidRDefault="00C017A9" w:rsidP="00C13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Програма може бути продовжена на наступні роки за підсумками її виконання і залежно від результатів обстеження ста</w:t>
      </w:r>
      <w:r w:rsidR="002D7124" w:rsidRPr="0066165D">
        <w:rPr>
          <w:rFonts w:ascii="Times New Roman" w:eastAsia="Times New Roman" w:hAnsi="Times New Roman"/>
          <w:sz w:val="24"/>
          <w:szCs w:val="24"/>
          <w:lang w:eastAsia="uk-UA"/>
        </w:rPr>
        <w:t>ну ліфтового господарства у 201</w:t>
      </w:r>
      <w:r w:rsidR="00C764A6">
        <w:rPr>
          <w:rFonts w:ascii="Times New Roman" w:eastAsia="Times New Roman" w:hAnsi="Times New Roman"/>
          <w:sz w:val="24"/>
          <w:szCs w:val="24"/>
          <w:lang w:val="ru-RU" w:eastAsia="uk-UA"/>
        </w:rPr>
        <w:t>9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-2023 роках.</w:t>
      </w:r>
    </w:p>
    <w:p w:rsidR="00C017A9" w:rsidRDefault="00C017A9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5.5.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Черговість та порядок включення ліфтів до титульного списку на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модернізацію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C017A9" w:rsidRDefault="00C017A9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5.5.1.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Ліфти,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які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зупинені згідно з приписами Державної служби України з питань праці;</w:t>
      </w:r>
    </w:p>
    <w:p w:rsidR="00C017A9" w:rsidRDefault="00C017A9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5.5.2.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Ліфти, щодо яких є висновок, який підтверджує необхідність проведення модернізації або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модернізацію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ліфтів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C017A9" w:rsidRDefault="00C017A9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5.5.3.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Ліфти, які досягнули граничного строку експлуатації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та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мають найдовший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термін експлуатації (25 і більше років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);</w:t>
      </w:r>
    </w:p>
    <w:p w:rsidR="00C017A9" w:rsidRPr="0002377F" w:rsidRDefault="00EF2A94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5.5.4. </w:t>
      </w:r>
      <w:r w:rsidR="00C017A9" w:rsidRPr="0002377F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Ліфти, які запропоновані до включення іншими учасниками програми при наявності висновку, який  підтверджує необхідність проведення модернізації ліфтів на умовах </w:t>
      </w:r>
      <w:proofErr w:type="spellStart"/>
      <w:r w:rsidR="00C017A9" w:rsidRPr="0002377F">
        <w:rPr>
          <w:rFonts w:ascii="Times New Roman" w:eastAsia="Times New Roman" w:hAnsi="Times New Roman"/>
          <w:sz w:val="24"/>
          <w:szCs w:val="24"/>
          <w:lang w:eastAsia="uk-UA"/>
        </w:rPr>
        <w:t>співфінансування</w:t>
      </w:r>
      <w:proofErr w:type="spellEnd"/>
      <w:r w:rsidR="00C017A9" w:rsidRPr="0002377F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C017A9" w:rsidRDefault="003D51E4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5.6.</w:t>
      </w:r>
      <w:r w:rsidR="00EF2A94" w:rsidRPr="0066165D">
        <w:rPr>
          <w:rFonts w:ascii="Times New Roman" w:eastAsia="Times New Roman" w:hAnsi="Times New Roman"/>
          <w:sz w:val="24"/>
          <w:szCs w:val="24"/>
          <w:lang w:eastAsia="uk-UA"/>
        </w:rPr>
        <w:t>Головними розпорядниками коштів цієї Програми є:</w:t>
      </w:r>
      <w:r w:rsidR="00EF2A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</w:t>
      </w:r>
      <w:r w:rsidR="00EF2A94" w:rsidRPr="0066165D">
        <w:rPr>
          <w:rFonts w:ascii="Times New Roman" w:eastAsia="Times New Roman" w:hAnsi="Times New Roman"/>
          <w:sz w:val="24"/>
          <w:szCs w:val="24"/>
          <w:lang w:eastAsia="uk-UA"/>
        </w:rPr>
        <w:br/>
        <w:t xml:space="preserve">- відділ комунального господарства </w:t>
      </w:r>
      <w:r w:rsidR="00EF2A94">
        <w:rPr>
          <w:rFonts w:ascii="Times New Roman" w:eastAsia="Times New Roman" w:hAnsi="Times New Roman"/>
          <w:sz w:val="24"/>
          <w:szCs w:val="24"/>
          <w:lang w:eastAsia="uk-UA"/>
        </w:rPr>
        <w:t>та</w:t>
      </w:r>
      <w:r w:rsidR="00EF2A9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благоустрою Чорноморської міської  ради Одеської області у частині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D337F7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F2A94" w:rsidRPr="0066165D">
        <w:rPr>
          <w:rFonts w:ascii="Times New Roman" w:eastAsia="Times New Roman" w:hAnsi="Times New Roman"/>
          <w:sz w:val="24"/>
          <w:szCs w:val="24"/>
          <w:lang w:eastAsia="uk-UA"/>
        </w:rPr>
        <w:t>ліфтів у житлових будинках, які перебувають на балансі КП «МУЖКГ», ОСББ та ЖБК</w:t>
      </w:r>
      <w:r w:rsidR="008157B5">
        <w:rPr>
          <w:rFonts w:ascii="Times New Roman" w:eastAsia="Times New Roman" w:hAnsi="Times New Roman"/>
          <w:sz w:val="24"/>
          <w:szCs w:val="24"/>
          <w:lang w:eastAsia="uk-UA"/>
        </w:rPr>
        <w:t xml:space="preserve"> та в інших комунальних установах</w:t>
      </w:r>
      <w:r w:rsidR="00EF2A94" w:rsidRPr="0066165D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EF2A94" w:rsidRDefault="00EF2A94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 виконавчий комітет Чорноморської міської ради Одеської області;</w:t>
      </w:r>
    </w:p>
    <w:p w:rsidR="00EF2A94" w:rsidRDefault="00EF2A94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 інші головні розпорядники коштів за відповідними напрямками діяльності.</w:t>
      </w:r>
    </w:p>
    <w:p w:rsidR="002E2688" w:rsidRPr="0066165D" w:rsidRDefault="002E2688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2E2688" w:rsidRPr="0066165D" w:rsidRDefault="0023221B" w:rsidP="00264A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6. Очікувані результати впровадження Програми</w:t>
      </w:r>
      <w:r w:rsidR="00264AC0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: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br/>
        <w:t xml:space="preserve">6.1. </w:t>
      </w:r>
      <w:r w:rsidR="002E2688" w:rsidRPr="0066165D">
        <w:rPr>
          <w:rFonts w:ascii="Times New Roman" w:eastAsia="Times New Roman" w:hAnsi="Times New Roman"/>
          <w:sz w:val="24"/>
          <w:szCs w:val="24"/>
          <w:lang w:eastAsia="uk-UA"/>
        </w:rPr>
        <w:t>Підвищення надійності та безпечної роботи ліфт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>ового господарства</w:t>
      </w:r>
      <w:r w:rsidR="002E2688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у м. Чорноморськ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="002E2688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23B45" w:rsidRPr="0066165D" w:rsidRDefault="002E2688" w:rsidP="00ED3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6.2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7D6AA3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22D58" w:rsidRPr="0066165D">
        <w:rPr>
          <w:rFonts w:ascii="Times New Roman" w:eastAsia="Times New Roman" w:hAnsi="Times New Roman"/>
          <w:sz w:val="24"/>
          <w:szCs w:val="24"/>
          <w:lang w:eastAsia="uk-UA"/>
        </w:rPr>
        <w:t>Н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алежні умови технічної експлуатації та диспетчеризації ліфтів у житлових будинках</w:t>
      </w:r>
      <w:r w:rsidR="00D22D58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в </w:t>
      </w:r>
      <w:r w:rsidR="00D22D58" w:rsidRPr="0066165D">
        <w:rPr>
          <w:rFonts w:ascii="Times New Roman" w:eastAsia="Times New Roman" w:hAnsi="Times New Roman"/>
          <w:sz w:val="24"/>
          <w:szCs w:val="24"/>
          <w:lang w:eastAsia="uk-UA"/>
        </w:rPr>
        <w:t>адміністративних будівлях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123B45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E2688" w:rsidRPr="0066165D" w:rsidRDefault="00D22D58" w:rsidP="00852E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6.</w:t>
      </w:r>
      <w:r w:rsidR="002E2688" w:rsidRPr="0066165D">
        <w:rPr>
          <w:rFonts w:ascii="Times New Roman" w:eastAsia="Times New Roman" w:hAnsi="Times New Roman"/>
          <w:sz w:val="24"/>
          <w:szCs w:val="24"/>
          <w:lang w:eastAsia="uk-UA"/>
        </w:rPr>
        <w:t>3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2E2688" w:rsidRPr="0066165D">
        <w:rPr>
          <w:rFonts w:ascii="Times New Roman" w:eastAsia="Times New Roman" w:hAnsi="Times New Roman"/>
          <w:sz w:val="24"/>
          <w:szCs w:val="24"/>
          <w:lang w:eastAsia="uk-UA"/>
        </w:rPr>
        <w:t>Економія електроенергії за рахунок заміни на більш енергоефективне обладнання.</w:t>
      </w:r>
    </w:p>
    <w:p w:rsidR="00123B45" w:rsidRPr="0066165D" w:rsidRDefault="002E2688" w:rsidP="00852E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6.4. </w:t>
      </w:r>
      <w:r w:rsidR="00D22D58" w:rsidRPr="0066165D">
        <w:rPr>
          <w:rFonts w:ascii="Times New Roman" w:eastAsia="Times New Roman" w:hAnsi="Times New Roman"/>
          <w:sz w:val="24"/>
          <w:szCs w:val="24"/>
          <w:lang w:eastAsia="uk-UA"/>
        </w:rPr>
        <w:t>Вирішення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потреб мешканців у надійності 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>користування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ліфта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>ми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AD0308" w:rsidRPr="0066165D">
        <w:rPr>
          <w:rFonts w:ascii="Times New Roman" w:eastAsia="Times New Roman" w:hAnsi="Times New Roman"/>
          <w:sz w:val="24"/>
          <w:szCs w:val="24"/>
          <w:lang w:eastAsia="uk-UA"/>
        </w:rPr>
        <w:t>які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експлуатуються 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25 і більше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років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, технічно застаріли, фізично зноше</w:t>
      </w:r>
      <w:r w:rsidR="00D22D58" w:rsidRPr="0066165D">
        <w:rPr>
          <w:rFonts w:ascii="Times New Roman" w:eastAsia="Times New Roman" w:hAnsi="Times New Roman"/>
          <w:sz w:val="24"/>
          <w:szCs w:val="24"/>
          <w:lang w:eastAsia="uk-UA"/>
        </w:rPr>
        <w:t>ні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і ремонту не підлягають.</w:t>
      </w:r>
      <w:r w:rsidR="00123B45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D32B1" w:rsidRPr="0066165D" w:rsidRDefault="00D110F2" w:rsidP="00852E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6.</w:t>
      </w:r>
      <w:r w:rsidR="002E2688" w:rsidRPr="0066165D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7D6AA3" w:rsidRPr="0066165D">
        <w:rPr>
          <w:rFonts w:ascii="Times New Roman" w:eastAsia="Times New Roman" w:hAnsi="Times New Roman"/>
          <w:sz w:val="24"/>
          <w:szCs w:val="24"/>
          <w:lang w:eastAsia="uk-UA"/>
        </w:rPr>
        <w:t>Стабільність роботи ліфтового обладнання.</w:t>
      </w:r>
    </w:p>
    <w:p w:rsidR="002E2688" w:rsidRDefault="002E2688" w:rsidP="002E2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6.6. Поліпшення житлового рівня мешканців м. Чорноморська через створення безпечних та комфортних умов проживання. </w:t>
      </w:r>
    </w:p>
    <w:p w:rsidR="002174B8" w:rsidRDefault="002174B8" w:rsidP="002E2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4AC0" w:rsidRPr="0066165D" w:rsidRDefault="00264AC0" w:rsidP="002E2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30DD9" w:rsidRPr="0066165D" w:rsidRDefault="0023221B" w:rsidP="002E2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Секретар </w:t>
      </w:r>
      <w:r w:rsidR="00123B45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міської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ради </w:t>
      </w:r>
      <w:r w:rsidR="00123B45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</w:t>
      </w:r>
      <w:r w:rsidR="00AD0308" w:rsidRPr="0066165D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AD0308" w:rsidRPr="0066165D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AD0308" w:rsidRPr="0066165D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AD0308" w:rsidRPr="0066165D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AD0308" w:rsidRPr="0066165D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123B45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О.П. Лисиця</w:t>
      </w:r>
    </w:p>
    <w:p w:rsidR="00852E23" w:rsidRPr="0066165D" w:rsidRDefault="00AD0308" w:rsidP="00EA54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br w:type="page"/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                                    </w:t>
      </w:r>
      <w:r w:rsidR="002A5710" w:rsidRPr="002A571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Додаток 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>2</w:t>
      </w:r>
    </w:p>
    <w:p w:rsidR="000B7A09" w:rsidRPr="0066165D" w:rsidRDefault="002A5710" w:rsidP="00EA54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A571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</w:t>
      </w:r>
      <w:r w:rsidR="00EA5431" w:rsidRPr="00EA5431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0B7A09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до рішення Чорноморської міської ради </w:t>
      </w:r>
    </w:p>
    <w:p w:rsidR="003C41D1" w:rsidRPr="002A5710" w:rsidRDefault="000B7A09" w:rsidP="00EA54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B7A09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</w:t>
      </w:r>
      <w:r w:rsidR="003C41D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</w:t>
      </w:r>
      <w:r w:rsidR="002A5710" w:rsidRPr="002A571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</w:t>
      </w:r>
      <w:r w:rsidR="00EA5431" w:rsidRPr="00EA5431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Одеської області </w:t>
      </w:r>
    </w:p>
    <w:p w:rsidR="003C41D1" w:rsidRDefault="003C41D1" w:rsidP="00EA54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A571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від 12.09.2019 № 485-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VII</w:t>
      </w:r>
    </w:p>
    <w:p w:rsidR="00244E8B" w:rsidRPr="0066165D" w:rsidRDefault="00244E8B" w:rsidP="009C27E8">
      <w:pPr>
        <w:spacing w:after="24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КОШТОРИС </w:t>
      </w:r>
    </w:p>
    <w:p w:rsidR="00EF2A94" w:rsidRDefault="00264AC0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</w:t>
      </w:r>
      <w:r w:rsidR="00EF2A94">
        <w:rPr>
          <w:rFonts w:ascii="Times New Roman" w:eastAsia="Times New Roman" w:hAnsi="Times New Roman"/>
          <w:b/>
          <w:sz w:val="24"/>
          <w:szCs w:val="24"/>
          <w:lang w:eastAsia="uk-UA"/>
        </w:rPr>
        <w:t>итрат на фінансування заходів Програми</w:t>
      </w:r>
    </w:p>
    <w:p w:rsidR="00EF2A94" w:rsidRDefault="00D337F7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337F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модернізації</w:t>
      </w:r>
      <w:r w:rsidRPr="00D337F7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EF2A94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ліфтового господарства </w:t>
      </w:r>
      <w:r w:rsidR="0023221B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CD655C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Чорноморської міської ради </w:t>
      </w:r>
    </w:p>
    <w:p w:rsidR="0023221B" w:rsidRPr="0066165D" w:rsidRDefault="00CD655C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Одеської області</w:t>
      </w:r>
      <w:r w:rsidR="00F42FC4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23221B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на 201</w:t>
      </w:r>
      <w:r w:rsidR="00DB3437">
        <w:rPr>
          <w:rFonts w:ascii="Times New Roman" w:eastAsia="Times New Roman" w:hAnsi="Times New Roman"/>
          <w:b/>
          <w:sz w:val="24"/>
          <w:szCs w:val="24"/>
          <w:lang w:eastAsia="uk-UA"/>
        </w:rPr>
        <w:t>9</w:t>
      </w:r>
      <w:r w:rsidR="0023221B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-2023 роки</w:t>
      </w:r>
    </w:p>
    <w:p w:rsidR="00244E8B" w:rsidRPr="0066165D" w:rsidRDefault="00244E8B" w:rsidP="002322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0348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560"/>
        <w:gridCol w:w="1268"/>
        <w:gridCol w:w="1276"/>
        <w:gridCol w:w="1134"/>
        <w:gridCol w:w="1134"/>
        <w:gridCol w:w="1134"/>
        <w:gridCol w:w="1417"/>
      </w:tblGrid>
      <w:tr w:rsidR="009C27E8" w:rsidRPr="0066165D" w:rsidTr="00244E8B">
        <w:trPr>
          <w:tblCellSpacing w:w="15" w:type="dxa"/>
        </w:trPr>
        <w:tc>
          <w:tcPr>
            <w:tcW w:w="3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27E8" w:rsidRPr="0066165D" w:rsidRDefault="009C27E8" w:rsidP="00E7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7E8" w:rsidRPr="0066165D" w:rsidRDefault="009C27E8" w:rsidP="00E7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7E8" w:rsidRPr="0066165D" w:rsidRDefault="00446289" w:rsidP="0026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Потреба у коштах</w:t>
            </w:r>
            <w:r w:rsidR="009C27E8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тис. грн.</w:t>
            </w:r>
            <w:r w:rsidR="00D110F2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(орієнтовна вартість)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поточних цінах на 01.0</w:t>
            </w:r>
            <w:r w:rsidR="000D5A4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7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.201</w:t>
            </w:r>
            <w:r w:rsidR="00DB34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C27E8" w:rsidRPr="0066165D" w:rsidTr="00244E8B">
        <w:trPr>
          <w:trHeight w:val="75"/>
          <w:tblCellSpacing w:w="15" w:type="dxa"/>
        </w:trPr>
        <w:tc>
          <w:tcPr>
            <w:tcW w:w="3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27E8" w:rsidRPr="0066165D" w:rsidRDefault="009C27E8" w:rsidP="00BA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7E8" w:rsidRPr="0066165D" w:rsidRDefault="00772B03" w:rsidP="00BA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Перелік </w:t>
            </w:r>
            <w:r w:rsidR="00EF2A9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балансоутримувачів ліфтів</w:t>
            </w:r>
          </w:p>
          <w:p w:rsidR="009C27E8" w:rsidRPr="0066165D" w:rsidRDefault="009C27E8" w:rsidP="00BA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7E8" w:rsidRPr="0066165D" w:rsidRDefault="009C2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C27E8" w:rsidRPr="0066165D" w:rsidRDefault="009C2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C27E8" w:rsidRPr="0066165D" w:rsidRDefault="009C2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C27E8" w:rsidRPr="0066165D" w:rsidRDefault="009C27E8" w:rsidP="00E7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Загальна</w:t>
            </w:r>
          </w:p>
        </w:tc>
        <w:tc>
          <w:tcPr>
            <w:tcW w:w="60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7E8" w:rsidRPr="0066165D" w:rsidRDefault="009C27E8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 за роками</w:t>
            </w:r>
          </w:p>
        </w:tc>
      </w:tr>
      <w:tr w:rsidR="0084416A" w:rsidRPr="0066165D" w:rsidTr="0084416A">
        <w:trPr>
          <w:tblCellSpacing w:w="15" w:type="dxa"/>
        </w:trPr>
        <w:tc>
          <w:tcPr>
            <w:tcW w:w="3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6A" w:rsidRPr="0066165D" w:rsidRDefault="0084416A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2019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2021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2023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</w:tr>
      <w:tr w:rsidR="0084416A" w:rsidRPr="0066165D" w:rsidTr="0084416A">
        <w:trPr>
          <w:trHeight w:val="405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E76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9C2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«МУЖКГ»</w:t>
            </w:r>
          </w:p>
          <w:p w:rsidR="0084416A" w:rsidRPr="0066165D" w:rsidRDefault="0084416A" w:rsidP="0021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CA4EC6" w:rsidP="000D5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0D5A4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87 120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35757E" w:rsidP="000B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CA4EC6"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101 380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43 060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34 280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4 320</w:t>
            </w:r>
          </w:p>
        </w:tc>
      </w:tr>
      <w:tr w:rsidR="0084416A" w:rsidRPr="0066165D" w:rsidTr="0084416A">
        <w:trPr>
          <w:trHeight w:val="135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E76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B40454" w:rsidRDefault="0084416A" w:rsidP="0030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Будинки ОСББ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 ЖБК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704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27 800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10 660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6 4</w:t>
            </w:r>
            <w:r w:rsid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9 580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4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1 080</w:t>
            </w:r>
          </w:p>
        </w:tc>
      </w:tr>
      <w:tr w:rsidR="0084416A" w:rsidRPr="0066165D" w:rsidTr="0084416A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E76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5F56E2" w:rsidP="005F56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</w:t>
            </w:r>
            <w:r w:rsidRPr="00464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підприємства «Чорноморська лікарня»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16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CA4EC6" w:rsidP="00E7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4 500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AA3669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</w:t>
            </w:r>
            <w:r w:rsidR="00CA4EC6"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500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84416A" w:rsidRPr="0066165D" w:rsidTr="0084416A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E76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30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фірма «Райдуга»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AA3669" w:rsidP="00E7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  <w:r w:rsidR="00CA4EC6"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500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AA3669" w:rsidRDefault="00AA3669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AA3669" w:rsidRDefault="00AA3669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  <w:r w:rsidR="000D5A4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500</w:t>
            </w:r>
          </w:p>
        </w:tc>
      </w:tr>
      <w:tr w:rsidR="0084416A" w:rsidRPr="0066165D" w:rsidTr="0084416A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EF2A94" w:rsidRDefault="0084416A" w:rsidP="00E76A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EF2A94" w:rsidRDefault="0084416A" w:rsidP="00E76A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F2A9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Всього по                     м. Чорноморську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704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220 920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B9791F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8580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112 040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49 5</w:t>
            </w:r>
            <w:r w:rsidR="00CA4EC6"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E2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43 860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0D5A4C" w:rsidP="00704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6 9</w:t>
            </w:r>
            <w:r w:rsidR="00CA4EC6"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</w:t>
            </w:r>
          </w:p>
        </w:tc>
      </w:tr>
    </w:tbl>
    <w:p w:rsidR="008E5AF0" w:rsidRPr="0066165D" w:rsidRDefault="008E5AF0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E5AF0" w:rsidRDefault="008E5AF0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74B43" w:rsidRPr="0066165D" w:rsidRDefault="00274B4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E5AF0" w:rsidRPr="0066165D" w:rsidRDefault="00EF2A94" w:rsidP="00EF2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Секретар міської ради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>О.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274B4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Лисиця</w:t>
      </w:r>
    </w:p>
    <w:p w:rsidR="008E5AF0" w:rsidRPr="0066165D" w:rsidRDefault="008E5AF0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E5AF0" w:rsidRPr="0066165D" w:rsidRDefault="008E5AF0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E5AF0" w:rsidRPr="0066165D" w:rsidRDefault="008E5AF0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70481" w:rsidRDefault="00470481" w:rsidP="004704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82264" w:rsidRDefault="00B82264" w:rsidP="00A44C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B425F" w:rsidRDefault="00CB425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Таблиця 1 до Програми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модернізації ліфтового господарства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ради</w:t>
      </w:r>
    </w:p>
    <w:p w:rsidR="00A44C9F" w:rsidRPr="0066165D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Одеської області на 2019-2023 роки </w:t>
      </w:r>
    </w:p>
    <w:p w:rsidR="009C27E8" w:rsidRPr="0066165D" w:rsidRDefault="009C27E8" w:rsidP="004704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852E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B7A09" w:rsidRDefault="0023221B" w:rsidP="00772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ЗВЕДЕНА ТАБЛИЦЯ</w:t>
      </w: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кількості ліфтів, які вимагають </w:t>
      </w:r>
      <w:r w:rsidR="00D337F7" w:rsidRPr="00D337F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модернізації</w:t>
      </w:r>
      <w:r w:rsidR="00470481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,</w:t>
      </w: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у </w:t>
      </w:r>
      <w:r w:rsidR="00772B03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житлових</w:t>
      </w:r>
      <w:r w:rsidR="00772B03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будинках КП «МУЖКГ», ОСББ, в будівлях Чорноморської міської ради </w:t>
      </w:r>
    </w:p>
    <w:p w:rsidR="00772B03" w:rsidRPr="0066165D" w:rsidRDefault="00772B03" w:rsidP="00772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Одеської області на 201</w:t>
      </w:r>
      <w:r w:rsidR="00DB3437">
        <w:rPr>
          <w:rFonts w:ascii="Times New Roman" w:eastAsia="Times New Roman" w:hAnsi="Times New Roman"/>
          <w:b/>
          <w:sz w:val="24"/>
          <w:szCs w:val="24"/>
          <w:lang w:eastAsia="uk-UA"/>
        </w:rPr>
        <w:t>9</w:t>
      </w: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-2023 роки</w:t>
      </w:r>
    </w:p>
    <w:tbl>
      <w:tblPr>
        <w:tblW w:w="10408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1559"/>
        <w:gridCol w:w="1276"/>
        <w:gridCol w:w="1276"/>
        <w:gridCol w:w="992"/>
        <w:gridCol w:w="1134"/>
        <w:gridCol w:w="1052"/>
      </w:tblGrid>
      <w:tr w:rsidR="008E5AF0" w:rsidRPr="0066165D" w:rsidTr="008E5AF0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AF0" w:rsidRPr="0066165D" w:rsidRDefault="008E5AF0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AF0" w:rsidRPr="0066165D" w:rsidRDefault="008E5AF0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ліфтів, які відпрацювали 25 років</w:t>
            </w:r>
          </w:p>
        </w:tc>
      </w:tr>
      <w:tr w:rsidR="008E5AF0" w:rsidRPr="0066165D" w:rsidTr="008E5AF0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AF0" w:rsidRPr="0066165D" w:rsidRDefault="008E5AF0" w:rsidP="002D7124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AF0" w:rsidRPr="0066165D" w:rsidRDefault="00772B03" w:rsidP="007C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Перелік </w:t>
            </w:r>
            <w:r w:rsidR="009B723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балансоутримувачів ліфтів</w:t>
            </w:r>
          </w:p>
          <w:p w:rsidR="008E5AF0" w:rsidRPr="0066165D" w:rsidRDefault="008E5AF0" w:rsidP="007C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AF0" w:rsidRPr="0066165D" w:rsidRDefault="008E5AF0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Всього ліфтів</w:t>
            </w:r>
          </w:p>
        </w:tc>
        <w:tc>
          <w:tcPr>
            <w:tcW w:w="56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AF0" w:rsidRPr="0066165D" w:rsidRDefault="008E5AF0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 за роками</w:t>
            </w:r>
          </w:p>
        </w:tc>
      </w:tr>
      <w:tr w:rsidR="00DB3437" w:rsidRPr="0066165D" w:rsidTr="00DB3437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D7124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37" w:rsidRPr="0066165D" w:rsidRDefault="00DB3437" w:rsidP="002D712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84416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2019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37" w:rsidRPr="0066165D" w:rsidRDefault="00DB3437" w:rsidP="0084416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37" w:rsidRPr="0066165D" w:rsidRDefault="00DB3437" w:rsidP="0084416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2021 </w:t>
            </w:r>
            <w:r w:rsidR="008441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37" w:rsidRPr="0066165D" w:rsidRDefault="00DB3437" w:rsidP="0084416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2022 </w:t>
            </w:r>
            <w:r w:rsidR="008441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37" w:rsidRPr="0066165D" w:rsidRDefault="00DB3437" w:rsidP="0084416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2023 </w:t>
            </w:r>
            <w:r w:rsidR="008441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рік</w:t>
            </w:r>
          </w:p>
        </w:tc>
      </w:tr>
      <w:tr w:rsidR="00DB3437" w:rsidRPr="0066165D" w:rsidTr="00DB3437">
        <w:trPr>
          <w:trHeight w:val="300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D7124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8B503F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«МУЖКГ»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C764A6" w:rsidRDefault="00C764A6" w:rsidP="00CA4E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  <w:r w:rsid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72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0B7A0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532D2" w:rsidRDefault="00CA4EC6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93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532D2" w:rsidRDefault="006532D2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532D2" w:rsidRDefault="006532D2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532D2" w:rsidRDefault="006532D2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</w:t>
            </w:r>
          </w:p>
        </w:tc>
      </w:tr>
      <w:tr w:rsidR="00DB3437" w:rsidRPr="0066165D" w:rsidTr="00DB3437">
        <w:trPr>
          <w:trHeight w:val="720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B40454" w:rsidRDefault="00DB3437" w:rsidP="00244E8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Будинки ОСББ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ЖБК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8244C2" w:rsidRDefault="00DB3437" w:rsidP="008244C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8244C2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A3016B" w:rsidRDefault="008244C2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A3016B" w:rsidRDefault="008244C2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4C7960" w:rsidRDefault="004C7960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</w:p>
        </w:tc>
      </w:tr>
      <w:tr w:rsidR="00DB3437" w:rsidRPr="0066165D" w:rsidTr="00DB3437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5F56E2" w:rsidP="001076D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</w:t>
            </w:r>
            <w:r w:rsidRPr="00464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підприємства «Чорноморська лікарня»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DB3437" w:rsidRPr="0066165D" w:rsidTr="00DB3437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1076D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фірма «Райдуга»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AA3669" w:rsidRDefault="00AA3669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AA3669" w:rsidRDefault="00AA3669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</w:p>
        </w:tc>
      </w:tr>
      <w:tr w:rsidR="00DB3437" w:rsidRPr="0066165D" w:rsidTr="00DB3437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9B7232" w:rsidRDefault="00DB3437" w:rsidP="00244E8B">
            <w:pPr>
              <w:spacing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B723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Всього по                        м. Чорноморську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C764A6" w:rsidRDefault="00DB3437" w:rsidP="00CA4E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84416A" w:rsidP="000B7A0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A3016B" w:rsidRDefault="006532D2" w:rsidP="00CA4E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  <w:r w:rsid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A3016B" w:rsidRDefault="006532D2" w:rsidP="00AA366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532D2" w:rsidRDefault="006532D2" w:rsidP="009643F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532D2" w:rsidRDefault="006532D2" w:rsidP="004C796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</w:tr>
    </w:tbl>
    <w:p w:rsidR="003602C3" w:rsidRPr="0066165D" w:rsidRDefault="0023221B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:rsidR="00424AE4" w:rsidRPr="0066165D" w:rsidRDefault="00424AE4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4AE4" w:rsidRPr="0066165D" w:rsidRDefault="00424AE4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4AE4" w:rsidRPr="0066165D" w:rsidRDefault="00424AE4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4AE4" w:rsidRDefault="00424AE4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244" w:rsidRDefault="00E81244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82264" w:rsidRDefault="00B82264" w:rsidP="00A44C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44C9F" w:rsidRDefault="00A44C9F" w:rsidP="00A44C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44C9F" w:rsidRDefault="00A44C9F" w:rsidP="00A44C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655C" w:rsidRPr="0066165D" w:rsidRDefault="00A44C9F" w:rsidP="00A44C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</w:t>
      </w:r>
      <w:r w:rsidR="00E81244">
        <w:rPr>
          <w:rFonts w:ascii="Times New Roman" w:eastAsia="Times New Roman" w:hAnsi="Times New Roman"/>
          <w:sz w:val="24"/>
          <w:szCs w:val="24"/>
          <w:lang w:eastAsia="uk-UA"/>
        </w:rPr>
        <w:t>Таблиця 2 до Програми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модернізації ліфтового господарства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ради</w:t>
      </w:r>
    </w:p>
    <w:p w:rsidR="00A44C9F" w:rsidRPr="0066165D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Одеської області на 2019-2023 роки </w:t>
      </w:r>
    </w:p>
    <w:p w:rsidR="00B02886" w:rsidRPr="0066165D" w:rsidRDefault="00B02886" w:rsidP="00B028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4AE4" w:rsidRPr="0066165D" w:rsidRDefault="00424AE4" w:rsidP="00B028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337F7" w:rsidRPr="00A44C9F" w:rsidRDefault="00424AE4" w:rsidP="00A44C9F">
      <w:pPr>
        <w:pStyle w:val="ab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44C9F">
        <w:rPr>
          <w:rFonts w:ascii="Times New Roman" w:hAnsi="Times New Roman"/>
          <w:b/>
          <w:sz w:val="24"/>
          <w:szCs w:val="24"/>
          <w:lang w:eastAsia="uk-UA"/>
        </w:rPr>
        <w:t xml:space="preserve">Зведена таблиця </w:t>
      </w:r>
      <w:r w:rsidR="00EE3543" w:rsidRPr="00A44C9F">
        <w:rPr>
          <w:rFonts w:ascii="Times New Roman" w:hAnsi="Times New Roman"/>
          <w:b/>
          <w:sz w:val="24"/>
          <w:szCs w:val="24"/>
          <w:lang w:eastAsia="uk-UA"/>
        </w:rPr>
        <w:t xml:space="preserve">ліфтів, які вимагають </w:t>
      </w:r>
      <w:r w:rsidR="00D337F7" w:rsidRPr="00A44C9F">
        <w:rPr>
          <w:rFonts w:ascii="Times New Roman" w:hAnsi="Times New Roman"/>
          <w:b/>
          <w:sz w:val="24"/>
          <w:szCs w:val="24"/>
          <w:lang w:eastAsia="uk-UA"/>
        </w:rPr>
        <w:t>модернізації</w:t>
      </w:r>
      <w:r w:rsidR="00A53BBB" w:rsidRPr="00A44C9F">
        <w:rPr>
          <w:rFonts w:ascii="Times New Roman" w:hAnsi="Times New Roman"/>
          <w:b/>
          <w:sz w:val="24"/>
          <w:szCs w:val="24"/>
          <w:lang w:eastAsia="uk-UA"/>
        </w:rPr>
        <w:t>,</w:t>
      </w:r>
      <w:r w:rsidR="00EE3543" w:rsidRPr="00A44C9F">
        <w:rPr>
          <w:rFonts w:ascii="Times New Roman" w:hAnsi="Times New Roman"/>
          <w:b/>
          <w:sz w:val="24"/>
          <w:szCs w:val="24"/>
          <w:lang w:eastAsia="uk-UA"/>
        </w:rPr>
        <w:t xml:space="preserve"> в </w:t>
      </w:r>
      <w:r w:rsidRPr="00A44C9F">
        <w:rPr>
          <w:rFonts w:ascii="Times New Roman" w:hAnsi="Times New Roman"/>
          <w:b/>
          <w:sz w:val="24"/>
          <w:szCs w:val="24"/>
          <w:lang w:eastAsia="uk-UA"/>
        </w:rPr>
        <w:t>житлових будинк</w:t>
      </w:r>
      <w:r w:rsidR="00EE3543" w:rsidRPr="00A44C9F">
        <w:rPr>
          <w:rFonts w:ascii="Times New Roman" w:hAnsi="Times New Roman"/>
          <w:b/>
          <w:sz w:val="24"/>
          <w:szCs w:val="24"/>
          <w:lang w:eastAsia="uk-UA"/>
        </w:rPr>
        <w:t>ах</w:t>
      </w:r>
    </w:p>
    <w:p w:rsidR="00424AE4" w:rsidRPr="00A44C9F" w:rsidRDefault="00EE3543" w:rsidP="00A44C9F">
      <w:pPr>
        <w:pStyle w:val="ab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44C9F">
        <w:rPr>
          <w:rFonts w:ascii="Times New Roman" w:hAnsi="Times New Roman"/>
          <w:b/>
          <w:sz w:val="24"/>
          <w:szCs w:val="24"/>
          <w:lang w:eastAsia="uk-UA"/>
        </w:rPr>
        <w:t>КП «</w:t>
      </w:r>
      <w:r w:rsidR="00424AE4" w:rsidRPr="00A44C9F">
        <w:rPr>
          <w:rFonts w:ascii="Times New Roman" w:hAnsi="Times New Roman"/>
          <w:b/>
          <w:sz w:val="24"/>
          <w:szCs w:val="24"/>
          <w:lang w:eastAsia="uk-UA"/>
        </w:rPr>
        <w:t>МУЖКГ</w:t>
      </w:r>
      <w:r w:rsidRPr="00A44C9F">
        <w:rPr>
          <w:rFonts w:ascii="Times New Roman" w:hAnsi="Times New Roman"/>
          <w:b/>
          <w:sz w:val="24"/>
          <w:szCs w:val="24"/>
          <w:lang w:eastAsia="uk-UA"/>
        </w:rPr>
        <w:t>»</w:t>
      </w:r>
      <w:r w:rsidR="00424AE4" w:rsidRPr="00A44C9F">
        <w:rPr>
          <w:rFonts w:ascii="Times New Roman" w:hAnsi="Times New Roman"/>
          <w:b/>
          <w:sz w:val="24"/>
          <w:szCs w:val="24"/>
          <w:lang w:eastAsia="uk-UA"/>
        </w:rPr>
        <w:t xml:space="preserve"> на 201</w:t>
      </w:r>
      <w:r w:rsidR="0084416A" w:rsidRPr="00A44C9F">
        <w:rPr>
          <w:rFonts w:ascii="Times New Roman" w:hAnsi="Times New Roman"/>
          <w:b/>
          <w:sz w:val="24"/>
          <w:szCs w:val="24"/>
          <w:lang w:eastAsia="uk-UA"/>
        </w:rPr>
        <w:t>9</w:t>
      </w:r>
      <w:r w:rsidR="00424AE4" w:rsidRPr="00A44C9F">
        <w:rPr>
          <w:rFonts w:ascii="Times New Roman" w:hAnsi="Times New Roman"/>
          <w:b/>
          <w:sz w:val="24"/>
          <w:szCs w:val="24"/>
          <w:lang w:eastAsia="uk-UA"/>
        </w:rPr>
        <w:t xml:space="preserve"> - 2023 роки (з адресами)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1"/>
        <w:gridCol w:w="3369"/>
        <w:gridCol w:w="850"/>
        <w:gridCol w:w="1701"/>
        <w:gridCol w:w="1838"/>
        <w:gridCol w:w="1281"/>
      </w:tblGrid>
      <w:tr w:rsidR="00CA4EC6" w:rsidRPr="00CA4EC6" w:rsidTr="002174B8">
        <w:trPr>
          <w:trHeight w:val="12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Реєстраційний номер№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Вантажопідйомність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Поверховість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Олександрійська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02.07.1992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3(1)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11.09.1991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3(2)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03.10.1991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3(3)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11.09.1991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3(4)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03.10.1991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07.10.1994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07.10.1994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07.10.1994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13(4)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13.10.1989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15 А(1)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17.08.1987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15 А(2)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11.08.1987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15 А(3)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11.08.1987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17(4)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11.04.1986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17(5)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11.04.1986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17(1)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27.12.1983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17(2)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27.12.1983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17(3)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27.12.1983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2(1гп)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16.12.1982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2(1п)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16.12.1982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2(2гп)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16.12.1982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2(2п)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16.12.1984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5(1)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15.09.1980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5(3)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26.12.1983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5(4)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11.08.1982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8-А(2)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30.12.1986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8-А(3)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30.12.1986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10(1)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14.10.1985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10(2)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04.10.1985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10(3)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04.10.1985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10(4)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03.08.1989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10(5)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03.08.1989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10(6)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03.08.1989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12(1)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25.11.1987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12(2)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07.04.1988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12(3)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07.04.1988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12(4)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07.04.1988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12(5)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07.04.1988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12(6)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25.11.1987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31.03.1978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31.03.1978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18-А(1)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12.04.1985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18-А(2)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14.11.1983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18-А(3)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14.11.1983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18-А(4)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12.04.1985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18-А(5)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14.11.1983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2(1)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20.04.1981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22(1)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04.01.1980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22(2)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04.01.1981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24(1)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24(2)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24(3)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26.05.1983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26.05.1983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4-А(1)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30.09.1998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4-А(2)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30.09.1998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4-А(3)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19.04.1994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4-А(4)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19.04.1994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4-А(5)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07.02.1996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4-А(6)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07.02.1996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10(1)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25.09.1981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10(2)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25.09.1981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11(1)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18.09.1986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11(2)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18.09.1986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11(3)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18.09.1986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A44C9F" w:rsidP="00A4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</w:t>
            </w:r>
            <w:r w:rsidR="00CA4EC6"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05.02.1986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14(1)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12.04.1976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14(2)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18.09.1986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14(3)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19.04.1980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14(4)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12.04.1978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16(5)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30.03.1982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16(6)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30.03.1982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16(7)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30.03.1982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3(1)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12.10.1979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3(2)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10.09.1979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3(3)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10.09.1979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3(4)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10.09.1979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7(1)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24.06.1986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82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7(2)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24.06.1986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7(3)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24.06.1986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9(4)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12.03.1985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9(1)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05.11.1984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9(2)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05.11.1984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9(3)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12.03.1985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4(1)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06.02.1975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4(2)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06.02.1975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Спортивна, 10(1)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14.01.1977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Спортивна, 10(2)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16.01.1976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Данченка, 3-Б(1ГП)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17.10.1984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Данченка, 3-Б(1П)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17.10.1984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Данченка, 3-Б(2ГП)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17.10.1984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Данченка, 3-Б(2П)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17.10.1984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11(1)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30.01.1986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11(2)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30.01.1986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11(3)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30.01.1986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11(4)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30.01.1986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13(2)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24.08.1982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13(3)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24.08.1982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13А(1)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22.05.1997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13А(2)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22.05.1997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15(1)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01.04.1983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15(2)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01.04.1983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17(1)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17(2)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17(3)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19(1)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04.02.1981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19(2)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04.02.1981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21(1)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07.04.1988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21(2)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05.01.1988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21(3)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05.01.1988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21(6)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22.09.1995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6(1)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29.05.1996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6(2)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29.05.1996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9(1)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01.02.1983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9(2)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01.02.1983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9(3)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01.02.1983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 35-Б(ГП)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11.04.1996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 35-Б(П)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11.04.1996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 35-Г(ГП)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10.12.1994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 35-Г(П)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10.12.1994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15-А(1)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07.07.1976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15-А(2)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04.05.1977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15-А(3)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07.07.1976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19(1)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02.11.1978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19(2)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02.11.1977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129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19(3)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02.11.1977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19(4)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02.11.1977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22(1)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20.10.1975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22(2)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20.10.1975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22(3)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29.10.1976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24(3)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18.03.1974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24(4)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18.03.1974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26(1)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26.06.1977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26(2)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26.06.1977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26(3)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21.06.1977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2174B8" w:rsidP="0021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28(1)1п лі</w:t>
            </w:r>
            <w:r w:rsidR="00CA4EC6"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CA4EC6"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10.04.1979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проспект Миру, 28(6)4п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10.04.1979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28(7)5п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02.04.1979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32(4)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11.12.1985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32(5)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11.12.1985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32(1)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29.10.1984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39(5)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39(6)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39(7)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02.03.1990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03.11.1988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02.03.1990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03.11.1988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02.11.1989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02.11.1989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03.11.1988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03.11.1988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02.03.1990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24.05.1989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14.03.1991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14.03.1991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24.05.1989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08.05.1991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02.03.1990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14(1)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17.08.1981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14(2)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29.06.1983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22.12.1975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20(1)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11.02.1976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20(2)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11.02.1976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2-А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23.01.1975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34(1)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16.12.1994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34(2)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16.12.1994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36(1)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18.12.1996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36(2)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18.12.1996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</w:tbl>
    <w:p w:rsidR="00CA4EC6" w:rsidRDefault="00CA4EC6" w:rsidP="00852E23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CA4EC6" w:rsidRDefault="00CA4EC6" w:rsidP="00852E23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A44C9F" w:rsidRDefault="00A44C9F" w:rsidP="00A44C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</w:t>
      </w:r>
    </w:p>
    <w:p w:rsidR="00CD655C" w:rsidRPr="0066165D" w:rsidRDefault="00A44C9F" w:rsidP="00A44C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</w:t>
      </w:r>
      <w:r w:rsidR="002B4A00">
        <w:rPr>
          <w:rFonts w:ascii="Times New Roman" w:eastAsia="Times New Roman" w:hAnsi="Times New Roman"/>
          <w:sz w:val="24"/>
          <w:szCs w:val="24"/>
          <w:lang w:eastAsia="uk-UA"/>
        </w:rPr>
        <w:t>Таблиця 3 до Програми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модернізації ліфтового господарства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ради</w:t>
      </w:r>
    </w:p>
    <w:p w:rsidR="00A44C9F" w:rsidRPr="0066165D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Одеської області на 2019-2023 роки </w:t>
      </w:r>
    </w:p>
    <w:p w:rsidR="00A53BBB" w:rsidRPr="002B4A00" w:rsidRDefault="00A53BBB" w:rsidP="00A53BB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D337F7" w:rsidRDefault="00424AE4" w:rsidP="00A53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Зведена таблиця </w:t>
      </w:r>
      <w:r w:rsidR="00EE3543"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ліфтів, які вимагають </w:t>
      </w:r>
      <w:r w:rsidR="00D337F7" w:rsidRPr="00D337F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модернізації</w:t>
      </w:r>
      <w:r w:rsidR="00A53BBB"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,</w:t>
      </w:r>
      <w:r w:rsidR="00EE3543"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в </w:t>
      </w: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житлових будинк</w:t>
      </w:r>
      <w:r w:rsidR="00EE3543"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ах</w:t>
      </w: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ОСББ </w:t>
      </w:r>
    </w:p>
    <w:p w:rsidR="00A53BBB" w:rsidRPr="00A44C9F" w:rsidRDefault="00424AE4" w:rsidP="00A44C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та ЖБК </w:t>
      </w:r>
      <w:r w:rsidR="00A53BBB"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r w:rsidR="00D337F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н</w:t>
      </w: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а 201</w:t>
      </w:r>
      <w:r w:rsidR="0084416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9</w:t>
      </w:r>
      <w:r w:rsidR="00A44C9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- 2023 роки (з адресами)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1418"/>
        <w:gridCol w:w="1701"/>
        <w:gridCol w:w="1276"/>
      </w:tblGrid>
      <w:tr w:rsidR="00424AE4" w:rsidRPr="0066165D" w:rsidTr="00A3016B">
        <w:trPr>
          <w:trHeight w:val="1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№п/п</w:t>
            </w:r>
          </w:p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Місце встановлення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Рік </w:t>
            </w:r>
            <w:r w:rsidR="00101F46"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введення до</w:t>
            </w: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експлуатаці</w:t>
            </w:r>
            <w:r w:rsidR="00101F46"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E4" w:rsidRPr="0066165D" w:rsidRDefault="00496456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Реєстраційний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Вантажопідйомність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Поверховість</w:t>
            </w:r>
          </w:p>
        </w:tc>
      </w:tr>
      <w:tr w:rsidR="00424AE4" w:rsidRPr="0066165D" w:rsidTr="00A3016B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16.01.1992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5355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18.12.1992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16.01.1992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27.10.1992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15.08.1992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15.08.1995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16.01.1995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Парусна, 8(ГП)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20.01.1983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Парусна, 8(П)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20.12.1982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30(2)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31.05.1979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30(3)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10.04.1979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8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30(4)3п л</w:t>
            </w:r>
            <w:r w:rsidR="00A801E1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A801E1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30(5)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30(6)4п </w:t>
            </w:r>
            <w:r w:rsidR="00A801E1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лівий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30(7)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Травня,</w:t>
            </w:r>
            <w:r w:rsidR="008268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Травня,</w:t>
            </w:r>
            <w:r w:rsidR="008268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39/1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39/1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39/1 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Олександрійська, 21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Олександрійська, 21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9</w:t>
            </w:r>
          </w:p>
        </w:tc>
      </w:tr>
      <w:tr w:rsidR="00A3016B" w:rsidRPr="0066165D" w:rsidTr="00A3016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6B" w:rsidRPr="00A3016B" w:rsidRDefault="00A3016B" w:rsidP="00A3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21.08.1980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A3016B" w:rsidRPr="0066165D" w:rsidTr="00A3016B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6B" w:rsidRPr="00A3016B" w:rsidRDefault="00A3016B" w:rsidP="00A3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21.08.1981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</w:tbl>
    <w:p w:rsidR="00424AE4" w:rsidRPr="0066165D" w:rsidRDefault="00424AE4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E3543" w:rsidRPr="0066165D" w:rsidRDefault="00EE3543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E3543" w:rsidRDefault="00EE3543" w:rsidP="00A44C9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655C" w:rsidRPr="0066165D" w:rsidRDefault="00A44C9F" w:rsidP="00A44C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                                                                   </w:t>
      </w:r>
      <w:r w:rsidR="008268BF">
        <w:rPr>
          <w:rFonts w:ascii="Times New Roman" w:eastAsia="Times New Roman" w:hAnsi="Times New Roman"/>
          <w:sz w:val="24"/>
          <w:szCs w:val="24"/>
          <w:lang w:eastAsia="uk-UA"/>
        </w:rPr>
        <w:t>Таблиця 4 до Програми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модернізації ліфтового господарства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ради</w:t>
      </w:r>
    </w:p>
    <w:p w:rsidR="00A44C9F" w:rsidRPr="0066165D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Одеської області на 2019-2023 роки </w:t>
      </w:r>
    </w:p>
    <w:p w:rsidR="000D4CFA" w:rsidRPr="0066165D" w:rsidRDefault="000D4CFA" w:rsidP="000D4C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D4CFA" w:rsidRPr="0066165D" w:rsidRDefault="000D4CFA" w:rsidP="000D4CF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0D4CFA" w:rsidRPr="0066165D" w:rsidRDefault="00EE3543" w:rsidP="000D4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Зведена таблиця ліфтів </w:t>
      </w:r>
      <w:r w:rsidR="000D4CFA" w:rsidRPr="000B7A0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в </w:t>
      </w:r>
      <w:r w:rsidR="000B7A09" w:rsidRPr="000B7A0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інших</w:t>
      </w:r>
      <w:r w:rsidRPr="000B7A0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будів</w:t>
      </w:r>
      <w:r w:rsidR="000D4CFA" w:rsidRPr="000B7A0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лях</w:t>
      </w:r>
      <w:r w:rsidRPr="000B7A0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,</w:t>
      </w: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які вимагають </w:t>
      </w:r>
      <w:r w:rsidR="00D337F7" w:rsidRPr="00D337F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модернізації</w:t>
      </w:r>
    </w:p>
    <w:p w:rsidR="00EE3543" w:rsidRPr="00A44C9F" w:rsidRDefault="00EE3543" w:rsidP="00A44C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на 201</w:t>
      </w:r>
      <w:r w:rsidR="0084416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9</w:t>
      </w:r>
      <w:r w:rsidR="00A44C9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- 2023 роки (з адресами)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2694"/>
        <w:gridCol w:w="1701"/>
      </w:tblGrid>
      <w:tr w:rsidR="00F0488E" w:rsidRPr="0066165D" w:rsidTr="000D4CFA">
        <w:trPr>
          <w:trHeight w:val="1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№п/п</w:t>
            </w:r>
          </w:p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Місце встановлення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Кількість ліфтів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Вантажопідйомність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Поверховість</w:t>
            </w:r>
          </w:p>
        </w:tc>
      </w:tr>
      <w:tr w:rsidR="00F0488E" w:rsidRPr="0066165D" w:rsidTr="000D4CFA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88E" w:rsidRPr="0066165D" w:rsidRDefault="007F5115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="00F0488E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Травня, 1 (</w:t>
            </w:r>
            <w:r w:rsidR="005F56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</w:t>
            </w:r>
            <w:r w:rsidR="005F56E2" w:rsidRPr="00464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підприємства «Чорноморська лікарня»</w:t>
            </w:r>
            <w:r w:rsidR="00F0488E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88E" w:rsidRPr="0066165D" w:rsidRDefault="00AA3669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 w:rsidR="00F0488E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F0488E" w:rsidRPr="0066165D" w:rsidTr="000D4CF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8E" w:rsidRPr="0066165D" w:rsidRDefault="007F5115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="00F0488E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Травня, 1 («Радуга»)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</w:tbl>
    <w:p w:rsidR="00EE3543" w:rsidRPr="0066165D" w:rsidRDefault="00EE3543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sectPr w:rsidR="00EE3543" w:rsidRPr="0066165D" w:rsidSect="002174B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4685"/>
    <w:multiLevelType w:val="multilevel"/>
    <w:tmpl w:val="6FB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91719"/>
    <w:multiLevelType w:val="hybridMultilevel"/>
    <w:tmpl w:val="E7A43EC6"/>
    <w:lvl w:ilvl="0" w:tplc="DF788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221B"/>
    <w:rsid w:val="0002377F"/>
    <w:rsid w:val="0003020F"/>
    <w:rsid w:val="000326A8"/>
    <w:rsid w:val="00044A7E"/>
    <w:rsid w:val="000B5159"/>
    <w:rsid w:val="000B7A09"/>
    <w:rsid w:val="000D0A68"/>
    <w:rsid w:val="000D4CFA"/>
    <w:rsid w:val="000D5A4C"/>
    <w:rsid w:val="00101F46"/>
    <w:rsid w:val="001076D1"/>
    <w:rsid w:val="00123B45"/>
    <w:rsid w:val="00156EE8"/>
    <w:rsid w:val="001E40BD"/>
    <w:rsid w:val="001F3C1C"/>
    <w:rsid w:val="002174B8"/>
    <w:rsid w:val="00230F52"/>
    <w:rsid w:val="0023221B"/>
    <w:rsid w:val="00244E8B"/>
    <w:rsid w:val="002478A4"/>
    <w:rsid w:val="00261B21"/>
    <w:rsid w:val="00264AC0"/>
    <w:rsid w:val="002702C1"/>
    <w:rsid w:val="00274B43"/>
    <w:rsid w:val="002935BC"/>
    <w:rsid w:val="002A36AD"/>
    <w:rsid w:val="002A5710"/>
    <w:rsid w:val="002B4A00"/>
    <w:rsid w:val="002D2407"/>
    <w:rsid w:val="002D6734"/>
    <w:rsid w:val="002D7124"/>
    <w:rsid w:val="002E2688"/>
    <w:rsid w:val="002E306D"/>
    <w:rsid w:val="0030218E"/>
    <w:rsid w:val="00304699"/>
    <w:rsid w:val="00320B59"/>
    <w:rsid w:val="00342841"/>
    <w:rsid w:val="00345E0A"/>
    <w:rsid w:val="0035757E"/>
    <w:rsid w:val="003602C3"/>
    <w:rsid w:val="00365529"/>
    <w:rsid w:val="003708C4"/>
    <w:rsid w:val="003753B1"/>
    <w:rsid w:val="0038101E"/>
    <w:rsid w:val="0039479D"/>
    <w:rsid w:val="003C41D1"/>
    <w:rsid w:val="003D51E4"/>
    <w:rsid w:val="003F1A27"/>
    <w:rsid w:val="003F29DE"/>
    <w:rsid w:val="00424AE4"/>
    <w:rsid w:val="00446289"/>
    <w:rsid w:val="00470481"/>
    <w:rsid w:val="00474B42"/>
    <w:rsid w:val="00496456"/>
    <w:rsid w:val="004C7960"/>
    <w:rsid w:val="004F37A4"/>
    <w:rsid w:val="00503548"/>
    <w:rsid w:val="00524DEA"/>
    <w:rsid w:val="005362CD"/>
    <w:rsid w:val="00563309"/>
    <w:rsid w:val="005D342D"/>
    <w:rsid w:val="005E3B6D"/>
    <w:rsid w:val="005F0F1F"/>
    <w:rsid w:val="005F56E2"/>
    <w:rsid w:val="005F651B"/>
    <w:rsid w:val="00627B93"/>
    <w:rsid w:val="006340F9"/>
    <w:rsid w:val="0063507D"/>
    <w:rsid w:val="006473D4"/>
    <w:rsid w:val="00653215"/>
    <w:rsid w:val="006532D2"/>
    <w:rsid w:val="0066165D"/>
    <w:rsid w:val="00670D4B"/>
    <w:rsid w:val="0068221D"/>
    <w:rsid w:val="00684607"/>
    <w:rsid w:val="00687440"/>
    <w:rsid w:val="006A1582"/>
    <w:rsid w:val="006A61A1"/>
    <w:rsid w:val="006B6FFE"/>
    <w:rsid w:val="006E0A92"/>
    <w:rsid w:val="006E297B"/>
    <w:rsid w:val="006E6569"/>
    <w:rsid w:val="006E7C45"/>
    <w:rsid w:val="00704380"/>
    <w:rsid w:val="00711419"/>
    <w:rsid w:val="007154C0"/>
    <w:rsid w:val="00730851"/>
    <w:rsid w:val="00750775"/>
    <w:rsid w:val="00761495"/>
    <w:rsid w:val="00767BA5"/>
    <w:rsid w:val="00772B03"/>
    <w:rsid w:val="00775349"/>
    <w:rsid w:val="00777EEB"/>
    <w:rsid w:val="00780F41"/>
    <w:rsid w:val="007B2B5E"/>
    <w:rsid w:val="007B6F47"/>
    <w:rsid w:val="007C0354"/>
    <w:rsid w:val="007C4603"/>
    <w:rsid w:val="007D6AA3"/>
    <w:rsid w:val="007E40C6"/>
    <w:rsid w:val="007F5115"/>
    <w:rsid w:val="0080221E"/>
    <w:rsid w:val="008157B5"/>
    <w:rsid w:val="008244C2"/>
    <w:rsid w:val="008268BF"/>
    <w:rsid w:val="00830DD9"/>
    <w:rsid w:val="0084416A"/>
    <w:rsid w:val="00852E23"/>
    <w:rsid w:val="0085376F"/>
    <w:rsid w:val="008743F8"/>
    <w:rsid w:val="008914DE"/>
    <w:rsid w:val="00896EC8"/>
    <w:rsid w:val="008B503F"/>
    <w:rsid w:val="008E5AF0"/>
    <w:rsid w:val="00942335"/>
    <w:rsid w:val="009538FC"/>
    <w:rsid w:val="00954090"/>
    <w:rsid w:val="009643F9"/>
    <w:rsid w:val="00977BD9"/>
    <w:rsid w:val="00996D33"/>
    <w:rsid w:val="009B0B3A"/>
    <w:rsid w:val="009B7232"/>
    <w:rsid w:val="009C27E8"/>
    <w:rsid w:val="009F6C66"/>
    <w:rsid w:val="00A03B42"/>
    <w:rsid w:val="00A3016B"/>
    <w:rsid w:val="00A4059A"/>
    <w:rsid w:val="00A44C9F"/>
    <w:rsid w:val="00A45AEF"/>
    <w:rsid w:val="00A53BBB"/>
    <w:rsid w:val="00A801E1"/>
    <w:rsid w:val="00A84565"/>
    <w:rsid w:val="00AA3669"/>
    <w:rsid w:val="00AA45BE"/>
    <w:rsid w:val="00AA63BA"/>
    <w:rsid w:val="00AB51C3"/>
    <w:rsid w:val="00AD0308"/>
    <w:rsid w:val="00AE18F3"/>
    <w:rsid w:val="00AE68D5"/>
    <w:rsid w:val="00B02886"/>
    <w:rsid w:val="00B40454"/>
    <w:rsid w:val="00B72396"/>
    <w:rsid w:val="00B82264"/>
    <w:rsid w:val="00B97160"/>
    <w:rsid w:val="00B9791F"/>
    <w:rsid w:val="00BA0BB2"/>
    <w:rsid w:val="00BA18A1"/>
    <w:rsid w:val="00BC5D2B"/>
    <w:rsid w:val="00BD51C4"/>
    <w:rsid w:val="00BD6858"/>
    <w:rsid w:val="00C017A9"/>
    <w:rsid w:val="00C13344"/>
    <w:rsid w:val="00C17CBA"/>
    <w:rsid w:val="00C7196C"/>
    <w:rsid w:val="00C764A6"/>
    <w:rsid w:val="00C764DD"/>
    <w:rsid w:val="00C866AD"/>
    <w:rsid w:val="00CA02E3"/>
    <w:rsid w:val="00CA2DA3"/>
    <w:rsid w:val="00CA4EC6"/>
    <w:rsid w:val="00CB425F"/>
    <w:rsid w:val="00CC021E"/>
    <w:rsid w:val="00CD36D8"/>
    <w:rsid w:val="00CD655C"/>
    <w:rsid w:val="00CF279D"/>
    <w:rsid w:val="00D110F2"/>
    <w:rsid w:val="00D22D58"/>
    <w:rsid w:val="00D337F7"/>
    <w:rsid w:val="00D342C2"/>
    <w:rsid w:val="00D36C6F"/>
    <w:rsid w:val="00D744A3"/>
    <w:rsid w:val="00D86C32"/>
    <w:rsid w:val="00DB3437"/>
    <w:rsid w:val="00DB5501"/>
    <w:rsid w:val="00DC30B8"/>
    <w:rsid w:val="00DD7CCF"/>
    <w:rsid w:val="00DF5892"/>
    <w:rsid w:val="00DF5D39"/>
    <w:rsid w:val="00DF66B7"/>
    <w:rsid w:val="00E0392E"/>
    <w:rsid w:val="00E238D5"/>
    <w:rsid w:val="00E34DEF"/>
    <w:rsid w:val="00E4504E"/>
    <w:rsid w:val="00E47A92"/>
    <w:rsid w:val="00E558E7"/>
    <w:rsid w:val="00E76AFE"/>
    <w:rsid w:val="00E81244"/>
    <w:rsid w:val="00E97F86"/>
    <w:rsid w:val="00EA5431"/>
    <w:rsid w:val="00EC0C6B"/>
    <w:rsid w:val="00EC4224"/>
    <w:rsid w:val="00ED32B1"/>
    <w:rsid w:val="00EE16B9"/>
    <w:rsid w:val="00EE3543"/>
    <w:rsid w:val="00EF2A94"/>
    <w:rsid w:val="00F0488E"/>
    <w:rsid w:val="00F3751E"/>
    <w:rsid w:val="00F42FC4"/>
    <w:rsid w:val="00F46F95"/>
    <w:rsid w:val="00F56274"/>
    <w:rsid w:val="00F63609"/>
    <w:rsid w:val="00F65723"/>
    <w:rsid w:val="00F72526"/>
    <w:rsid w:val="00F82843"/>
    <w:rsid w:val="00F831F3"/>
    <w:rsid w:val="00F8711A"/>
    <w:rsid w:val="00F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D23680"/>
  <w15:docId w15:val="{E93F078C-49DC-41AB-AD75-1FFA35D9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274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44E8B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semiHidden/>
    <w:unhideWhenUsed/>
    <w:rsid w:val="00424AE4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424AE4"/>
    <w:rPr>
      <w:color w:val="954F72"/>
      <w:u w:val="single"/>
    </w:rPr>
  </w:style>
  <w:style w:type="paragraph" w:customStyle="1" w:styleId="xl67">
    <w:name w:val="xl67"/>
    <w:basedOn w:val="a"/>
    <w:rsid w:val="00424A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424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424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424A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424AE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table" w:styleId="a7">
    <w:name w:val="Table Grid"/>
    <w:basedOn w:val="a1"/>
    <w:uiPriority w:val="39"/>
    <w:rsid w:val="004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96EC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 w:eastAsia="ru-RU"/>
    </w:rPr>
  </w:style>
  <w:style w:type="character" w:customStyle="1" w:styleId="a9">
    <w:name w:val="Основной текст с отступом Знак"/>
    <w:link w:val="a8"/>
    <w:rsid w:val="00896EC8"/>
    <w:rPr>
      <w:rFonts w:ascii="Times New Roman" w:eastAsia="Times New Roman" w:hAnsi="Times New Roman"/>
      <w:sz w:val="28"/>
      <w:u w:val="single"/>
      <w:lang w:val="ru-RU" w:eastAsia="ru-RU"/>
    </w:rPr>
  </w:style>
  <w:style w:type="paragraph" w:styleId="aa">
    <w:name w:val="List Paragraph"/>
    <w:basedOn w:val="a"/>
    <w:uiPriority w:val="34"/>
    <w:qFormat/>
    <w:rsid w:val="00BA0BB2"/>
    <w:pPr>
      <w:ind w:left="708"/>
    </w:pPr>
  </w:style>
  <w:style w:type="paragraph" w:styleId="ab">
    <w:name w:val="No Spacing"/>
    <w:uiPriority w:val="1"/>
    <w:qFormat/>
    <w:rsid w:val="00A44C9F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7749-B149-4C62-8E33-E32A3A94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Irina-PC</cp:lastModifiedBy>
  <cp:revision>18</cp:revision>
  <cp:lastPrinted>2019-09-09T06:07:00Z</cp:lastPrinted>
  <dcterms:created xsi:type="dcterms:W3CDTF">2019-07-12T10:58:00Z</dcterms:created>
  <dcterms:modified xsi:type="dcterms:W3CDTF">2019-09-17T07:00:00Z</dcterms:modified>
</cp:coreProperties>
</file>