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ECE94" w14:textId="77777777" w:rsidR="00055781" w:rsidRDefault="00055781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2B0B94B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00BDD2A9" w14:textId="77777777" w:rsidR="00055781" w:rsidRPr="00A9388A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1. Визначити на 2025 рік:</w:t>
            </w:r>
          </w:p>
          <w:p w14:paraId="0D474256" w14:textId="77777777" w:rsidR="00055781" w:rsidRPr="00A9388A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10C3">
              <w:rPr>
                <w:rFonts w:ascii="Times New Roman" w:hAnsi="Times New Roman"/>
                <w:b/>
              </w:rPr>
              <w:t>1 204 839 106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1 183 919 821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20 919 285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02FE1CD7" w14:textId="77777777" w:rsidR="00055781" w:rsidRDefault="00055781" w:rsidP="00055781">
            <w:pPr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01C8A5C7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3B7D7D">
              <w:rPr>
                <w:rFonts w:ascii="Times New Roman" w:hAnsi="Times New Roman"/>
                <w:b/>
              </w:rPr>
              <w:t>1 502 169 973,68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1 200 210 025,87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301 959 947,81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098C7BAE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055781">
              <w:rPr>
                <w:rFonts w:ascii="Times New Roman" w:hAnsi="Times New Roman"/>
                <w:b/>
                <w:bCs/>
              </w:rPr>
              <w:t>297 330 867,68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6D717CC4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16 290 204,87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35CC6D62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коштів, що передаються 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3B7D7D">
              <w:rPr>
                <w:rFonts w:ascii="Times New Roman" w:hAnsi="Times New Roman"/>
                <w:b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7E8D170C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3B7D7D">
              <w:rPr>
                <w:rFonts w:ascii="Times New Roman" w:hAnsi="Times New Roman"/>
                <w:b/>
              </w:rPr>
              <w:t>124 503 522,87</w:t>
            </w:r>
            <w:r w:rsidRPr="00E9499C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05BA2E62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281 040 662,81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5292255D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3B7D7D">
              <w:rPr>
                <w:rFonts w:ascii="Times New Roman" w:hAnsi="Times New Roman"/>
                <w:b/>
              </w:rPr>
              <w:t>257 308 401,01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4BB050BA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3B7D7D">
              <w:rPr>
                <w:rFonts w:ascii="Times New Roman" w:hAnsi="Times New Roman"/>
                <w:b/>
                <w:i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9 741 874 гривень;</w:t>
            </w:r>
          </w:p>
          <w:p w14:paraId="4615D7A5" w14:textId="77777777" w:rsidR="00055781" w:rsidRPr="00E9499C" w:rsidRDefault="00055781" w:rsidP="00055781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3B7D7D">
              <w:rPr>
                <w:rFonts w:ascii="Times New Roman" w:hAnsi="Times New Roman"/>
                <w:b/>
                <w:i/>
              </w:rPr>
              <w:t>149 095 083,01</w:t>
            </w:r>
            <w:r w:rsidRPr="00E9499C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4EFEBA3E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1D3BCC8B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1A22B92E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69A524B1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7F7D8A2B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0E2A8BBC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2EA808FD" w14:textId="77777777" w:rsidR="00055781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  <w:bCs/>
              </w:rPr>
            </w:pPr>
          </w:p>
          <w:p w14:paraId="4126D488" w14:textId="77777777" w:rsidR="00055781" w:rsidRPr="00E9499C" w:rsidRDefault="00055781" w:rsidP="00055781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77A394D" w14:textId="09B42F70" w:rsidR="00CA7CE5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3B7D7D">
              <w:rPr>
                <w:rFonts w:ascii="Times New Roman" w:hAnsi="Times New Roman"/>
                <w:b/>
              </w:rPr>
              <w:t>5 691 361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3B7D7D">
              <w:rPr>
                <w:rFonts w:ascii="Times New Roman" w:hAnsi="Times New Roman"/>
                <w:b/>
              </w:rPr>
              <w:t>0,47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>
              <w:rPr>
                <w:rFonts w:ascii="Times New Roman" w:hAnsi="Times New Roman"/>
              </w:rPr>
              <w:t>.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37F13F7C" w14:textId="28E102E1" w:rsidR="00055781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24BEE">
              <w:rPr>
                <w:rFonts w:ascii="Times New Roman" w:hAnsi="Times New Roman"/>
              </w:rPr>
              <w:t>. Затвердити </w:t>
            </w:r>
            <w:r w:rsidRPr="00D24BEE">
              <w:rPr>
                <w:rFonts w:ascii="Times New Roman" w:hAnsi="Times New Roman"/>
                <w:bCs/>
              </w:rPr>
              <w:t>бюджетні призначення</w:t>
            </w:r>
            <w:r w:rsidRPr="00D24BEE">
              <w:rPr>
                <w:rFonts w:ascii="Times New Roman" w:hAnsi="Times New Roman"/>
              </w:rPr>
              <w:t> головним розпорядникам коштів бюджету Чорноморської міської територіальної громади на 2025 рік у розрізі відповідальних виконавців за бюджетними програмами згідно з додатком 3 до цього рішення.</w:t>
            </w:r>
          </w:p>
          <w:p w14:paraId="3D1D5209" w14:textId="77777777" w:rsidR="00055781" w:rsidRPr="00AA0419" w:rsidRDefault="00055781" w:rsidP="00055781">
            <w:pPr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Головному розпоряднику бюджетних коштів – Виконавчому комітету Чорноморської міської ради Одеського району Одеської області затверджені бюджетні призначення за </w:t>
            </w:r>
            <w:r w:rsidRPr="00D55D51">
              <w:rPr>
                <w:rFonts w:ascii="Times New Roman" w:hAnsi="Times New Roman"/>
              </w:rPr>
              <w:t>КПКВК МБ</w:t>
            </w:r>
            <w:r>
              <w:rPr>
                <w:rFonts w:ascii="Times New Roman" w:hAnsi="Times New Roman"/>
              </w:rPr>
              <w:t xml:space="preserve"> </w:t>
            </w:r>
            <w:r w:rsidRPr="00CB0BCF">
              <w:rPr>
                <w:rFonts w:ascii="Times New Roman" w:hAnsi="Times New Roman"/>
              </w:rPr>
              <w:t>0217680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 w:cs="Calibri"/>
              </w:rPr>
              <w:t>"</w:t>
            </w:r>
            <w:r w:rsidRPr="00CB0BCF">
              <w:rPr>
                <w:rFonts w:ascii="Times New Roman" w:hAnsi="Times New Roman"/>
              </w:rPr>
              <w:t>Членські внески до асоціацій органів місцевого самоврядування</w:t>
            </w:r>
            <w:r>
              <w:rPr>
                <w:rFonts w:ascii="Calibri" w:hAnsi="Calibri" w:cs="Calibri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r w:rsidRPr="00AA0419">
              <w:rPr>
                <w:rFonts w:ascii="Times New Roman" w:hAnsi="Times New Roman"/>
                <w:b/>
              </w:rPr>
              <w:t xml:space="preserve">у сумі 180 588 грн перерахувати до </w:t>
            </w:r>
            <w:r w:rsidRPr="00AA0419">
              <w:rPr>
                <w:rFonts w:ascii="Times New Roman" w:hAnsi="Times New Roman"/>
                <w:b/>
                <w:color w:val="000000" w:themeColor="text1"/>
              </w:rPr>
              <w:t xml:space="preserve">ВСЕУКРАЇНСЬКОЇ АСОЦІАЦІЇ ОРГАНІВ МІСЦЕВОГО САМОВРЯДУВАННЯ "АСОЦІАЦІЯ МІСТ УКРАЇНИ", із яких 70 000 грн до Фонду Асоціації міст України з допомоги громадам – членам Асоціації міст України відповідно до укладеної угоди. </w:t>
            </w:r>
          </w:p>
          <w:bookmarkEnd w:id="0"/>
          <w:p w14:paraId="0667CAD4" w14:textId="2246B5EA" w:rsidR="00AD4123" w:rsidRDefault="00AD4123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0ED156D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125BC114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50AE4DF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AD4123">
              <w:rPr>
                <w:rFonts w:ascii="Times New Roman" w:hAnsi="Times New Roman"/>
                <w:b/>
              </w:rPr>
              <w:t>15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972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912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6DFB1939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AD4123">
              <w:rPr>
                <w:rFonts w:ascii="Times New Roman" w:hAnsi="Times New Roman"/>
                <w:b/>
              </w:rPr>
              <w:t>14 </w:t>
            </w:r>
            <w:r w:rsidRPr="00AD4123">
              <w:rPr>
                <w:rFonts w:ascii="Times New Roman" w:hAnsi="Times New Roman"/>
                <w:b/>
                <w:lang w:val="ru-RU"/>
              </w:rPr>
              <w:t>431</w:t>
            </w:r>
            <w:r w:rsidRPr="00AD4123">
              <w:rPr>
                <w:rFonts w:ascii="Times New Roman" w:hAnsi="Times New Roman"/>
                <w:b/>
              </w:rPr>
              <w:t> </w:t>
            </w:r>
            <w:r w:rsidRPr="00AD4123">
              <w:rPr>
                <w:rFonts w:ascii="Times New Roman" w:hAnsi="Times New Roman"/>
                <w:b/>
                <w:lang w:val="ru-RU"/>
              </w:rPr>
              <w:t>612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55039438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4D1842">
              <w:rPr>
                <w:rFonts w:ascii="Times New Roman" w:hAnsi="Times New Roman"/>
                <w:b/>
              </w:rPr>
              <w:t>1 958 700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055A1392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6BAD78BD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78FDED68" w14:textId="77777777" w:rsidR="004D1842" w:rsidRPr="00AA0419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4D1842">
              <w:rPr>
                <w:rFonts w:ascii="Times New Roman" w:hAnsi="Times New Roman"/>
              </w:rPr>
              <w:t xml:space="preserve">- </w:t>
            </w:r>
            <w:r w:rsidRPr="00AA0419">
              <w:rPr>
                <w:rFonts w:ascii="Times New Roman" w:hAnsi="Times New Roman"/>
              </w:rPr>
              <w:t>ф</w:t>
            </w:r>
            <w:r w:rsidRPr="004D1842">
              <w:rPr>
                <w:rFonts w:ascii="Times New Roman" w:hAnsi="Times New Roman"/>
              </w:rPr>
              <w:t xml:space="preserve">інансування заходів </w:t>
            </w:r>
            <w:r w:rsidRPr="004D1842">
              <w:rPr>
                <w:rStyle w:val="docdata"/>
                <w:rFonts w:ascii="Times New Roman" w:hAnsi="Times New Roman"/>
                <w:color w:val="000000"/>
              </w:rPr>
              <w:t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 міської територіальної громади на 2025 рік</w:t>
            </w:r>
            <w:r w:rsidRPr="004D1842">
              <w:rPr>
                <w:rFonts w:ascii="Times New Roman" w:hAnsi="Times New Roman"/>
              </w:rPr>
              <w:t xml:space="preserve"> – 231 812 гривень</w:t>
            </w:r>
            <w:r w:rsidRPr="00AA0419">
              <w:rPr>
                <w:rFonts w:ascii="Times New Roman" w:hAnsi="Times New Roman"/>
              </w:rPr>
              <w:t>;</w:t>
            </w:r>
          </w:p>
          <w:p w14:paraId="4089ADA3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7CD70D9E" w14:textId="77777777" w:rsidR="004D1842" w:rsidRPr="000228A6" w:rsidRDefault="004D1842" w:rsidP="004D1842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61326A92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662F4CC3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54252AF0" w14:textId="10FD8BF9" w:rsidR="004D1842" w:rsidRDefault="004D1842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7D086AE" w14:textId="35E25750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055781" w:rsidRPr="003B7D7D">
              <w:rPr>
                <w:rFonts w:ascii="Times New Roman" w:hAnsi="Times New Roman"/>
                <w:b/>
              </w:rPr>
              <w:t>765 108 894,81</w:t>
            </w:r>
            <w:r w:rsidR="00055781"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5CB80D3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0CB43F9" w:rsidR="007654E0" w:rsidRPr="007654E0" w:rsidRDefault="007654E0" w:rsidP="00B6254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</w:tcPr>
          <w:p w14:paraId="42113225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28BD8491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доходи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</w:rPr>
              <w:t>1 256 954 016,22</w:t>
            </w:r>
            <w:r w:rsidRPr="00E9499C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1 236 040 921 </w:t>
            </w:r>
            <w:r w:rsidRPr="00E9499C">
              <w:rPr>
                <w:rFonts w:ascii="Times New Roman" w:hAnsi="Times New Roman"/>
              </w:rPr>
              <w:t xml:space="preserve">гривень та доходи спеціального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20 913 095,22 </w:t>
            </w:r>
            <w:r w:rsidRPr="00E9499C">
              <w:rPr>
                <w:rFonts w:ascii="Times New Roman" w:hAnsi="Times New Roman"/>
              </w:rPr>
              <w:t>гривень  згідно з додатком 1 до даного рішення;</w:t>
            </w:r>
          </w:p>
          <w:p w14:paraId="09938153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</w:rPr>
              <w:t>1 555 418 583,90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1 253 175 087,87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9818AF">
              <w:rPr>
                <w:rFonts w:ascii="Times New Roman" w:hAnsi="Times New Roman"/>
                <w:b/>
              </w:rPr>
              <w:t>302 243 496,03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7AD50E09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9818AF">
              <w:rPr>
                <w:rFonts w:ascii="Times New Roman" w:hAnsi="Times New Roman"/>
                <w:b/>
                <w:bCs/>
              </w:rPr>
              <w:t>298 464 567,68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5A887B02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9818AF">
              <w:rPr>
                <w:rFonts w:ascii="Times New Roman" w:hAnsi="Times New Roman"/>
                <w:b/>
              </w:rPr>
              <w:t>17 134 166,87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0E3F2CA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коштів, що передаються </w:t>
            </w:r>
            <w:r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9818AF">
              <w:rPr>
                <w:rFonts w:ascii="Times New Roman" w:hAnsi="Times New Roman"/>
                <w:b/>
              </w:rPr>
              <w:t xml:space="preserve">106 369 356 </w:t>
            </w:r>
            <w:r w:rsidRPr="00E9499C">
              <w:rPr>
                <w:rFonts w:ascii="Times New Roman" w:hAnsi="Times New Roman"/>
              </w:rPr>
              <w:t>гривень (профіцит);</w:t>
            </w:r>
          </w:p>
          <w:p w14:paraId="03E5FAEA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4947D1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9818AF">
              <w:rPr>
                <w:rFonts w:ascii="Times New Roman" w:hAnsi="Times New Roman"/>
                <w:b/>
              </w:rPr>
              <w:t>123 503 522,87</w:t>
            </w:r>
            <w:r w:rsidRPr="004947D1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28D79A15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9818AF">
              <w:rPr>
                <w:rFonts w:ascii="Times New Roman" w:hAnsi="Times New Roman"/>
                <w:b/>
              </w:rPr>
              <w:t>281 330 400,81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723EDE82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9818AF">
              <w:rPr>
                <w:rFonts w:ascii="Times New Roman" w:hAnsi="Times New Roman"/>
                <w:b/>
              </w:rPr>
              <w:t>256 464 439,01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0EB1AFB" w14:textId="77777777" w:rsidR="009818AF" w:rsidRPr="004947D1" w:rsidRDefault="009818AF" w:rsidP="009818A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9818AF">
              <w:rPr>
                <w:rFonts w:ascii="Times New Roman" w:hAnsi="Times New Roman"/>
                <w:b/>
                <w:i/>
              </w:rPr>
              <w:t>106 369 356</w:t>
            </w:r>
            <w:r w:rsidRPr="009818AF">
              <w:rPr>
                <w:rFonts w:ascii="Times New Roman" w:hAnsi="Times New Roman"/>
                <w:b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 xml:space="preserve">гривень, в тому числі за рахунок </w:t>
            </w:r>
            <w:r w:rsidRPr="004947D1">
              <w:rPr>
                <w:rFonts w:ascii="Times New Roman" w:hAnsi="Times New Roman"/>
                <w:i/>
              </w:rPr>
              <w:t>міжбюджетних трансфертів – 9 741 874 гривень;</w:t>
            </w:r>
          </w:p>
          <w:p w14:paraId="067715D5" w14:textId="77777777" w:rsidR="009818AF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4947D1">
              <w:rPr>
                <w:rFonts w:ascii="Times New Roman" w:hAnsi="Times New Roman"/>
                <w:i/>
              </w:rPr>
              <w:t xml:space="preserve">- вільного залишку коштів загального фонду, який сформувався станом на 01.01.2025 у сумі </w:t>
            </w:r>
            <w:r w:rsidRPr="009818AF">
              <w:rPr>
                <w:rFonts w:ascii="Times New Roman" w:hAnsi="Times New Roman"/>
                <w:b/>
                <w:i/>
              </w:rPr>
              <w:t>150 095 083,01</w:t>
            </w:r>
            <w:r w:rsidRPr="004947D1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218D4F97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45332B12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57083BDC" w14:textId="77777777" w:rsidR="009818AF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71ED5D75" w14:textId="77777777" w:rsidR="009818AF" w:rsidRPr="009818AF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b/>
              </w:rPr>
            </w:pPr>
            <w:r w:rsidRPr="009818AF">
              <w:rPr>
                <w:rFonts w:ascii="Times New Roman" w:hAnsi="Times New Roman"/>
                <w:b/>
              </w:rPr>
              <w:lastRenderedPageBreak/>
              <w:t>- вільний залишок фонду охорони навколишнього природного середовища у складі бюджету громади, який сформувався станом на 01.01.2025 у сумі 1 133 700,00 гривень;</w:t>
            </w:r>
          </w:p>
          <w:p w14:paraId="3A2738FB" w14:textId="77777777" w:rsidR="009818AF" w:rsidRPr="00E9499C" w:rsidRDefault="009818AF" w:rsidP="009818A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4ECBEBCD" w14:textId="0DC1C92E" w:rsidR="003B7D7D" w:rsidRPr="00E9499C" w:rsidRDefault="009818AF" w:rsidP="009818AF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9818AF">
              <w:rPr>
                <w:rFonts w:ascii="Times New Roman" w:hAnsi="Times New Roman"/>
                <w:b/>
              </w:rPr>
              <w:t>5 067 361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9818AF">
              <w:rPr>
                <w:rFonts w:ascii="Times New Roman" w:hAnsi="Times New Roman"/>
                <w:b/>
              </w:rPr>
              <w:t>0,40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 w:rsidRPr="00E9499C">
              <w:rPr>
                <w:rFonts w:ascii="Times New Roman" w:hAnsi="Times New Roman"/>
              </w:rPr>
              <w:t>.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403797C8" w14:textId="77777777" w:rsidR="00055781" w:rsidRDefault="00055781" w:rsidP="00055781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24BEE">
              <w:rPr>
                <w:rFonts w:ascii="Times New Roman" w:hAnsi="Times New Roman"/>
              </w:rPr>
              <w:t>. Затвердити </w:t>
            </w:r>
            <w:r w:rsidRPr="00D24BEE">
              <w:rPr>
                <w:rFonts w:ascii="Times New Roman" w:hAnsi="Times New Roman"/>
                <w:bCs/>
              </w:rPr>
              <w:t>бюджетні призначення</w:t>
            </w:r>
            <w:r w:rsidRPr="00D24BEE">
              <w:rPr>
                <w:rFonts w:ascii="Times New Roman" w:hAnsi="Times New Roman"/>
              </w:rPr>
              <w:t> головним розпорядникам коштів бюджету Чорноморської міської територіальної громади на 2025 рік у розрізі відповідальних виконавців за бюджетними програмами згідно з додатком 3 до цього рішення.</w:t>
            </w:r>
          </w:p>
          <w:p w14:paraId="54582CC2" w14:textId="4A6E0D36" w:rsidR="00055781" w:rsidRPr="00AA0419" w:rsidRDefault="00055781" w:rsidP="00B62547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Головному розпоряднику бюджетних коштів – Виконавчому комітету Чорноморської міської ради Одеського району Одеської області затверджені бюджетні призначення за </w:t>
            </w:r>
            <w:r w:rsidRPr="00D55D51">
              <w:rPr>
                <w:rFonts w:ascii="Times New Roman" w:hAnsi="Times New Roman"/>
              </w:rPr>
              <w:t>КПКВК МБ</w:t>
            </w:r>
            <w:r>
              <w:rPr>
                <w:rFonts w:ascii="Times New Roman" w:hAnsi="Times New Roman"/>
              </w:rPr>
              <w:t xml:space="preserve"> </w:t>
            </w:r>
            <w:r w:rsidRPr="00CB0BCF">
              <w:rPr>
                <w:rFonts w:ascii="Times New Roman" w:hAnsi="Times New Roman"/>
              </w:rPr>
              <w:t>0217680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 w:cs="Calibri"/>
              </w:rPr>
              <w:t>"</w:t>
            </w:r>
            <w:r w:rsidRPr="00CB0BCF">
              <w:rPr>
                <w:rFonts w:ascii="Times New Roman" w:hAnsi="Times New Roman"/>
              </w:rPr>
              <w:t>Членські внески до асоціацій органів місцевого самоврядування</w:t>
            </w:r>
            <w:r>
              <w:rPr>
                <w:rFonts w:ascii="Calibri" w:hAnsi="Calibri" w:cs="Calibri"/>
              </w:rPr>
              <w:t>"</w:t>
            </w:r>
            <w:r>
              <w:rPr>
                <w:rFonts w:ascii="Times New Roman" w:hAnsi="Times New Roman"/>
              </w:rPr>
              <w:t xml:space="preserve"> </w:t>
            </w:r>
            <w:r w:rsidRPr="00AA0419">
              <w:rPr>
                <w:rFonts w:ascii="Times New Roman" w:hAnsi="Times New Roman"/>
                <w:b/>
              </w:rPr>
              <w:t>у сумі 180 588 грн</w:t>
            </w:r>
            <w:r w:rsidRPr="00AA0419">
              <w:rPr>
                <w:rFonts w:ascii="Times New Roman" w:hAnsi="Times New Roman"/>
                <w:b/>
                <w:color w:val="000000" w:themeColor="text1"/>
              </w:rPr>
              <w:t>, із яких 70 000 грн</w:t>
            </w:r>
            <w:r w:rsidR="00AA0419" w:rsidRPr="00AA0419">
              <w:rPr>
                <w:rFonts w:ascii="Times New Roman" w:hAnsi="Times New Roman"/>
                <w:b/>
                <w:color w:val="000000" w:themeColor="text1"/>
              </w:rPr>
              <w:t xml:space="preserve"> перерахувати </w:t>
            </w:r>
            <w:r w:rsidRPr="00AA0419">
              <w:rPr>
                <w:rFonts w:ascii="Times New Roman" w:hAnsi="Times New Roman"/>
                <w:b/>
                <w:color w:val="000000" w:themeColor="text1"/>
              </w:rPr>
              <w:t>до Фонду Асоціації міст України з допомоги громадам – членам Асоціації міст України відповідно до укладеної угоди</w:t>
            </w:r>
          </w:p>
          <w:p w14:paraId="7F6DAA3F" w14:textId="77777777" w:rsidR="00055781" w:rsidRDefault="00055781" w:rsidP="00B62547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359D7AF" w14:textId="77777777" w:rsidR="0094390D" w:rsidRDefault="0094390D" w:rsidP="00B62547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1608D77F" w14:textId="173FD1FE" w:rsidR="00AD4123" w:rsidRDefault="00AD4123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40C275C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314E9EFB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2D189A2" w14:textId="5292679A" w:rsidR="004D1842" w:rsidRPr="00E9499C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4D1842">
              <w:rPr>
                <w:rFonts w:ascii="Times New Roman" w:hAnsi="Times New Roman"/>
                <w:b/>
              </w:rPr>
              <w:t>16 067 912</w:t>
            </w:r>
            <w:r w:rsidRPr="00E9499C">
              <w:rPr>
                <w:rFonts w:ascii="Times New Roman" w:hAnsi="Times New Roman"/>
              </w:rPr>
              <w:t xml:space="preserve"> гривень, із яких:</w:t>
            </w:r>
          </w:p>
          <w:p w14:paraId="0B99B930" w14:textId="77777777" w:rsidR="004D1842" w:rsidRPr="00E9499C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1.1) </w:t>
            </w:r>
            <w:r w:rsidRPr="004D1842">
              <w:rPr>
                <w:rFonts w:ascii="Times New Roman" w:hAnsi="Times New Roman"/>
                <w:b/>
              </w:rPr>
              <w:t>14 526 612</w:t>
            </w:r>
            <w:r w:rsidRPr="00E9499C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236215CB" w14:textId="77777777" w:rsidR="004D1842" w:rsidRPr="00E9499C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E9499C">
              <w:rPr>
                <w:rFonts w:ascii="Times New Roman" w:hAnsi="Times New Roman"/>
              </w:rPr>
              <w:t>передвищої</w:t>
            </w:r>
            <w:proofErr w:type="spellEnd"/>
            <w:r w:rsidRPr="00E9499C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</w:t>
            </w:r>
            <w:r w:rsidRPr="004D1842">
              <w:rPr>
                <w:rFonts w:ascii="Times New Roman" w:hAnsi="Times New Roman"/>
                <w:b/>
              </w:rPr>
              <w:t>2 053 700</w:t>
            </w:r>
            <w:r w:rsidRPr="00E9499C">
              <w:rPr>
                <w:rFonts w:ascii="Times New Roman" w:hAnsi="Times New Roman"/>
              </w:rPr>
              <w:t xml:space="preserve"> гривень;</w:t>
            </w:r>
          </w:p>
          <w:p w14:paraId="7214CE8F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23453312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30C4FB67" w14:textId="77777777" w:rsidR="004D1842" w:rsidRPr="00AA0419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4D1842">
              <w:rPr>
                <w:rFonts w:ascii="Times New Roman" w:hAnsi="Times New Roman"/>
              </w:rPr>
              <w:t xml:space="preserve">- </w:t>
            </w:r>
            <w:r w:rsidRPr="00AA0419">
              <w:rPr>
                <w:rFonts w:ascii="Times New Roman" w:hAnsi="Times New Roman"/>
              </w:rPr>
              <w:t>ф</w:t>
            </w:r>
            <w:r w:rsidRPr="004D1842">
              <w:rPr>
                <w:rFonts w:ascii="Times New Roman" w:hAnsi="Times New Roman"/>
              </w:rPr>
              <w:t xml:space="preserve">інансування заходів </w:t>
            </w:r>
            <w:r w:rsidRPr="004D1842">
              <w:rPr>
                <w:rStyle w:val="docdata"/>
                <w:rFonts w:ascii="Times New Roman" w:hAnsi="Times New Roman"/>
                <w:color w:val="000000"/>
              </w:rPr>
              <w:t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 міської територіальної громади на 2025 рік</w:t>
            </w:r>
            <w:r w:rsidRPr="004D1842">
              <w:rPr>
                <w:rFonts w:ascii="Times New Roman" w:hAnsi="Times New Roman"/>
              </w:rPr>
              <w:t xml:space="preserve"> – 231 812 гривень</w:t>
            </w:r>
            <w:r w:rsidRPr="00AA0419">
              <w:rPr>
                <w:rFonts w:ascii="Times New Roman" w:hAnsi="Times New Roman"/>
              </w:rPr>
              <w:t>;</w:t>
            </w:r>
          </w:p>
          <w:p w14:paraId="0FED6B4C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223A0406" w14:textId="77777777" w:rsidR="004D1842" w:rsidRPr="000228A6" w:rsidRDefault="004D1842" w:rsidP="004D1842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26B9239C" w14:textId="77777777" w:rsidR="004D1842" w:rsidRPr="00BC120A" w:rsidRDefault="004D1842" w:rsidP="004D1842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2797F1D0" w14:textId="77777777" w:rsidR="004D1842" w:rsidRDefault="004D1842" w:rsidP="004D1842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3FA0B9FE" w14:textId="47460EA8" w:rsidR="004D1842" w:rsidRDefault="004D1842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5F8E2BB4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94390D" w:rsidRPr="0094390D">
              <w:rPr>
                <w:rFonts w:ascii="Times New Roman" w:hAnsi="Times New Roman"/>
                <w:b/>
              </w:rPr>
              <w:t>76</w:t>
            </w:r>
            <w:r w:rsidR="0094390D">
              <w:rPr>
                <w:rFonts w:ascii="Times New Roman" w:hAnsi="Times New Roman"/>
                <w:b/>
              </w:rPr>
              <w:t>9</w:t>
            </w:r>
            <w:r w:rsidR="0094390D" w:rsidRPr="0094390D">
              <w:rPr>
                <w:rFonts w:ascii="Times New Roman" w:hAnsi="Times New Roman"/>
                <w:b/>
              </w:rPr>
              <w:t> </w:t>
            </w:r>
            <w:r w:rsidR="0094390D">
              <w:rPr>
                <w:rFonts w:ascii="Times New Roman" w:hAnsi="Times New Roman"/>
                <w:b/>
              </w:rPr>
              <w:t>119</w:t>
            </w:r>
            <w:r w:rsidR="0094390D" w:rsidRPr="0094390D">
              <w:rPr>
                <w:rFonts w:ascii="Times New Roman" w:hAnsi="Times New Roman"/>
                <w:b/>
              </w:rPr>
              <w:t> </w:t>
            </w:r>
            <w:r w:rsidR="0094390D">
              <w:rPr>
                <w:rFonts w:ascii="Times New Roman" w:hAnsi="Times New Roman"/>
                <w:b/>
              </w:rPr>
              <w:t>145</w:t>
            </w:r>
            <w:r w:rsidR="0094390D" w:rsidRPr="0094390D">
              <w:rPr>
                <w:rFonts w:ascii="Times New Roman" w:hAnsi="Times New Roman"/>
                <w:b/>
              </w:rPr>
              <w:t>,03</w:t>
            </w:r>
            <w:r w:rsidR="0094390D"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C0C2E54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055781">
      <w:headerReference w:type="default" r:id="rId7"/>
      <w:pgSz w:w="16838" w:h="11906" w:orient="landscape" w:code="9"/>
      <w:pgMar w:top="5" w:right="539" w:bottom="284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0C685" w14:textId="77777777" w:rsidR="007D4AC3" w:rsidRDefault="007D4AC3" w:rsidP="00142E99">
      <w:r>
        <w:separator/>
      </w:r>
    </w:p>
  </w:endnote>
  <w:endnote w:type="continuationSeparator" w:id="0">
    <w:p w14:paraId="7123E4E4" w14:textId="77777777" w:rsidR="007D4AC3" w:rsidRDefault="007D4AC3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48B73" w14:textId="77777777" w:rsidR="007D4AC3" w:rsidRDefault="007D4AC3" w:rsidP="00142E99">
      <w:r>
        <w:separator/>
      </w:r>
    </w:p>
  </w:footnote>
  <w:footnote w:type="continuationSeparator" w:id="0">
    <w:p w14:paraId="1BF3CAD5" w14:textId="77777777" w:rsidR="007D4AC3" w:rsidRDefault="007D4AC3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55449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419">
          <w:rPr>
            <w:noProof/>
          </w:rPr>
          <w:t>3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5781"/>
    <w:rsid w:val="00056CC4"/>
    <w:rsid w:val="00073A3F"/>
    <w:rsid w:val="00087293"/>
    <w:rsid w:val="00097C7A"/>
    <w:rsid w:val="000B3038"/>
    <w:rsid w:val="000C1297"/>
    <w:rsid w:val="000C3E1A"/>
    <w:rsid w:val="000D23E5"/>
    <w:rsid w:val="000E53E7"/>
    <w:rsid w:val="000F2EC8"/>
    <w:rsid w:val="000F546A"/>
    <w:rsid w:val="00101AB6"/>
    <w:rsid w:val="00104246"/>
    <w:rsid w:val="00112D9A"/>
    <w:rsid w:val="001365E6"/>
    <w:rsid w:val="001413E6"/>
    <w:rsid w:val="00142E99"/>
    <w:rsid w:val="00150150"/>
    <w:rsid w:val="001604F5"/>
    <w:rsid w:val="001734FA"/>
    <w:rsid w:val="001978DB"/>
    <w:rsid w:val="001A4E10"/>
    <w:rsid w:val="001B2CEA"/>
    <w:rsid w:val="001F3686"/>
    <w:rsid w:val="001F637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63BFA"/>
    <w:rsid w:val="003B7D7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D1842"/>
    <w:rsid w:val="004D1F58"/>
    <w:rsid w:val="004E06DB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1479"/>
    <w:rsid w:val="005A3761"/>
    <w:rsid w:val="005A6E79"/>
    <w:rsid w:val="005F1BED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06BB"/>
    <w:rsid w:val="006A4483"/>
    <w:rsid w:val="006A6E63"/>
    <w:rsid w:val="006C49F2"/>
    <w:rsid w:val="006E08A3"/>
    <w:rsid w:val="006F485A"/>
    <w:rsid w:val="006F5CBD"/>
    <w:rsid w:val="007260ED"/>
    <w:rsid w:val="00727CCB"/>
    <w:rsid w:val="00731DC7"/>
    <w:rsid w:val="00737038"/>
    <w:rsid w:val="00746B59"/>
    <w:rsid w:val="00750B27"/>
    <w:rsid w:val="007654E0"/>
    <w:rsid w:val="00777015"/>
    <w:rsid w:val="00790C93"/>
    <w:rsid w:val="0079552A"/>
    <w:rsid w:val="007977E7"/>
    <w:rsid w:val="007C3936"/>
    <w:rsid w:val="007C6437"/>
    <w:rsid w:val="007C6843"/>
    <w:rsid w:val="007C767A"/>
    <w:rsid w:val="007D4AC3"/>
    <w:rsid w:val="007E58EF"/>
    <w:rsid w:val="007F7E9E"/>
    <w:rsid w:val="00837FDC"/>
    <w:rsid w:val="008731AC"/>
    <w:rsid w:val="00875032"/>
    <w:rsid w:val="008B4914"/>
    <w:rsid w:val="008F2708"/>
    <w:rsid w:val="008F79F3"/>
    <w:rsid w:val="00903789"/>
    <w:rsid w:val="00925E48"/>
    <w:rsid w:val="0092798C"/>
    <w:rsid w:val="00933E07"/>
    <w:rsid w:val="00943622"/>
    <w:rsid w:val="0094390D"/>
    <w:rsid w:val="00954019"/>
    <w:rsid w:val="009759A2"/>
    <w:rsid w:val="009818AF"/>
    <w:rsid w:val="00995093"/>
    <w:rsid w:val="00996625"/>
    <w:rsid w:val="00996751"/>
    <w:rsid w:val="009A16F5"/>
    <w:rsid w:val="009B0BC4"/>
    <w:rsid w:val="009F7080"/>
    <w:rsid w:val="00A0461D"/>
    <w:rsid w:val="00A04C00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0419"/>
    <w:rsid w:val="00AA3592"/>
    <w:rsid w:val="00AB1607"/>
    <w:rsid w:val="00AC18B4"/>
    <w:rsid w:val="00AD4123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324B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4AA"/>
    <w:rsid w:val="00D27C6B"/>
    <w:rsid w:val="00D42A42"/>
    <w:rsid w:val="00D47634"/>
    <w:rsid w:val="00D54FAF"/>
    <w:rsid w:val="00D55C46"/>
    <w:rsid w:val="00D574EC"/>
    <w:rsid w:val="00D80163"/>
    <w:rsid w:val="00D834DE"/>
    <w:rsid w:val="00D83D1A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10C3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85D71"/>
    <w:rsid w:val="00F95810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docdata">
    <w:name w:val="docdata"/>
    <w:aliases w:val="docy,v5,1767,baiaagaaboqcaaadhquaaaurbqaaaaaaaaaaaaaaaaaaaaaaaaaaaaaaaaaaaaaaaaaaaaaaaaaaaaaaaaaaaaaaaaaaaaaaaaaaaaaaaaaaaaaaaaaaaaaaaaaaaaaaaaaaaaaaaaaaaaaaaaaaaaaaaaaaaaaaaaaaaaaaaaaaaaaaaaaaaaaaaaaaaaaaaaaaaaaaaaaaaaaaaaaaaaaaaaaaaaaaaaaaaaa"/>
    <w:rsid w:val="007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1939</Words>
  <Characters>11055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241</cp:revision>
  <cp:lastPrinted>2025-08-05T13:50:00Z</cp:lastPrinted>
  <dcterms:created xsi:type="dcterms:W3CDTF">2021-07-16T12:22:00Z</dcterms:created>
  <dcterms:modified xsi:type="dcterms:W3CDTF">2025-08-05T14:04:00Z</dcterms:modified>
</cp:coreProperties>
</file>