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5441"/>
        <w:gridCol w:w="2213"/>
        <w:gridCol w:w="5465"/>
      </w:tblGrid>
      <w:tr w:rsidR="008A71D4" w14:paraId="53BFCA50" w14:textId="77777777" w:rsidTr="00BF0321">
        <w:tc>
          <w:tcPr>
            <w:tcW w:w="15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FC2951" w14:textId="7F08F252" w:rsidR="00625CAA" w:rsidRPr="005450DE" w:rsidRDefault="00BF0321" w:rsidP="005450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Порівняльна таблиця </w:t>
            </w:r>
            <w:r w:rsidR="00625CAA" w:rsidRPr="0054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проєкту рішення «</w:t>
            </w:r>
            <w:r w:rsidR="005450DE" w:rsidRPr="0054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 внесення змін до Порядку</w:t>
            </w:r>
            <w:r w:rsidR="005450DE" w:rsidRPr="005450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відшкодування витрат на поховання військовослужбовців Збройних Сил України та інших військових формувань України, які загинули внаслідок військової агресії російської федерації проти України, та пов’язаних з цим ритуальних послуг</w:t>
            </w:r>
            <w:r w:rsidR="00625CAA" w:rsidRPr="005450DE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0E7C5B1B" w14:textId="24EEF87F" w:rsidR="004A1A96" w:rsidRPr="00BF0321" w:rsidRDefault="004A1A96" w:rsidP="00BF0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A96" w:rsidRPr="004A1A96" w14:paraId="783D3278" w14:textId="77777777" w:rsidTr="004A1A96">
        <w:tc>
          <w:tcPr>
            <w:tcW w:w="2235" w:type="dxa"/>
          </w:tcPr>
          <w:p w14:paraId="06309F63" w14:textId="0DA96F42" w:rsidR="004A1A96" w:rsidRPr="004A1A96" w:rsidRDefault="004A1A96" w:rsidP="004A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96">
              <w:rPr>
                <w:rFonts w:ascii="Times New Roman" w:hAnsi="Times New Roman" w:cs="Times New Roman"/>
                <w:sz w:val="24"/>
                <w:szCs w:val="24"/>
              </w:rPr>
              <w:t>Номер пункту</w:t>
            </w:r>
          </w:p>
        </w:tc>
        <w:tc>
          <w:tcPr>
            <w:tcW w:w="5441" w:type="dxa"/>
          </w:tcPr>
          <w:p w14:paraId="125F46C0" w14:textId="4CA22DEC" w:rsidR="004A1A96" w:rsidRPr="004A1A96" w:rsidRDefault="004A1A96" w:rsidP="004A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96">
              <w:rPr>
                <w:rFonts w:ascii="Times New Roman" w:hAnsi="Times New Roman" w:cs="Times New Roman"/>
                <w:sz w:val="24"/>
                <w:szCs w:val="24"/>
              </w:rPr>
              <w:t>Діюча редакція</w:t>
            </w:r>
          </w:p>
        </w:tc>
        <w:tc>
          <w:tcPr>
            <w:tcW w:w="2213" w:type="dxa"/>
          </w:tcPr>
          <w:p w14:paraId="6C29E68D" w14:textId="54301530" w:rsidR="004A1A96" w:rsidRPr="004A1A96" w:rsidRDefault="004A1A96" w:rsidP="004A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96">
              <w:rPr>
                <w:rFonts w:ascii="Times New Roman" w:hAnsi="Times New Roman" w:cs="Times New Roman"/>
                <w:sz w:val="24"/>
                <w:szCs w:val="24"/>
              </w:rPr>
              <w:t>Номер пункту</w:t>
            </w:r>
          </w:p>
        </w:tc>
        <w:tc>
          <w:tcPr>
            <w:tcW w:w="5465" w:type="dxa"/>
          </w:tcPr>
          <w:p w14:paraId="1E7E8EE9" w14:textId="687286D4" w:rsidR="004A1A96" w:rsidRPr="004A1A96" w:rsidRDefault="004A1A96" w:rsidP="004A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9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</w:p>
        </w:tc>
      </w:tr>
      <w:tr w:rsidR="0041688A" w:rsidRPr="005450DE" w14:paraId="777E1C1F" w14:textId="77777777" w:rsidTr="004A1A96">
        <w:tc>
          <w:tcPr>
            <w:tcW w:w="2235" w:type="dxa"/>
          </w:tcPr>
          <w:p w14:paraId="43877F8A" w14:textId="19C341C1" w:rsidR="0041688A" w:rsidRPr="005450DE" w:rsidRDefault="005450DE" w:rsidP="00AD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1" w:type="dxa"/>
          </w:tcPr>
          <w:p w14:paraId="7F9DB2ED" w14:textId="41C709DA" w:rsidR="005450DE" w:rsidRPr="005450DE" w:rsidRDefault="005450DE" w:rsidP="005450DE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Поховання осіб, зазначених в пункті 1 Порядку виконується на підставі підпункту 1.6.3. розділу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Міської програми підтримки населення Чорноморської міської територіальної громади, які підпадають під дію Закону України “Про статус ветеранів війни, гарантії їх соціального захисту” на 2021-2025 роки, затвердженої рішенням  Чорноморської міської ради Одеського району Одеської області від 24.12.2020 № 15-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VIII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(зі змінами).</w:t>
            </w:r>
          </w:p>
          <w:p w14:paraId="4034B769" w14:textId="07B9D7EF" w:rsidR="0041688A" w:rsidRPr="005450DE" w:rsidRDefault="0041688A" w:rsidP="0041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416D0EA9" w14:textId="3FF740CE" w:rsidR="0041688A" w:rsidRPr="005450DE" w:rsidRDefault="005450DE" w:rsidP="0062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5" w:type="dxa"/>
          </w:tcPr>
          <w:p w14:paraId="23B70A0C" w14:textId="2ACB23CA" w:rsidR="0041688A" w:rsidRDefault="005450DE" w:rsidP="005450DE">
            <w:pPr>
              <w:pStyle w:val="a6"/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Поховання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осіб,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пункті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Порядку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виконується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 підставі </w:t>
            </w:r>
            <w:r w:rsidRPr="00545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підпункту 1.5.3. </w:t>
            </w:r>
            <w:r w:rsidRPr="005450D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Перелік</w:t>
            </w:r>
            <w:r w:rsidR="00AA145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5450D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заходів і завдань  </w:t>
            </w:r>
            <w:r w:rsidRPr="005450DE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 w:eastAsia="ru-RU"/>
              </w:rPr>
              <w:t xml:space="preserve">Міської цільової  програми </w:t>
            </w:r>
            <w:r w:rsidRPr="005450D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 на 2026 – 2028 роки</w:t>
            </w:r>
            <w:r w:rsidRPr="00545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, затвердженої рішенням  Чорноморської міської ради Одеського району Одеської області від 24.12.2025 №1001-</w:t>
            </w:r>
            <w:r w:rsidRPr="00545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VIII</w:t>
            </w:r>
          </w:p>
          <w:p w14:paraId="0FD8493B" w14:textId="06145480" w:rsidR="005450DE" w:rsidRPr="005450DE" w:rsidRDefault="005450DE" w:rsidP="005450DE">
            <w:pPr>
              <w:pStyle w:val="a6"/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450DE" w:rsidRPr="005450DE" w14:paraId="3271CDE5" w14:textId="77777777" w:rsidTr="004A1A96">
        <w:tc>
          <w:tcPr>
            <w:tcW w:w="2235" w:type="dxa"/>
          </w:tcPr>
          <w:p w14:paraId="672944D1" w14:textId="52F49D23" w:rsidR="005450DE" w:rsidRPr="005450DE" w:rsidRDefault="005450DE" w:rsidP="00AD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1" w:type="dxa"/>
          </w:tcPr>
          <w:p w14:paraId="2B400B48" w14:textId="73841687" w:rsidR="005450DE" w:rsidRPr="005450DE" w:rsidRDefault="005450DE" w:rsidP="005450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Відшкодування витрат здійснюється на підставі Договору про відшкодування витрат на поховання та пов’язаних з цим ритуальних послуг, що укладається між ритуальною службою та</w:t>
            </w:r>
            <w:r w:rsidRPr="005450D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bookmarkStart w:id="0" w:name="_Hlk117157771"/>
            <w:r w:rsidRPr="005450D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управлінням соціальної політики Чорноморської міської ради Одеського району Одеської області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bookmarkEnd w:id="0"/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також, на підставі відповідного акту виконаних робіт</w:t>
            </w:r>
            <w:r w:rsidRPr="005450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із зазначенням прізвища, ім’я, по батькові, категорії, адреси загиблого, суми витрат на поховання,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безготівковій формі шляхом перерахування коштів на рахунок ритуальної служби. </w:t>
            </w:r>
          </w:p>
          <w:p w14:paraId="52FDA518" w14:textId="0585A7D4" w:rsidR="005450DE" w:rsidRPr="005450DE" w:rsidRDefault="005450DE" w:rsidP="005450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Загальна сума витрат на поховання та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пов’язаних з цим ритуальних послуг визначається в кошторисі витрат на поховання та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>пов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>язаних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цим ритуальних послуг на поточний бюджетний рік за рахунок коштів бюджету Чорноморської міської територіальної громади.</w:t>
            </w:r>
          </w:p>
          <w:p w14:paraId="3541E6F5" w14:textId="77777777" w:rsidR="005450DE" w:rsidRPr="005450DE" w:rsidRDefault="005450DE" w:rsidP="005450DE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C462776" w14:textId="28963DB5" w:rsidR="005450DE" w:rsidRPr="005450DE" w:rsidRDefault="005450DE" w:rsidP="00625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0D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65" w:type="dxa"/>
          </w:tcPr>
          <w:p w14:paraId="7F035692" w14:textId="7C3EE001" w:rsidR="005450DE" w:rsidRPr="005450DE" w:rsidRDefault="005450DE" w:rsidP="005450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Відшкодування витрат здійснюється на підставі Договору про відшкодування витрат на поховання та пов’язаних з цим ритуальних послуг, що укладається між ритуальною службою та</w:t>
            </w:r>
            <w:r w:rsidRPr="005450D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управлінням соціальної політики Чорноморської міської ради Одеського району Одеської області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>, а також, на підставі відповідного акту виконаних робіт</w:t>
            </w:r>
            <w:r w:rsidRPr="005450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із зазначенням прізвища, ім’я, по батькові, категорії, адреси загиблого, суми витрат на поховання,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безготівковій формі шляхом перерахування коштів на рахунок ритуальної служби. </w:t>
            </w:r>
          </w:p>
          <w:p w14:paraId="6A64A744" w14:textId="132483A5" w:rsidR="005450DE" w:rsidRPr="005450DE" w:rsidRDefault="005450DE" w:rsidP="005450DE">
            <w:pPr>
              <w:pStyle w:val="a6"/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Загальна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сума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витрат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поховання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пов’язаних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цим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ритуальних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визначається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кошторисі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витрат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поховання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пов’язаних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цим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ритуальних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5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545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розмірі</w:t>
            </w:r>
            <w:proofErr w:type="spellEnd"/>
            <w:r w:rsidRPr="00545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45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545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545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перевищує</w:t>
            </w:r>
            <w:proofErr w:type="spellEnd"/>
            <w:r w:rsidRPr="00545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25</w:t>
            </w:r>
            <w:r w:rsidRPr="00545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45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000 грн.</w:t>
            </w:r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Проводиться за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рахунок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бюджету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Чорноморської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0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</w:tr>
    </w:tbl>
    <w:p w14:paraId="3DA26F88" w14:textId="77777777" w:rsidR="005450DE" w:rsidRDefault="002B3FE7" w:rsidP="004A1A96">
      <w:pPr>
        <w:rPr>
          <w:rFonts w:ascii="Times New Roman" w:hAnsi="Times New Roman" w:cs="Times New Roman"/>
          <w:sz w:val="24"/>
          <w:szCs w:val="24"/>
        </w:rPr>
      </w:pPr>
      <w:r w:rsidRPr="005450DE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02DA816E" w14:textId="77777777" w:rsidR="005450DE" w:rsidRDefault="005450DE" w:rsidP="004A1A96">
      <w:pPr>
        <w:rPr>
          <w:rFonts w:ascii="Times New Roman" w:hAnsi="Times New Roman" w:cs="Times New Roman"/>
          <w:sz w:val="24"/>
          <w:szCs w:val="24"/>
        </w:rPr>
      </w:pPr>
    </w:p>
    <w:p w14:paraId="171C3AC3" w14:textId="77777777" w:rsidR="005450DE" w:rsidRDefault="005450DE" w:rsidP="004A1A96">
      <w:pPr>
        <w:rPr>
          <w:rFonts w:ascii="Times New Roman" w:hAnsi="Times New Roman" w:cs="Times New Roman"/>
          <w:sz w:val="24"/>
          <w:szCs w:val="24"/>
        </w:rPr>
      </w:pPr>
    </w:p>
    <w:p w14:paraId="75B8CB30" w14:textId="77777777" w:rsidR="005450DE" w:rsidRDefault="005450DE" w:rsidP="004A1A96">
      <w:pPr>
        <w:rPr>
          <w:rFonts w:ascii="Times New Roman" w:hAnsi="Times New Roman" w:cs="Times New Roman"/>
          <w:sz w:val="24"/>
          <w:szCs w:val="24"/>
        </w:rPr>
      </w:pPr>
    </w:p>
    <w:p w14:paraId="386AAC17" w14:textId="31070788" w:rsidR="002B3FE7" w:rsidRPr="005450DE" w:rsidRDefault="002B3FE7" w:rsidP="005450D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450DE">
        <w:rPr>
          <w:rFonts w:ascii="Times New Roman" w:hAnsi="Times New Roman" w:cs="Times New Roman"/>
          <w:sz w:val="24"/>
          <w:szCs w:val="24"/>
        </w:rPr>
        <w:t>Начальни</w:t>
      </w:r>
      <w:r w:rsidR="00B35EBD" w:rsidRPr="005450DE">
        <w:rPr>
          <w:rFonts w:ascii="Times New Roman" w:hAnsi="Times New Roman" w:cs="Times New Roman"/>
          <w:sz w:val="24"/>
          <w:szCs w:val="24"/>
        </w:rPr>
        <w:t>к</w:t>
      </w:r>
      <w:r w:rsidRPr="005450DE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B35EBD" w:rsidRPr="005450DE">
        <w:rPr>
          <w:rFonts w:ascii="Times New Roman" w:hAnsi="Times New Roman" w:cs="Times New Roman"/>
          <w:sz w:val="24"/>
          <w:szCs w:val="24"/>
        </w:rPr>
        <w:t xml:space="preserve"> соціальної політики</w:t>
      </w:r>
      <w:r w:rsidRPr="005450DE">
        <w:rPr>
          <w:rFonts w:ascii="Times New Roman" w:hAnsi="Times New Roman" w:cs="Times New Roman"/>
          <w:sz w:val="24"/>
          <w:szCs w:val="24"/>
        </w:rPr>
        <w:tab/>
      </w:r>
      <w:r w:rsidRPr="005450DE">
        <w:rPr>
          <w:rFonts w:ascii="Times New Roman" w:hAnsi="Times New Roman" w:cs="Times New Roman"/>
          <w:sz w:val="24"/>
          <w:szCs w:val="24"/>
        </w:rPr>
        <w:tab/>
      </w:r>
      <w:r w:rsidRPr="005450DE">
        <w:rPr>
          <w:rFonts w:ascii="Times New Roman" w:hAnsi="Times New Roman" w:cs="Times New Roman"/>
          <w:sz w:val="24"/>
          <w:szCs w:val="24"/>
        </w:rPr>
        <w:tab/>
      </w:r>
      <w:r w:rsidRPr="005450DE">
        <w:rPr>
          <w:rFonts w:ascii="Times New Roman" w:hAnsi="Times New Roman" w:cs="Times New Roman"/>
          <w:sz w:val="24"/>
          <w:szCs w:val="24"/>
        </w:rPr>
        <w:tab/>
      </w:r>
      <w:r w:rsidRPr="005450DE">
        <w:rPr>
          <w:rFonts w:ascii="Times New Roman" w:hAnsi="Times New Roman" w:cs="Times New Roman"/>
          <w:sz w:val="24"/>
          <w:szCs w:val="24"/>
        </w:rPr>
        <w:tab/>
      </w:r>
      <w:r w:rsidRPr="005450DE">
        <w:rPr>
          <w:rFonts w:ascii="Times New Roman" w:hAnsi="Times New Roman" w:cs="Times New Roman"/>
          <w:sz w:val="24"/>
          <w:szCs w:val="24"/>
        </w:rPr>
        <w:tab/>
      </w:r>
      <w:r w:rsidRPr="005450DE">
        <w:rPr>
          <w:rFonts w:ascii="Times New Roman" w:hAnsi="Times New Roman" w:cs="Times New Roman"/>
          <w:sz w:val="24"/>
          <w:szCs w:val="24"/>
        </w:rPr>
        <w:tab/>
      </w:r>
      <w:r w:rsidRPr="005450DE">
        <w:rPr>
          <w:rFonts w:ascii="Times New Roman" w:hAnsi="Times New Roman" w:cs="Times New Roman"/>
          <w:sz w:val="24"/>
          <w:szCs w:val="24"/>
        </w:rPr>
        <w:tab/>
      </w:r>
      <w:r w:rsidRPr="005450DE">
        <w:rPr>
          <w:rFonts w:ascii="Times New Roman" w:hAnsi="Times New Roman" w:cs="Times New Roman"/>
          <w:sz w:val="24"/>
          <w:szCs w:val="24"/>
        </w:rPr>
        <w:tab/>
      </w:r>
      <w:r w:rsidRPr="005450DE">
        <w:rPr>
          <w:rFonts w:ascii="Times New Roman" w:hAnsi="Times New Roman" w:cs="Times New Roman"/>
          <w:sz w:val="24"/>
          <w:szCs w:val="24"/>
        </w:rPr>
        <w:tab/>
        <w:t>Тетяна ПРИЩЕПА</w:t>
      </w:r>
    </w:p>
    <w:sectPr w:rsidR="002B3FE7" w:rsidRPr="005450DE" w:rsidSect="003C4DAA">
      <w:pgSz w:w="16838" w:h="11906" w:orient="landscape"/>
      <w:pgMar w:top="1701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F8B"/>
    <w:multiLevelType w:val="hybridMultilevel"/>
    <w:tmpl w:val="3C0E3286"/>
    <w:lvl w:ilvl="0" w:tplc="C9E84AA2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55F2"/>
    <w:multiLevelType w:val="hybridMultilevel"/>
    <w:tmpl w:val="49C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3BF7"/>
    <w:multiLevelType w:val="hybridMultilevel"/>
    <w:tmpl w:val="F4FCF7C4"/>
    <w:lvl w:ilvl="0" w:tplc="9C0CFF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32438"/>
    <w:multiLevelType w:val="hybridMultilevel"/>
    <w:tmpl w:val="F7FE9496"/>
    <w:lvl w:ilvl="0" w:tplc="8E06FC5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4591BE1"/>
    <w:multiLevelType w:val="hybridMultilevel"/>
    <w:tmpl w:val="F54ADAEE"/>
    <w:lvl w:ilvl="0" w:tplc="12A0D9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95EDE"/>
    <w:multiLevelType w:val="hybridMultilevel"/>
    <w:tmpl w:val="971A5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A65CE"/>
    <w:multiLevelType w:val="hybridMultilevel"/>
    <w:tmpl w:val="7C4CF10A"/>
    <w:lvl w:ilvl="0" w:tplc="1DCC9634">
      <w:start w:val="40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7" w15:restartNumberingAfterBreak="0">
    <w:nsid w:val="620C4495"/>
    <w:multiLevelType w:val="hybridMultilevel"/>
    <w:tmpl w:val="D04A1DF2"/>
    <w:lvl w:ilvl="0" w:tplc="3E48BDE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75465"/>
    <w:multiLevelType w:val="hybridMultilevel"/>
    <w:tmpl w:val="5AB2D298"/>
    <w:lvl w:ilvl="0" w:tplc="E04E8BB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30635161">
    <w:abstractNumId w:val="6"/>
  </w:num>
  <w:num w:numId="2" w16cid:durableId="254291573">
    <w:abstractNumId w:val="8"/>
  </w:num>
  <w:num w:numId="3" w16cid:durableId="1172140509">
    <w:abstractNumId w:val="1"/>
  </w:num>
  <w:num w:numId="4" w16cid:durableId="933973441">
    <w:abstractNumId w:val="0"/>
  </w:num>
  <w:num w:numId="5" w16cid:durableId="748580671">
    <w:abstractNumId w:val="2"/>
  </w:num>
  <w:num w:numId="6" w16cid:durableId="226385309">
    <w:abstractNumId w:val="7"/>
  </w:num>
  <w:num w:numId="7" w16cid:durableId="869337739">
    <w:abstractNumId w:val="5"/>
  </w:num>
  <w:num w:numId="8" w16cid:durableId="1249459649">
    <w:abstractNumId w:val="3"/>
  </w:num>
  <w:num w:numId="9" w16cid:durableId="1598057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5FA"/>
    <w:rsid w:val="00061C76"/>
    <w:rsid w:val="000A5FB3"/>
    <w:rsid w:val="000A700E"/>
    <w:rsid w:val="000C3190"/>
    <w:rsid w:val="00187A16"/>
    <w:rsid w:val="001B6221"/>
    <w:rsid w:val="00277A51"/>
    <w:rsid w:val="002B3FE7"/>
    <w:rsid w:val="003B17B3"/>
    <w:rsid w:val="003C4DAA"/>
    <w:rsid w:val="003E646E"/>
    <w:rsid w:val="0041688A"/>
    <w:rsid w:val="004A1A96"/>
    <w:rsid w:val="005450DE"/>
    <w:rsid w:val="005B2509"/>
    <w:rsid w:val="00625CAA"/>
    <w:rsid w:val="006315DB"/>
    <w:rsid w:val="00667A87"/>
    <w:rsid w:val="006756DE"/>
    <w:rsid w:val="006C741E"/>
    <w:rsid w:val="007A4316"/>
    <w:rsid w:val="007C37D0"/>
    <w:rsid w:val="007F6889"/>
    <w:rsid w:val="008A71D4"/>
    <w:rsid w:val="00914B85"/>
    <w:rsid w:val="00921E88"/>
    <w:rsid w:val="0095541C"/>
    <w:rsid w:val="009C59EF"/>
    <w:rsid w:val="00A57BF3"/>
    <w:rsid w:val="00AA1456"/>
    <w:rsid w:val="00AB4362"/>
    <w:rsid w:val="00AD3A8F"/>
    <w:rsid w:val="00B006A4"/>
    <w:rsid w:val="00B23CAF"/>
    <w:rsid w:val="00B35EBD"/>
    <w:rsid w:val="00BF0321"/>
    <w:rsid w:val="00C325FA"/>
    <w:rsid w:val="00C75F0E"/>
    <w:rsid w:val="00D07F79"/>
    <w:rsid w:val="00D668BA"/>
    <w:rsid w:val="00DE3D84"/>
    <w:rsid w:val="00E00CD4"/>
    <w:rsid w:val="00E76168"/>
    <w:rsid w:val="00E77E98"/>
    <w:rsid w:val="00E97418"/>
    <w:rsid w:val="00EC1351"/>
    <w:rsid w:val="00F573B6"/>
    <w:rsid w:val="00F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5240"/>
  <w15:docId w15:val="{EC2D1CCB-D064-4F3F-91EE-AA317F4F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DB"/>
  </w:style>
  <w:style w:type="paragraph" w:styleId="2">
    <w:name w:val="heading 2"/>
    <w:basedOn w:val="a"/>
    <w:next w:val="a"/>
    <w:link w:val="20"/>
    <w:uiPriority w:val="99"/>
    <w:qFormat/>
    <w:rsid w:val="00061C7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6A4"/>
    <w:pPr>
      <w:suppressAutoHyphens/>
      <w:spacing w:after="160" w:line="259" w:lineRule="auto"/>
      <w:ind w:left="720"/>
      <w:contextualSpacing/>
    </w:pPr>
    <w:rPr>
      <w:lang w:val="ru-RU"/>
    </w:rPr>
  </w:style>
  <w:style w:type="character" w:customStyle="1" w:styleId="20">
    <w:name w:val="Заголовок 2 Знак"/>
    <w:basedOn w:val="a0"/>
    <w:link w:val="2"/>
    <w:uiPriority w:val="99"/>
    <w:rsid w:val="00061C7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a5">
    <w:name w:val="No Spacing"/>
    <w:uiPriority w:val="99"/>
    <w:qFormat/>
    <w:rsid w:val="000A700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rvps2">
    <w:name w:val="rvps2"/>
    <w:basedOn w:val="a"/>
    <w:rsid w:val="00AD3A8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Body Text"/>
    <w:basedOn w:val="a"/>
    <w:link w:val="a7"/>
    <w:uiPriority w:val="99"/>
    <w:unhideWhenUsed/>
    <w:rsid w:val="005450DE"/>
    <w:pPr>
      <w:spacing w:after="120"/>
    </w:pPr>
    <w:rPr>
      <w:rFonts w:ascii="Calibri" w:eastAsia="Times New Roman" w:hAnsi="Calibri" w:cs="Times New Roman"/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5450DE"/>
    <w:rPr>
      <w:rFonts w:ascii="Calibri" w:eastAsia="Times New Roman" w:hAnsi="Calibri" w:cs="Times New Roman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5450D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TI</cp:lastModifiedBy>
  <cp:revision>24</cp:revision>
  <cp:lastPrinted>2026-01-26T11:05:00Z</cp:lastPrinted>
  <dcterms:created xsi:type="dcterms:W3CDTF">2020-12-15T08:38:00Z</dcterms:created>
  <dcterms:modified xsi:type="dcterms:W3CDTF">2026-01-26T11:06:00Z</dcterms:modified>
</cp:coreProperties>
</file>