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FCF5E9B" w14:textId="621B721C" w:rsidR="00132402" w:rsidRPr="00132402" w:rsidRDefault="00132402" w:rsidP="00132402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>
        <w:rPr>
          <w:rFonts w:ascii="Tahoma" w:hAnsi="Tahoma"/>
          <w:lang w:val="en-US"/>
        </w:rPr>
        <w:tab/>
      </w:r>
      <w:bookmarkStart w:id="0" w:name="_Hlk149118016"/>
      <w:bookmarkStart w:id="1" w:name="_Hlk149118076"/>
      <w:r w:rsidRPr="00132402">
        <w:rPr>
          <w:noProof/>
          <w:sz w:val="24"/>
          <w:szCs w:val="24"/>
          <w:lang w:val="uk-UA" w:eastAsia="uk-UA"/>
        </w:rPr>
        <w:drawing>
          <wp:inline distT="0" distB="0" distL="0" distR="0" wp14:anchorId="2129E8A9" wp14:editId="6874C0F5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3787" w14:textId="77777777" w:rsidR="00132402" w:rsidRPr="00132402" w:rsidRDefault="00132402" w:rsidP="0013240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13240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45F7FA01" w14:textId="77777777" w:rsidR="00132402" w:rsidRPr="00132402" w:rsidRDefault="00132402" w:rsidP="0013240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13240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553EC889" w14:textId="77777777" w:rsidR="00132402" w:rsidRPr="00132402" w:rsidRDefault="00132402" w:rsidP="0013240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13240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13240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13240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13240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13240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13240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64A0173E" w14:textId="77777777" w:rsidR="00132402" w:rsidRPr="00132402" w:rsidRDefault="00132402" w:rsidP="00132402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13240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6CA89FCE" w14:textId="77777777" w:rsidR="00132402" w:rsidRPr="00132402" w:rsidRDefault="00132402" w:rsidP="00132402">
      <w:pPr>
        <w:suppressAutoHyphens/>
        <w:jc w:val="center"/>
        <w:rPr>
          <w:sz w:val="24"/>
          <w:szCs w:val="24"/>
          <w:lang w:val="ru-RU" w:eastAsia="zh-CN"/>
        </w:rPr>
      </w:pPr>
      <w:r w:rsidRPr="00132402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132402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132402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1C078C76" w14:textId="7A2488E4" w:rsidR="00132402" w:rsidRPr="00132402" w:rsidRDefault="00132402" w:rsidP="00132402">
      <w:pPr>
        <w:suppressAutoHyphens/>
        <w:rPr>
          <w:sz w:val="24"/>
          <w:szCs w:val="24"/>
          <w:lang w:eastAsia="zh-CN"/>
        </w:rPr>
      </w:pPr>
      <w:r w:rsidRPr="00132402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35731C" wp14:editId="388C51A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EDFB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132402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8DD4D0" wp14:editId="7C1DBED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E79C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132402">
        <w:rPr>
          <w:b/>
          <w:sz w:val="36"/>
          <w:szCs w:val="36"/>
          <w:lang w:val="ru-RU" w:eastAsia="zh-CN"/>
        </w:rPr>
        <w:t xml:space="preserve">     </w:t>
      </w:r>
      <w:r w:rsidRPr="00132402">
        <w:rPr>
          <w:b/>
          <w:sz w:val="36"/>
          <w:szCs w:val="36"/>
          <w:lang w:eastAsia="zh-CN"/>
        </w:rPr>
        <w:t>30</w:t>
      </w:r>
      <w:r w:rsidRPr="00132402">
        <w:rPr>
          <w:b/>
          <w:sz w:val="36"/>
          <w:szCs w:val="36"/>
          <w:lang w:val="ru-RU" w:eastAsia="zh-CN"/>
        </w:rPr>
        <w:t>.</w:t>
      </w:r>
      <w:r w:rsidRPr="00132402">
        <w:rPr>
          <w:b/>
          <w:sz w:val="36"/>
          <w:szCs w:val="36"/>
          <w:lang w:eastAsia="zh-CN"/>
        </w:rPr>
        <w:t>01</w:t>
      </w:r>
      <w:r w:rsidRPr="00132402">
        <w:rPr>
          <w:b/>
          <w:sz w:val="36"/>
          <w:szCs w:val="36"/>
          <w:lang w:val="ru-RU" w:eastAsia="zh-CN"/>
        </w:rPr>
        <w:t>.202</w:t>
      </w:r>
      <w:r w:rsidRPr="00132402">
        <w:rPr>
          <w:b/>
          <w:sz w:val="36"/>
          <w:szCs w:val="36"/>
          <w:lang w:eastAsia="zh-CN"/>
        </w:rPr>
        <w:t>6</w:t>
      </w:r>
      <w:r w:rsidRPr="00132402">
        <w:rPr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132402">
        <w:rPr>
          <w:b/>
          <w:sz w:val="36"/>
          <w:szCs w:val="36"/>
          <w:lang w:eastAsia="zh-CN"/>
        </w:rPr>
        <w:t xml:space="preserve"> </w:t>
      </w:r>
      <w:bookmarkEnd w:id="0"/>
      <w:r w:rsidRPr="00132402">
        <w:rPr>
          <w:b/>
          <w:sz w:val="36"/>
          <w:szCs w:val="36"/>
          <w:lang w:eastAsia="zh-CN"/>
        </w:rPr>
        <w:t xml:space="preserve">  16</w:t>
      </w:r>
    </w:p>
    <w:bookmarkEnd w:id="1"/>
    <w:p w14:paraId="1C759D73" w14:textId="44BEF585" w:rsidR="009E2DC9" w:rsidRPr="00DD7912" w:rsidRDefault="00F04F01" w:rsidP="00132402">
      <w:pPr>
        <w:ind w:right="45"/>
        <w:rPr>
          <w:sz w:val="24"/>
        </w:rPr>
      </w:pPr>
      <w:r w:rsidRPr="00D17209">
        <w:rPr>
          <w:rFonts w:ascii="Tahoma" w:hAnsi="Tahoma"/>
        </w:rPr>
        <w:t xml:space="preserve">                               </w:t>
      </w:r>
    </w:p>
    <w:p w14:paraId="721DF297" w14:textId="0ABC0A72" w:rsidR="00DD7912" w:rsidRPr="00DD7912" w:rsidRDefault="00DD7912" w:rsidP="00977C94">
      <w:pPr>
        <w:ind w:right="5007"/>
        <w:jc w:val="both"/>
        <w:rPr>
          <w:sz w:val="24"/>
        </w:rPr>
      </w:pPr>
      <w:r w:rsidRPr="00DD7912">
        <w:rPr>
          <w:sz w:val="24"/>
        </w:rPr>
        <w:t xml:space="preserve">Про надання  </w:t>
      </w:r>
      <w:r w:rsidR="00977C94">
        <w:rPr>
          <w:sz w:val="24"/>
        </w:rPr>
        <w:t>Товариству з обмеженою відповідальністю «Іллічівське плодоовочеве підприємство</w:t>
      </w:r>
      <w:r w:rsidR="00424979">
        <w:rPr>
          <w:sz w:val="24"/>
        </w:rPr>
        <w:t>»</w:t>
      </w:r>
      <w:r w:rsidR="002E2A89" w:rsidRPr="002E2A89">
        <w:rPr>
          <w:sz w:val="24"/>
        </w:rPr>
        <w:t xml:space="preserve"> </w:t>
      </w:r>
      <w:r w:rsidRPr="00DD7912">
        <w:rPr>
          <w:sz w:val="24"/>
        </w:rPr>
        <w:t>дозвол</w:t>
      </w:r>
      <w:r w:rsidR="00977C94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</w:t>
      </w:r>
      <w:r w:rsidR="00EC31E8">
        <w:rPr>
          <w:sz w:val="24"/>
        </w:rPr>
        <w:t xml:space="preserve">типу «Сіті-лайт» </w:t>
      </w:r>
      <w:r w:rsidR="00977C94">
        <w:rPr>
          <w:sz w:val="24"/>
        </w:rPr>
        <w:t xml:space="preserve">по </w:t>
      </w:r>
      <w:r w:rsidR="00573646">
        <w:rPr>
          <w:sz w:val="24"/>
        </w:rPr>
        <w:t xml:space="preserve">    </w:t>
      </w:r>
      <w:r w:rsidR="00977C94">
        <w:rPr>
          <w:sz w:val="24"/>
        </w:rPr>
        <w:t xml:space="preserve">вул. Захисників України, 3 у </w:t>
      </w:r>
      <w:r w:rsidR="00573646">
        <w:rPr>
          <w:sz w:val="24"/>
        </w:rPr>
        <w:t xml:space="preserve">                                          </w:t>
      </w:r>
      <w:r w:rsidRPr="00DD7912">
        <w:rPr>
          <w:sz w:val="24"/>
        </w:rPr>
        <w:t>м.</w:t>
      </w:r>
      <w:r w:rsidR="00EC31E8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</w:rPr>
      </w:pPr>
      <w:bookmarkStart w:id="2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</w:rPr>
      </w:pPr>
    </w:p>
    <w:p w14:paraId="73283BAB" w14:textId="524BBCB9" w:rsidR="008D61FC" w:rsidRDefault="008D61FC" w:rsidP="00BD20CA">
      <w:pPr>
        <w:ind w:right="45"/>
        <w:jc w:val="both"/>
        <w:rPr>
          <w:sz w:val="24"/>
        </w:rPr>
      </w:pPr>
      <w:r>
        <w:rPr>
          <w:sz w:val="24"/>
        </w:rPr>
        <w:t xml:space="preserve">      </w:t>
      </w:r>
      <w:r w:rsidRPr="00DD7912">
        <w:rPr>
          <w:sz w:val="24"/>
        </w:rPr>
        <w:t xml:space="preserve">    </w:t>
      </w:r>
      <w:r>
        <w:rPr>
          <w:sz w:val="24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</w:rPr>
        <w:t>а</w:t>
      </w:r>
      <w:r>
        <w:rPr>
          <w:sz w:val="24"/>
        </w:rPr>
        <w:t xml:space="preserve"> заяв</w:t>
      </w:r>
      <w:r w:rsidR="00C71CA2">
        <w:rPr>
          <w:sz w:val="24"/>
        </w:rPr>
        <w:t>а</w:t>
      </w:r>
      <w:r>
        <w:rPr>
          <w:sz w:val="24"/>
        </w:rPr>
        <w:t xml:space="preserve"> від</w:t>
      </w:r>
      <w:r w:rsidRPr="00996C0D">
        <w:rPr>
          <w:sz w:val="24"/>
        </w:rPr>
        <w:t xml:space="preserve"> </w:t>
      </w:r>
      <w:r w:rsidR="00977C94">
        <w:rPr>
          <w:sz w:val="24"/>
        </w:rPr>
        <w:t>Товариства з обмеженою відповідальністю «Іллічівське плодоовочеве підприємство»</w:t>
      </w:r>
      <w:r w:rsidR="009201B0" w:rsidRPr="00996C0D">
        <w:rPr>
          <w:sz w:val="24"/>
        </w:rPr>
        <w:t xml:space="preserve"> про надання </w:t>
      </w:r>
      <w:r>
        <w:rPr>
          <w:sz w:val="24"/>
        </w:rPr>
        <w:t xml:space="preserve">нового </w:t>
      </w:r>
      <w:r w:rsidR="009201B0" w:rsidRPr="00996C0D">
        <w:rPr>
          <w:sz w:val="24"/>
        </w:rPr>
        <w:t>дозвол</w:t>
      </w:r>
      <w:r w:rsidR="00977C94">
        <w:rPr>
          <w:sz w:val="24"/>
        </w:rPr>
        <w:t>у</w:t>
      </w:r>
      <w:r w:rsidR="009201B0" w:rsidRPr="00996C0D">
        <w:rPr>
          <w:sz w:val="24"/>
        </w:rPr>
        <w:t xml:space="preserve"> на розміщення зовнішньої реклами</w:t>
      </w:r>
      <w:r w:rsidR="00C761A4">
        <w:rPr>
          <w:sz w:val="24"/>
        </w:rPr>
        <w:t xml:space="preserve"> – </w:t>
      </w:r>
      <w:r w:rsidR="007030D4">
        <w:rPr>
          <w:sz w:val="24"/>
        </w:rPr>
        <w:t>д</w:t>
      </w:r>
      <w:r w:rsidR="007030D4" w:rsidRPr="007030D4">
        <w:rPr>
          <w:sz w:val="24"/>
        </w:rPr>
        <w:t>восторонн</w:t>
      </w:r>
      <w:r w:rsidR="00977C94">
        <w:rPr>
          <w:sz w:val="24"/>
        </w:rPr>
        <w:t>ього</w:t>
      </w:r>
      <w:r w:rsidR="007030D4" w:rsidRPr="007030D4">
        <w:rPr>
          <w:sz w:val="24"/>
        </w:rPr>
        <w:t xml:space="preserve">  рекламн</w:t>
      </w:r>
      <w:r w:rsidR="00977C94">
        <w:rPr>
          <w:sz w:val="24"/>
        </w:rPr>
        <w:t>ого</w:t>
      </w:r>
      <w:r w:rsidR="007030D4" w:rsidRPr="007030D4">
        <w:rPr>
          <w:sz w:val="24"/>
        </w:rPr>
        <w:t xml:space="preserve"> щит</w:t>
      </w:r>
      <w:r w:rsidR="00977C94">
        <w:rPr>
          <w:sz w:val="24"/>
        </w:rPr>
        <w:t>а</w:t>
      </w:r>
      <w:r w:rsidR="007030D4" w:rsidRPr="007030D4">
        <w:rPr>
          <w:sz w:val="24"/>
        </w:rPr>
        <w:t xml:space="preserve"> типу «</w:t>
      </w:r>
      <w:r w:rsidR="0070385F">
        <w:rPr>
          <w:sz w:val="24"/>
        </w:rPr>
        <w:t>С</w:t>
      </w:r>
      <w:r w:rsidR="007030D4" w:rsidRPr="007030D4">
        <w:rPr>
          <w:sz w:val="24"/>
        </w:rPr>
        <w:t>іті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 xml:space="preserve">- </w:t>
      </w:r>
      <w:proofErr w:type="spellStart"/>
      <w:r w:rsidR="007030D4" w:rsidRPr="007030D4">
        <w:rPr>
          <w:sz w:val="24"/>
        </w:rPr>
        <w:t>лайт</w:t>
      </w:r>
      <w:proofErr w:type="spellEnd"/>
      <w:r w:rsidR="007030D4" w:rsidRPr="007030D4">
        <w:rPr>
          <w:sz w:val="24"/>
        </w:rPr>
        <w:t>»  розміром 1.</w:t>
      </w:r>
      <w:r w:rsidR="00424979">
        <w:rPr>
          <w:sz w:val="24"/>
        </w:rPr>
        <w:t>2</w:t>
      </w:r>
      <w:r w:rsidR="007030D4" w:rsidRPr="007030D4">
        <w:rPr>
          <w:sz w:val="24"/>
        </w:rPr>
        <w:t xml:space="preserve"> х </w:t>
      </w:r>
      <w:r w:rsidR="0070385F">
        <w:rPr>
          <w:sz w:val="24"/>
        </w:rPr>
        <w:t>1</w:t>
      </w:r>
      <w:r w:rsidR="007030D4" w:rsidRPr="007030D4">
        <w:rPr>
          <w:sz w:val="24"/>
        </w:rPr>
        <w:t>.</w:t>
      </w:r>
      <w:r w:rsidR="00424979">
        <w:rPr>
          <w:sz w:val="24"/>
        </w:rPr>
        <w:t>8</w:t>
      </w:r>
      <w:r w:rsidR="007030D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 xml:space="preserve">(h) </w:t>
      </w:r>
      <w:r w:rsidR="00424979">
        <w:rPr>
          <w:sz w:val="24"/>
        </w:rPr>
        <w:t xml:space="preserve">по </w:t>
      </w:r>
      <w:r w:rsidR="00081ED1">
        <w:rPr>
          <w:sz w:val="24"/>
        </w:rPr>
        <w:t xml:space="preserve">                                    </w:t>
      </w:r>
      <w:r w:rsidR="00424979">
        <w:rPr>
          <w:sz w:val="24"/>
        </w:rPr>
        <w:t xml:space="preserve">вул. Захисників України, 3 </w:t>
      </w:r>
      <w:r w:rsidR="00824A53">
        <w:rPr>
          <w:sz w:val="24"/>
        </w:rPr>
        <w:t>у</w:t>
      </w:r>
      <w:r w:rsidR="00424979">
        <w:rPr>
          <w:sz w:val="24"/>
        </w:rPr>
        <w:t xml:space="preserve"> м. </w:t>
      </w:r>
      <w:r w:rsidR="00824A53">
        <w:rPr>
          <w:sz w:val="24"/>
        </w:rPr>
        <w:t>Чорноморську Одеського району Одеської області</w:t>
      </w:r>
      <w:r>
        <w:rPr>
          <w:sz w:val="24"/>
        </w:rPr>
        <w:t>.</w:t>
      </w:r>
    </w:p>
    <w:p w14:paraId="2059F159" w14:textId="1F23C4F7" w:rsidR="008D61FC" w:rsidRDefault="008D61FC" w:rsidP="00BD20CA">
      <w:pPr>
        <w:ind w:right="45" w:firstLine="709"/>
        <w:jc w:val="both"/>
        <w:rPr>
          <w:sz w:val="24"/>
        </w:rPr>
      </w:pPr>
      <w:r>
        <w:rPr>
          <w:sz w:val="24"/>
        </w:rPr>
        <w:t>Розміщення  вказан</w:t>
      </w:r>
      <w:r w:rsidR="00C71CA2">
        <w:rPr>
          <w:sz w:val="24"/>
        </w:rPr>
        <w:t>ого</w:t>
      </w:r>
      <w:r>
        <w:rPr>
          <w:sz w:val="24"/>
        </w:rPr>
        <w:t xml:space="preserve"> рекламн</w:t>
      </w:r>
      <w:r w:rsidR="00C71CA2">
        <w:rPr>
          <w:sz w:val="24"/>
        </w:rPr>
        <w:t>ого</w:t>
      </w:r>
      <w:r>
        <w:rPr>
          <w:sz w:val="24"/>
        </w:rPr>
        <w:t xml:space="preserve"> щит</w:t>
      </w:r>
      <w:r w:rsidR="00C71CA2">
        <w:rPr>
          <w:sz w:val="24"/>
        </w:rPr>
        <w:t>а</w:t>
      </w:r>
      <w:r>
        <w:rPr>
          <w:sz w:val="24"/>
        </w:rPr>
        <w:t xml:space="preserve"> бул</w:t>
      </w:r>
      <w:r w:rsidR="000873EF">
        <w:rPr>
          <w:sz w:val="24"/>
        </w:rPr>
        <w:t>о</w:t>
      </w:r>
      <w:r>
        <w:rPr>
          <w:sz w:val="24"/>
        </w:rPr>
        <w:t xml:space="preserve"> затверджено рішенням виконавчого комітету Чорноморської міської ради Одеського району Одеської області від 21.01.2021                № 6 та узгоджено Департаментом патрульної поліції Управління патрульної поліції в Одеській області, та підприємствами-утримувачами інженерних-комунікацій.</w:t>
      </w:r>
    </w:p>
    <w:p w14:paraId="358CB6E1" w14:textId="145AD638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>Відповідно до листа фінансового управління Чорноморської міської ради Одеського району Одеської області від 30.12.2025 № Внутр-15054-2025 станом на 29.12.2025 у Товариства з обмеженою відповідальністю «Іллічівське плодоовочеве підприємство» відсутня заборгованість щодо виконання договірних обов’язків на користь бюджету                             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72509D84" w14:textId="77777777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На підставі викладеного та  </w:t>
      </w:r>
      <w:r w:rsidRPr="00DD7912">
        <w:rPr>
          <w:sz w:val="24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Pr="0016338A">
        <w:rPr>
          <w:sz w:val="24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</w:rPr>
      </w:pPr>
    </w:p>
    <w:bookmarkEnd w:id="2"/>
    <w:p w14:paraId="1DB4D836" w14:textId="601581E4" w:rsidR="00DD7912" w:rsidRDefault="00310048" w:rsidP="00DD7912">
      <w:pPr>
        <w:ind w:right="45"/>
        <w:jc w:val="center"/>
        <w:rPr>
          <w:sz w:val="24"/>
        </w:rPr>
      </w:pPr>
      <w:r>
        <w:rPr>
          <w:sz w:val="24"/>
        </w:rPr>
        <w:t xml:space="preserve"> </w:t>
      </w:r>
      <w:r w:rsidR="00DD7912" w:rsidRPr="00310048">
        <w:rPr>
          <w:sz w:val="24"/>
        </w:rPr>
        <w:t>виконавчий комітет Чорноморської міської ради Одеського району Одеської області 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</w:rPr>
      </w:pPr>
    </w:p>
    <w:p w14:paraId="71F3B369" w14:textId="393B187B" w:rsidR="00F42C74" w:rsidRDefault="00DD7912" w:rsidP="00B95E8A">
      <w:pPr>
        <w:tabs>
          <w:tab w:val="left" w:pos="426"/>
        </w:tabs>
        <w:ind w:right="45"/>
        <w:jc w:val="both"/>
        <w:rPr>
          <w:sz w:val="24"/>
        </w:rPr>
      </w:pPr>
      <w:r w:rsidRPr="00DD7912">
        <w:rPr>
          <w:sz w:val="24"/>
        </w:rPr>
        <w:t xml:space="preserve">         1. Надати </w:t>
      </w:r>
      <w:r w:rsidR="00424979">
        <w:rPr>
          <w:sz w:val="24"/>
        </w:rPr>
        <w:t xml:space="preserve">Товариству з обмеженою відповідальністю «Іллічівське плодоовочеве підприємство» </w:t>
      </w:r>
      <w:r w:rsidRPr="00DD7912">
        <w:rPr>
          <w:sz w:val="24"/>
        </w:rPr>
        <w:t>дозвол</w:t>
      </w:r>
      <w:r w:rsidR="00424979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</w:t>
      </w:r>
      <w:r w:rsidR="00CC1CE4">
        <w:rPr>
          <w:sz w:val="24"/>
        </w:rPr>
        <w:t xml:space="preserve"> – двосторонн</w:t>
      </w:r>
      <w:r w:rsidR="00424979">
        <w:rPr>
          <w:sz w:val="24"/>
        </w:rPr>
        <w:t>ього</w:t>
      </w:r>
      <w:r w:rsidR="00CC1CE4">
        <w:rPr>
          <w:sz w:val="24"/>
        </w:rPr>
        <w:t xml:space="preserve"> рекламн</w:t>
      </w:r>
      <w:r w:rsidR="00424979">
        <w:rPr>
          <w:sz w:val="24"/>
        </w:rPr>
        <w:t>ого</w:t>
      </w:r>
      <w:r w:rsidR="00CC1CE4">
        <w:rPr>
          <w:sz w:val="24"/>
        </w:rPr>
        <w:t xml:space="preserve"> щит</w:t>
      </w:r>
      <w:r w:rsidR="00424979">
        <w:rPr>
          <w:sz w:val="24"/>
        </w:rPr>
        <w:t>а</w:t>
      </w:r>
      <w:r w:rsidR="00CC1CE4">
        <w:rPr>
          <w:sz w:val="24"/>
        </w:rPr>
        <w:t xml:space="preserve"> типу «Сіті-лайт»</w:t>
      </w:r>
      <w:r w:rsidRPr="00DD7912">
        <w:rPr>
          <w:sz w:val="24"/>
        </w:rPr>
        <w:t xml:space="preserve"> </w:t>
      </w:r>
      <w:r w:rsidR="00CC1CE4" w:rsidRPr="007030D4">
        <w:rPr>
          <w:sz w:val="24"/>
        </w:rPr>
        <w:t>розміром 1.</w:t>
      </w:r>
      <w:r w:rsidR="00424979">
        <w:rPr>
          <w:sz w:val="24"/>
        </w:rPr>
        <w:t>2</w:t>
      </w:r>
      <w:r w:rsidR="00CC1CE4" w:rsidRPr="007030D4">
        <w:rPr>
          <w:sz w:val="24"/>
        </w:rPr>
        <w:t xml:space="preserve"> х </w:t>
      </w:r>
      <w:r w:rsidR="00CC1CE4">
        <w:rPr>
          <w:sz w:val="24"/>
        </w:rPr>
        <w:t>1</w:t>
      </w:r>
      <w:r w:rsidR="00CC1CE4" w:rsidRPr="007030D4">
        <w:rPr>
          <w:sz w:val="24"/>
        </w:rPr>
        <w:t>.</w:t>
      </w:r>
      <w:r w:rsidR="00424979">
        <w:rPr>
          <w:sz w:val="24"/>
        </w:rPr>
        <w:t>8</w:t>
      </w:r>
      <w:r w:rsidR="00CC1CE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CC1CE4" w:rsidRPr="007030D4">
        <w:rPr>
          <w:sz w:val="24"/>
        </w:rPr>
        <w:t>(h)</w:t>
      </w:r>
      <w:r w:rsidR="00CC1CE4">
        <w:rPr>
          <w:sz w:val="24"/>
        </w:rPr>
        <w:t xml:space="preserve"> (площа місця тимчасового </w:t>
      </w:r>
      <w:r w:rsidR="00977C36">
        <w:rPr>
          <w:sz w:val="24"/>
        </w:rPr>
        <w:t xml:space="preserve">користування – </w:t>
      </w:r>
      <w:r w:rsidR="00424979">
        <w:rPr>
          <w:sz w:val="24"/>
        </w:rPr>
        <w:t xml:space="preserve">                 </w:t>
      </w:r>
      <w:r w:rsidR="00977C36">
        <w:rPr>
          <w:sz w:val="24"/>
        </w:rPr>
        <w:lastRenderedPageBreak/>
        <w:t xml:space="preserve">2, </w:t>
      </w:r>
      <w:r w:rsidR="00424979">
        <w:rPr>
          <w:sz w:val="24"/>
        </w:rPr>
        <w:t>64</w:t>
      </w:r>
      <w:r w:rsidR="00977C36">
        <w:rPr>
          <w:sz w:val="24"/>
        </w:rPr>
        <w:t xml:space="preserve"> м2</w:t>
      </w:r>
      <w:r w:rsidR="00CC1CE4">
        <w:rPr>
          <w:sz w:val="24"/>
        </w:rPr>
        <w:t>)</w:t>
      </w:r>
      <w:r w:rsidR="00977C36" w:rsidRPr="00977C36">
        <w:rPr>
          <w:sz w:val="24"/>
        </w:rPr>
        <w:t xml:space="preserve"> </w:t>
      </w:r>
      <w:r w:rsidR="00977C36" w:rsidRPr="00310048">
        <w:rPr>
          <w:sz w:val="24"/>
        </w:rPr>
        <w:t>строком на  п’ять років</w:t>
      </w:r>
      <w:r w:rsidR="00977C36" w:rsidRPr="00DD7912">
        <w:rPr>
          <w:sz w:val="24"/>
        </w:rPr>
        <w:t xml:space="preserve"> </w:t>
      </w:r>
      <w:r w:rsidR="00424979">
        <w:rPr>
          <w:sz w:val="24"/>
        </w:rPr>
        <w:t xml:space="preserve">по вул. Захисників України, 3 </w:t>
      </w:r>
      <w:r w:rsidRPr="00DD7912">
        <w:rPr>
          <w:sz w:val="24"/>
        </w:rPr>
        <w:t>у м.</w:t>
      </w:r>
      <w:r w:rsidR="00CC1CE4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</w:t>
      </w:r>
      <w:r w:rsidR="002924CC">
        <w:rPr>
          <w:sz w:val="24"/>
        </w:rPr>
        <w:t>і</w:t>
      </w:r>
      <w:r w:rsidR="00573646">
        <w:rPr>
          <w:sz w:val="24"/>
        </w:rPr>
        <w:t>.</w:t>
      </w:r>
    </w:p>
    <w:p w14:paraId="351B9E02" w14:textId="1FA2225B" w:rsidR="00034DA9" w:rsidRDefault="00F42C74" w:rsidP="00F42C74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63FE4C9B" w14:textId="61E5B005" w:rsidR="00DD7912" w:rsidRDefault="00034DA9" w:rsidP="00B95E8A">
      <w:pPr>
        <w:tabs>
          <w:tab w:val="left" w:pos="426"/>
        </w:tabs>
        <w:ind w:right="45"/>
        <w:jc w:val="both"/>
        <w:rPr>
          <w:sz w:val="24"/>
        </w:rPr>
      </w:pPr>
      <w:r>
        <w:rPr>
          <w:sz w:val="24"/>
        </w:rPr>
        <w:t xml:space="preserve">       </w:t>
      </w:r>
      <w:r w:rsidR="00DD7912" w:rsidRPr="00DD7912">
        <w:rPr>
          <w:sz w:val="24"/>
        </w:rPr>
        <w:t xml:space="preserve">  2. </w:t>
      </w:r>
      <w:r w:rsidR="00424979">
        <w:rPr>
          <w:sz w:val="24"/>
        </w:rPr>
        <w:t>Товариству з обмеженою відповідальністю «Іллічівське плодоовочеве підприємство»</w:t>
      </w:r>
      <w:r w:rsidR="00794E1D" w:rsidRPr="00794E1D">
        <w:rPr>
          <w:sz w:val="24"/>
        </w:rPr>
        <w:t xml:space="preserve"> </w:t>
      </w:r>
      <w:r w:rsidR="00DD7912" w:rsidRPr="00DD7912">
        <w:rPr>
          <w:sz w:val="24"/>
        </w:rPr>
        <w:t>після отримання дозвол</w:t>
      </w:r>
      <w:r w:rsidR="00424979">
        <w:rPr>
          <w:sz w:val="24"/>
        </w:rPr>
        <w:t>у</w:t>
      </w:r>
      <w:r w:rsidR="00DD7912" w:rsidRPr="00DD7912">
        <w:rPr>
          <w:sz w:val="24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 w:rsidR="00424979">
        <w:rPr>
          <w:sz w:val="24"/>
        </w:rPr>
        <w:t>у</w:t>
      </w:r>
      <w:r w:rsidR="00DD7912" w:rsidRPr="00DD7912">
        <w:rPr>
          <w:sz w:val="24"/>
        </w:rPr>
        <w:t xml:space="preserve"> тимчасового користування місц</w:t>
      </w:r>
      <w:r w:rsidR="00424979">
        <w:rPr>
          <w:sz w:val="24"/>
        </w:rPr>
        <w:t>ем</w:t>
      </w:r>
      <w:r w:rsidR="00DD7912" w:rsidRPr="00DD7912">
        <w:rPr>
          <w:sz w:val="24"/>
        </w:rPr>
        <w:t>, що знаход</w:t>
      </w:r>
      <w:r w:rsidR="00424979">
        <w:rPr>
          <w:sz w:val="24"/>
        </w:rPr>
        <w:t>и</w:t>
      </w:r>
      <w:r w:rsidR="00DD7912" w:rsidRPr="00DD7912">
        <w:rPr>
          <w:sz w:val="24"/>
        </w:rPr>
        <w:t xml:space="preserve">ться в комунальній власності  Чорноморської  міської   ради Одеського району Одеської області, </w:t>
      </w:r>
      <w:r w:rsidR="00573646">
        <w:rPr>
          <w:sz w:val="24"/>
        </w:rPr>
        <w:t>для</w:t>
      </w:r>
      <w:r w:rsidR="00DD7912" w:rsidRPr="00DD7912">
        <w:rPr>
          <w:sz w:val="24"/>
        </w:rPr>
        <w:t xml:space="preserve"> розташування рекламн</w:t>
      </w:r>
      <w:r w:rsidR="00424979">
        <w:rPr>
          <w:sz w:val="24"/>
        </w:rPr>
        <w:t>ого</w:t>
      </w:r>
      <w:r w:rsidR="00DD7912" w:rsidRPr="00DD7912">
        <w:rPr>
          <w:sz w:val="24"/>
        </w:rPr>
        <w:t xml:space="preserve"> засоб</w:t>
      </w:r>
      <w:r w:rsidR="00424979">
        <w:rPr>
          <w:sz w:val="24"/>
        </w:rPr>
        <w:t>у</w:t>
      </w:r>
      <w:r w:rsidR="00DD7912" w:rsidRPr="00DD7912">
        <w:rPr>
          <w:sz w:val="24"/>
        </w:rPr>
        <w:t xml:space="preserve">.   </w:t>
      </w:r>
    </w:p>
    <w:p w14:paraId="7B25A29B" w14:textId="6DDC16AE" w:rsidR="00BE3B75" w:rsidRDefault="00BE3B75" w:rsidP="00B95E8A">
      <w:pPr>
        <w:tabs>
          <w:tab w:val="left" w:pos="426"/>
        </w:tabs>
        <w:ind w:right="45"/>
        <w:jc w:val="both"/>
        <w:rPr>
          <w:sz w:val="24"/>
        </w:rPr>
      </w:pPr>
    </w:p>
    <w:p w14:paraId="2F5F1383" w14:textId="470EEC39" w:rsidR="00BE3B75" w:rsidRDefault="00BE3B75" w:rsidP="00B95E8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  3. </w:t>
      </w:r>
      <w:r w:rsidR="00424979">
        <w:rPr>
          <w:sz w:val="24"/>
        </w:rPr>
        <w:t>Товариству з обмеженою відповідальністю «Іллічівське плодоовочеве підприємство»</w:t>
      </w:r>
      <w:r w:rsidR="006926A5" w:rsidRPr="00794E1D">
        <w:rPr>
          <w:sz w:val="24"/>
        </w:rPr>
        <w:t xml:space="preserve"> </w:t>
      </w:r>
      <w:r w:rsidRPr="00BE3B75">
        <w:rPr>
          <w:sz w:val="24"/>
          <w:szCs w:val="24"/>
        </w:rPr>
        <w:t>забезпечити реклам</w:t>
      </w:r>
      <w:r w:rsidR="00573646">
        <w:rPr>
          <w:sz w:val="24"/>
          <w:szCs w:val="24"/>
        </w:rPr>
        <w:t>ний</w:t>
      </w:r>
      <w:r w:rsidRPr="00BE3B75">
        <w:rPr>
          <w:sz w:val="24"/>
          <w:szCs w:val="24"/>
        </w:rPr>
        <w:t xml:space="preserve"> зас</w:t>
      </w:r>
      <w:r w:rsidR="00573646">
        <w:rPr>
          <w:sz w:val="24"/>
          <w:szCs w:val="24"/>
        </w:rPr>
        <w:t>іб</w:t>
      </w:r>
      <w:r w:rsidRPr="00BE3B75">
        <w:rPr>
          <w:sz w:val="24"/>
          <w:szCs w:val="24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</w:rPr>
        <w:t>.</w:t>
      </w:r>
    </w:p>
    <w:p w14:paraId="228910F7" w14:textId="4A867AEC" w:rsidR="00BD20CA" w:rsidRDefault="000E1F81" w:rsidP="00B95E8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426871A" w14:textId="5EBEC84A" w:rsidR="000E1F81" w:rsidRPr="00411297" w:rsidRDefault="000E1F81" w:rsidP="000E1F81">
      <w:pPr>
        <w:tabs>
          <w:tab w:val="left" w:pos="426"/>
        </w:tabs>
        <w:ind w:right="45"/>
        <w:jc w:val="both"/>
      </w:pPr>
      <w:r>
        <w:rPr>
          <w:sz w:val="24"/>
          <w:szCs w:val="24"/>
        </w:rPr>
        <w:t xml:space="preserve">         4. Рекомендувати Товариству з обмеженою відповідальністю «Іллічівське плодоовочеве підприємство» </w:t>
      </w:r>
      <w:r w:rsidR="00A00FB5">
        <w:rPr>
          <w:sz w:val="24"/>
          <w:szCs w:val="24"/>
        </w:rPr>
        <w:t>привести назву підприємства у відповідність до вимог Закону України «</w:t>
      </w:r>
      <w:r w:rsidR="00A00FB5" w:rsidRPr="00A00FB5">
        <w:rPr>
          <w:color w:val="333333"/>
          <w:sz w:val="24"/>
          <w:szCs w:val="24"/>
          <w:shd w:val="clear" w:color="auto" w:fill="FFFFFF"/>
        </w:rPr>
        <w:t>Про засудження комуністичного та націонал-соціалістичного (нацистського) тоталітарних режимів в Україні та заборону пропаганди їхньої символіки</w:t>
      </w:r>
      <w:r w:rsidR="00A00FB5">
        <w:rPr>
          <w:sz w:val="24"/>
          <w:szCs w:val="24"/>
        </w:rPr>
        <w:t>»</w:t>
      </w:r>
      <w:r w:rsidR="00A00FB5">
        <w:rPr>
          <w:color w:val="333333"/>
          <w:sz w:val="24"/>
          <w:szCs w:val="24"/>
          <w:shd w:val="clear" w:color="auto" w:fill="FFFFFF"/>
        </w:rPr>
        <w:t>, шляхом її зміни (перейменування) у порядку, визначеному чинним законодавством України.</w:t>
      </w:r>
    </w:p>
    <w:p w14:paraId="1714AA79" w14:textId="77777777" w:rsidR="000E1F81" w:rsidRDefault="00DD7912" w:rsidP="00DD7912">
      <w:pPr>
        <w:ind w:right="45"/>
        <w:jc w:val="both"/>
        <w:rPr>
          <w:sz w:val="24"/>
        </w:rPr>
      </w:pPr>
      <w:r w:rsidRPr="00DD7912">
        <w:rPr>
          <w:sz w:val="24"/>
        </w:rPr>
        <w:t xml:space="preserve">        </w:t>
      </w:r>
    </w:p>
    <w:p w14:paraId="4BDC3A93" w14:textId="69A8CE70" w:rsidR="00DD7912" w:rsidRDefault="000E1F81" w:rsidP="000E1F81">
      <w:pPr>
        <w:tabs>
          <w:tab w:val="left" w:pos="567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DD7912" w:rsidRPr="00DD7912">
        <w:rPr>
          <w:sz w:val="24"/>
        </w:rPr>
        <w:t xml:space="preserve"> </w:t>
      </w:r>
      <w:r>
        <w:rPr>
          <w:sz w:val="24"/>
        </w:rPr>
        <w:t>5</w:t>
      </w:r>
      <w:r w:rsidR="00DD7912" w:rsidRPr="00DD7912">
        <w:rPr>
          <w:sz w:val="24"/>
        </w:rPr>
        <w:t xml:space="preserve">. </w:t>
      </w:r>
      <w:r w:rsidR="00B95E8A">
        <w:rPr>
          <w:sz w:val="24"/>
          <w:szCs w:val="24"/>
          <w:lang w:eastAsia="uk-UA" w:bidi="uk-UA"/>
        </w:rPr>
        <w:t xml:space="preserve">Контроль за виконанням цього рішення покласти на секретаря </w:t>
      </w:r>
      <w:r w:rsidR="00B95E8A">
        <w:rPr>
          <w:sz w:val="24"/>
          <w:szCs w:val="24"/>
        </w:rPr>
        <w:t xml:space="preserve">Чорноморської міської ради Олену </w:t>
      </w:r>
      <w:proofErr w:type="spellStart"/>
      <w:r w:rsidR="00B95E8A">
        <w:rPr>
          <w:sz w:val="24"/>
          <w:szCs w:val="24"/>
        </w:rPr>
        <w:t>Шолар</w:t>
      </w:r>
      <w:proofErr w:type="spellEnd"/>
      <w:r w:rsidR="00B95E8A">
        <w:rPr>
          <w:sz w:val="24"/>
          <w:szCs w:val="24"/>
        </w:rPr>
        <w:t>.</w:t>
      </w:r>
    </w:p>
    <w:p w14:paraId="1BC46D8A" w14:textId="77777777" w:rsidR="00BD20CA" w:rsidRPr="00BD20CA" w:rsidRDefault="00BD20CA" w:rsidP="00DD7912">
      <w:pPr>
        <w:ind w:right="45"/>
        <w:jc w:val="both"/>
        <w:rPr>
          <w:sz w:val="10"/>
          <w:szCs w:val="10"/>
        </w:rPr>
      </w:pP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14D0B45E" w14:textId="5935F4A4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05F7104C" w14:textId="77777777" w:rsidR="009743F9" w:rsidRDefault="009743F9" w:rsidP="00DD7912">
      <w:pPr>
        <w:ind w:right="45"/>
        <w:jc w:val="both"/>
        <w:rPr>
          <w:sz w:val="24"/>
          <w:szCs w:val="24"/>
        </w:rPr>
      </w:pPr>
    </w:p>
    <w:p w14:paraId="2A6DD725" w14:textId="77777777" w:rsidR="00042575" w:rsidRPr="00DD7912" w:rsidRDefault="00042575" w:rsidP="00DD7912">
      <w:pPr>
        <w:ind w:right="45"/>
        <w:jc w:val="both"/>
        <w:rPr>
          <w:sz w:val="24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</w:rPr>
      </w:pPr>
      <w:r w:rsidRPr="00DD7912">
        <w:rPr>
          <w:sz w:val="24"/>
        </w:rPr>
        <w:t xml:space="preserve"> </w:t>
      </w:r>
      <w:r>
        <w:rPr>
          <w:sz w:val="24"/>
        </w:rPr>
        <w:t xml:space="preserve">        </w:t>
      </w:r>
      <w:r w:rsidRPr="00DD7912">
        <w:rPr>
          <w:sz w:val="24"/>
        </w:rPr>
        <w:t xml:space="preserve">Міський голова                                                                                            </w:t>
      </w:r>
      <w:r w:rsidR="00042575">
        <w:rPr>
          <w:sz w:val="24"/>
        </w:rPr>
        <w:t xml:space="preserve"> </w:t>
      </w:r>
      <w:r w:rsidRPr="00DD7912">
        <w:rPr>
          <w:sz w:val="24"/>
        </w:rPr>
        <w:t xml:space="preserve">Василь ГУЛЯЄВ    </w:t>
      </w:r>
    </w:p>
    <w:sectPr w:rsidR="00EF3C2A" w:rsidRPr="00DD7912" w:rsidSect="00310048">
      <w:headerReference w:type="default" r:id="rId9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BB49" w14:textId="77777777" w:rsidR="002F28F7" w:rsidRDefault="002F28F7" w:rsidP="00EC49CF">
      <w:r>
        <w:separator/>
      </w:r>
    </w:p>
  </w:endnote>
  <w:endnote w:type="continuationSeparator" w:id="0">
    <w:p w14:paraId="7CDD5F18" w14:textId="77777777" w:rsidR="002F28F7" w:rsidRDefault="002F28F7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2DD5" w14:textId="77777777" w:rsidR="002F28F7" w:rsidRDefault="002F28F7" w:rsidP="00EC49CF">
      <w:r>
        <w:separator/>
      </w:r>
    </w:p>
  </w:footnote>
  <w:footnote w:type="continuationSeparator" w:id="0">
    <w:p w14:paraId="5E262DB7" w14:textId="77777777" w:rsidR="002F28F7" w:rsidRDefault="002F28F7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81ED1"/>
    <w:rsid w:val="000873EF"/>
    <w:rsid w:val="00091A30"/>
    <w:rsid w:val="00096BAF"/>
    <w:rsid w:val="000979AD"/>
    <w:rsid w:val="000A1FF4"/>
    <w:rsid w:val="000B417F"/>
    <w:rsid w:val="000C5913"/>
    <w:rsid w:val="000E1F81"/>
    <w:rsid w:val="000E455B"/>
    <w:rsid w:val="000F2381"/>
    <w:rsid w:val="000F60F4"/>
    <w:rsid w:val="000F63C6"/>
    <w:rsid w:val="00102127"/>
    <w:rsid w:val="00116850"/>
    <w:rsid w:val="00123632"/>
    <w:rsid w:val="00123914"/>
    <w:rsid w:val="00132402"/>
    <w:rsid w:val="00141A53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2F28F7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6F07"/>
    <w:rsid w:val="00411297"/>
    <w:rsid w:val="00413CBC"/>
    <w:rsid w:val="00424979"/>
    <w:rsid w:val="00425FD6"/>
    <w:rsid w:val="00426612"/>
    <w:rsid w:val="00460FFC"/>
    <w:rsid w:val="00462051"/>
    <w:rsid w:val="00472228"/>
    <w:rsid w:val="00477424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D61FC"/>
    <w:rsid w:val="008E2051"/>
    <w:rsid w:val="008E4607"/>
    <w:rsid w:val="008E53EE"/>
    <w:rsid w:val="0090025F"/>
    <w:rsid w:val="009012AD"/>
    <w:rsid w:val="00914BF4"/>
    <w:rsid w:val="009201B0"/>
    <w:rsid w:val="00937573"/>
    <w:rsid w:val="00944133"/>
    <w:rsid w:val="009520F2"/>
    <w:rsid w:val="00966198"/>
    <w:rsid w:val="009665BC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0FB5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92176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7F72"/>
    <w:rsid w:val="00D71649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30084"/>
    <w:rsid w:val="00E30E98"/>
    <w:rsid w:val="00E44421"/>
    <w:rsid w:val="00E52DCB"/>
    <w:rsid w:val="00E63F0F"/>
    <w:rsid w:val="00E67D0B"/>
    <w:rsid w:val="00E810C4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C02CD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  <w:rPr>
      <w:lang w:val="uk-UA"/>
    </w:rPr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229</TotalTime>
  <Pages>2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33</cp:revision>
  <cp:lastPrinted>2026-01-12T14:09:00Z</cp:lastPrinted>
  <dcterms:created xsi:type="dcterms:W3CDTF">2022-09-15T05:42:00Z</dcterms:created>
  <dcterms:modified xsi:type="dcterms:W3CDTF">2026-02-02T08:27:00Z</dcterms:modified>
</cp:coreProperties>
</file>