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E6D0D" w14:textId="77777777" w:rsidR="00BD412A" w:rsidRPr="007C770C" w:rsidRDefault="00BD412A" w:rsidP="00BD412A">
      <w:pPr>
        <w:ind w:left="5103"/>
        <w:jc w:val="center"/>
        <w:rPr>
          <w:rFonts w:ascii="Times New Roman" w:hAnsi="Times New Roman" w:cs="Times New Roman"/>
        </w:rPr>
      </w:pPr>
      <w:r w:rsidRPr="007C770C">
        <w:rPr>
          <w:rFonts w:ascii="Times New Roman" w:hAnsi="Times New Roman" w:cs="Times New Roman"/>
        </w:rPr>
        <w:t>Додаток</w:t>
      </w:r>
    </w:p>
    <w:p w14:paraId="3D1A52E8" w14:textId="420C5883" w:rsidR="00BD412A" w:rsidRPr="007C770C" w:rsidRDefault="00BD412A" w:rsidP="00BD412A">
      <w:pPr>
        <w:ind w:left="5103"/>
        <w:jc w:val="center"/>
        <w:rPr>
          <w:rFonts w:ascii="Times New Roman" w:hAnsi="Times New Roman" w:cs="Times New Roman"/>
        </w:rPr>
      </w:pPr>
      <w:r w:rsidRPr="007C770C">
        <w:rPr>
          <w:rFonts w:ascii="Times New Roman" w:hAnsi="Times New Roman" w:cs="Times New Roman"/>
        </w:rPr>
        <w:t xml:space="preserve">до рішення Чорноморської міської ради </w:t>
      </w:r>
    </w:p>
    <w:p w14:paraId="35EB5730" w14:textId="032A3324" w:rsidR="00BD412A" w:rsidRPr="007C770C" w:rsidRDefault="00BD412A" w:rsidP="00BD412A">
      <w:pPr>
        <w:ind w:left="5103"/>
        <w:jc w:val="center"/>
        <w:rPr>
          <w:rFonts w:ascii="Times New Roman" w:hAnsi="Times New Roman" w:cs="Times New Roman"/>
        </w:rPr>
      </w:pPr>
      <w:r w:rsidRPr="007C770C">
        <w:rPr>
          <w:rFonts w:ascii="Times New Roman" w:hAnsi="Times New Roman" w:cs="Times New Roman"/>
        </w:rPr>
        <w:t xml:space="preserve">від </w:t>
      </w:r>
      <w:r w:rsidR="005A5440" w:rsidRPr="007C770C">
        <w:rPr>
          <w:rFonts w:ascii="Times New Roman" w:hAnsi="Times New Roman" w:cs="Times New Roman"/>
        </w:rPr>
        <w:t>___.10.</w:t>
      </w:r>
      <w:r w:rsidRPr="007C770C">
        <w:rPr>
          <w:rFonts w:ascii="Times New Roman" w:hAnsi="Times New Roman" w:cs="Times New Roman"/>
        </w:rPr>
        <w:t>2026 року № _____</w:t>
      </w:r>
      <w:r w:rsidR="005A5440" w:rsidRPr="007C770C">
        <w:rPr>
          <w:rFonts w:ascii="Times New Roman" w:hAnsi="Times New Roman" w:cs="Times New Roman"/>
        </w:rPr>
        <w:t>-VIII</w:t>
      </w:r>
    </w:p>
    <w:p w14:paraId="207C9C2A" w14:textId="77777777" w:rsidR="00BD412A" w:rsidRPr="007C770C" w:rsidRDefault="00BD412A" w:rsidP="00BD412A">
      <w:pPr>
        <w:ind w:firstLine="709"/>
        <w:rPr>
          <w:rFonts w:ascii="Times New Roman" w:hAnsi="Times New Roman" w:cs="Times New Roman"/>
        </w:rPr>
      </w:pPr>
    </w:p>
    <w:p w14:paraId="677FB4EC" w14:textId="77777777" w:rsidR="00BD412A" w:rsidRPr="007C770C" w:rsidRDefault="00BD412A" w:rsidP="00BD412A">
      <w:pPr>
        <w:ind w:firstLine="709"/>
        <w:jc w:val="center"/>
        <w:rPr>
          <w:rFonts w:ascii="Times New Roman" w:hAnsi="Times New Roman" w:cs="Times New Roman"/>
        </w:rPr>
      </w:pPr>
    </w:p>
    <w:p w14:paraId="294CAE62" w14:textId="77777777" w:rsidR="00BD412A" w:rsidRPr="007C770C" w:rsidRDefault="00BD412A" w:rsidP="00BD412A">
      <w:pPr>
        <w:ind w:firstLine="709"/>
        <w:jc w:val="center"/>
        <w:rPr>
          <w:rFonts w:ascii="Times New Roman" w:hAnsi="Times New Roman" w:cs="Times New Roman"/>
          <w:b/>
          <w:bCs/>
        </w:rPr>
      </w:pPr>
      <w:r w:rsidRPr="007C770C">
        <w:rPr>
          <w:rFonts w:ascii="Times New Roman" w:hAnsi="Times New Roman" w:cs="Times New Roman"/>
          <w:b/>
          <w:bCs/>
        </w:rPr>
        <w:t>ЗВЕРНЕННЯ</w:t>
      </w:r>
    </w:p>
    <w:p w14:paraId="7DCAA79C" w14:textId="060CFCD6" w:rsidR="00BD412A" w:rsidRPr="001E046E" w:rsidRDefault="00BD412A" w:rsidP="00BD412A">
      <w:pPr>
        <w:ind w:firstLine="709"/>
        <w:jc w:val="center"/>
        <w:rPr>
          <w:rFonts w:ascii="Times New Roman" w:hAnsi="Times New Roman" w:cs="Times New Roman"/>
          <w:b/>
          <w:bCs/>
        </w:rPr>
      </w:pPr>
      <w:r w:rsidRPr="001E046E">
        <w:rPr>
          <w:rFonts w:ascii="Times New Roman" w:hAnsi="Times New Roman" w:cs="Times New Roman"/>
          <w:b/>
          <w:bCs/>
        </w:rPr>
        <w:t>Чорноморської міської ради Одеського району Одеської області до Верховної Ради України</w:t>
      </w:r>
      <w:r w:rsidR="001E046E" w:rsidRPr="001E046E">
        <w:rPr>
          <w:rFonts w:ascii="Times New Roman" w:hAnsi="Times New Roman" w:cs="Times New Roman"/>
          <w:b/>
          <w:bCs/>
        </w:rPr>
        <w:t xml:space="preserve"> </w:t>
      </w:r>
      <w:r w:rsidRPr="001E046E">
        <w:rPr>
          <w:rFonts w:ascii="Times New Roman" w:hAnsi="Times New Roman" w:cs="Times New Roman"/>
          <w:b/>
          <w:bCs/>
        </w:rPr>
        <w:t>щодо необхідності внесення змін до законодавства у сфері комерційного обліку та розподілу обсягів централізованого водопостачання</w:t>
      </w:r>
    </w:p>
    <w:p w14:paraId="5832C05D" w14:textId="77777777" w:rsidR="00BD412A" w:rsidRPr="007C770C" w:rsidRDefault="00BD412A" w:rsidP="005A5440">
      <w:pPr>
        <w:jc w:val="both"/>
        <w:rPr>
          <w:rFonts w:ascii="Times New Roman" w:hAnsi="Times New Roman" w:cs="Times New Roman"/>
        </w:rPr>
      </w:pPr>
    </w:p>
    <w:p w14:paraId="68B5899C" w14:textId="1F1BF83F" w:rsidR="00BD412A" w:rsidRPr="007C770C" w:rsidRDefault="00BD412A" w:rsidP="005A5440">
      <w:pPr>
        <w:ind w:firstLine="709"/>
        <w:jc w:val="both"/>
      </w:pPr>
      <w:r w:rsidRPr="007C770C">
        <w:rPr>
          <w:rFonts w:ascii="Times New Roman" w:hAnsi="Times New Roman"/>
        </w:rPr>
        <w:t xml:space="preserve">Чорноморська міська рада </w:t>
      </w:r>
      <w:r w:rsidR="005A5440" w:rsidRPr="007C770C">
        <w:rPr>
          <w:rFonts w:ascii="Times New Roman" w:hAnsi="Times New Roman"/>
        </w:rPr>
        <w:t xml:space="preserve">Одеського району Одеської області </w:t>
      </w:r>
      <w:r w:rsidRPr="007C770C">
        <w:rPr>
          <w:rFonts w:ascii="Times New Roman" w:hAnsi="Times New Roman"/>
        </w:rPr>
        <w:t>звертається з пропозицією врегулювати на законодавчому рівні особливості визначення, обліку та розподілу небалансу обсягів споживання холодної води на територіях можливих бойових дій та територіях активних бойових дій.</w:t>
      </w:r>
    </w:p>
    <w:p w14:paraId="176D105F" w14:textId="77777777" w:rsidR="00BD412A" w:rsidRPr="007C770C" w:rsidRDefault="00BD412A" w:rsidP="005A5440">
      <w:pPr>
        <w:ind w:firstLine="709"/>
        <w:jc w:val="both"/>
      </w:pPr>
      <w:r w:rsidRPr="007C770C">
        <w:rPr>
          <w:rFonts w:ascii="Times New Roman" w:hAnsi="Times New Roman"/>
        </w:rPr>
        <w:t>Чинне законодавство передбачає розподіл між споживачами обсягу централізованого водопостачання, визначеного за показаннями вузла комерційного обліку, відповідно до встановленої методики. У передбачених законодавством випадках різниця між показаннями вузла комерційного обліку та обсягом води, визначеним за показаннями вузлів розподільного обліку, розподіляється між споживачами.</w:t>
      </w:r>
    </w:p>
    <w:p w14:paraId="4E19D92A" w14:textId="77777777" w:rsidR="00BD412A" w:rsidRPr="007C770C" w:rsidRDefault="00BD412A" w:rsidP="005A5440">
      <w:pPr>
        <w:ind w:firstLine="709"/>
        <w:jc w:val="both"/>
        <w:rPr>
          <w:rFonts w:ascii="Times New Roman" w:hAnsi="Times New Roman"/>
        </w:rPr>
      </w:pPr>
      <w:r w:rsidRPr="007C770C">
        <w:rPr>
          <w:rFonts w:ascii="Times New Roman" w:hAnsi="Times New Roman"/>
        </w:rPr>
        <w:t>Такий загальний механізм розрахований, насамперед, на звичайні умови експлуатації систем водопостачання. Водночас, на територіях можливих та активних бойових дій на функціонування систем впливають також пошкодження інфраструктури, аварійні ситуації, перебої електропостачання, обмеження доступу до об’єктів та інші обставини, які ускладнюють забезпечення звичайного режиму експлуатації, обліку та контролю.</w:t>
      </w:r>
    </w:p>
    <w:p w14:paraId="50ACF321" w14:textId="3F4BDFB4" w:rsidR="00BD412A" w:rsidRPr="007C770C" w:rsidRDefault="00BD412A" w:rsidP="005A5440">
      <w:pPr>
        <w:ind w:firstLine="709"/>
        <w:jc w:val="both"/>
        <w:rPr>
          <w:rFonts w:ascii="Times New Roman" w:hAnsi="Times New Roman" w:cs="Times New Roman"/>
        </w:rPr>
      </w:pPr>
      <w:r w:rsidRPr="007C770C">
        <w:rPr>
          <w:rFonts w:ascii="Times New Roman" w:hAnsi="Times New Roman" w:cs="Times New Roman"/>
        </w:rPr>
        <w:t xml:space="preserve">У зв'язку з воєнними діями багато </w:t>
      </w:r>
      <w:r w:rsidR="005A5440" w:rsidRPr="007C770C">
        <w:rPr>
          <w:rFonts w:ascii="Times New Roman" w:hAnsi="Times New Roman" w:cs="Times New Roman"/>
        </w:rPr>
        <w:t>жителів</w:t>
      </w:r>
      <w:r w:rsidRPr="007C770C">
        <w:rPr>
          <w:rFonts w:ascii="Times New Roman" w:hAnsi="Times New Roman" w:cs="Times New Roman"/>
        </w:rPr>
        <w:t xml:space="preserve"> – споживачів виїхали за межі територіальних громад, у тому числі за межі України, </w:t>
      </w:r>
      <w:r w:rsidR="00FA7B02" w:rsidRPr="007C770C">
        <w:rPr>
          <w:rFonts w:ascii="Times New Roman" w:hAnsi="Times New Roman" w:cs="Times New Roman"/>
        </w:rPr>
        <w:t>через це</w:t>
      </w:r>
      <w:r w:rsidRPr="007C770C">
        <w:rPr>
          <w:rFonts w:ascii="Times New Roman" w:hAnsi="Times New Roman" w:cs="Times New Roman"/>
        </w:rPr>
        <w:t xml:space="preserve"> окремі квартири протягом тривалого часу фактично не використовуються або використовуються нерегулярно. Як наслідок, розподіл небалансу між споживачами призводить до нарахування додаткових обсягів води споживачам із мінімальним або відсутнім фактичним споживанням, що додатково обґрунтовує необхідність спеціального нормативного регулювання.</w:t>
      </w:r>
    </w:p>
    <w:p w14:paraId="15F80EC9" w14:textId="77777777" w:rsidR="00BD412A" w:rsidRPr="007C770C" w:rsidRDefault="00BD412A" w:rsidP="005A5440">
      <w:pPr>
        <w:ind w:firstLine="709"/>
        <w:jc w:val="both"/>
      </w:pPr>
      <w:r w:rsidRPr="007C770C">
        <w:rPr>
          <w:rFonts w:ascii="Times New Roman" w:hAnsi="Times New Roman"/>
        </w:rPr>
        <w:t>За таких умов автоматичне застосування загального механізму розподілу небалансу створює несправедливе додаткове фінансове навантаження на споживачів, у тому числі у випадках, коли відповідна різниця в обсягах обліку пов’язана з обставинами, що не залежать від поведінки конкретного споживача.</w:t>
      </w:r>
    </w:p>
    <w:p w14:paraId="685BE7AB" w14:textId="77777777" w:rsidR="00BD412A" w:rsidRPr="007C770C" w:rsidRDefault="00BD412A" w:rsidP="005A5440">
      <w:pPr>
        <w:ind w:firstLine="709"/>
        <w:jc w:val="both"/>
      </w:pPr>
      <w:r w:rsidRPr="007C770C">
        <w:rPr>
          <w:rFonts w:ascii="Times New Roman" w:hAnsi="Times New Roman"/>
        </w:rPr>
        <w:t>Водночас, виключення такого небалансу з розподілу між споживачами не повинно призводити до неврахування економічно обґрунтованих витрат підприємств централізованого водопостачання та не повинно послаблювати їх обов’язок забезпечувати належний технічний стан мереж, здійснювати контроль втрат води та вживати заходів щодо їх мінімізації.</w:t>
      </w:r>
    </w:p>
    <w:p w14:paraId="28D3833C" w14:textId="77777777" w:rsidR="00BD412A" w:rsidRPr="007C770C" w:rsidRDefault="00BD412A" w:rsidP="005A5440">
      <w:pPr>
        <w:ind w:firstLine="709"/>
        <w:jc w:val="both"/>
      </w:pPr>
      <w:r w:rsidRPr="007C770C">
        <w:rPr>
          <w:rFonts w:ascii="Times New Roman" w:hAnsi="Times New Roman"/>
        </w:rPr>
        <w:t>На нашу думку, оптимальним є спеціальний тимчасовий механізм, який поєднає захист економічних інтересів споживачів, прозорий окремий облік небалансу, контроль за обґрунтованістю відповідних обсягів та визначення джерела покриття економічно обґрунтованих витрат підприємств.</w:t>
      </w:r>
    </w:p>
    <w:p w14:paraId="555E4ECA" w14:textId="1E2AC7C6" w:rsidR="00BD412A" w:rsidRPr="007C770C" w:rsidRDefault="007C770C" w:rsidP="005A5440">
      <w:pPr>
        <w:ind w:firstLine="709"/>
        <w:jc w:val="both"/>
      </w:pPr>
      <w:r w:rsidRPr="007C770C">
        <w:rPr>
          <w:rFonts w:ascii="Times New Roman" w:hAnsi="Times New Roman"/>
        </w:rPr>
        <w:t>Враховуючи вищевикладене</w:t>
      </w:r>
      <w:r w:rsidR="00BD412A" w:rsidRPr="007C770C">
        <w:rPr>
          <w:rFonts w:ascii="Times New Roman" w:hAnsi="Times New Roman"/>
        </w:rPr>
        <w:t>, Чорноморська міська рада пропонує:</w:t>
      </w:r>
    </w:p>
    <w:p w14:paraId="1E018BDA" w14:textId="77777777" w:rsidR="00BD412A" w:rsidRPr="007C770C" w:rsidRDefault="00BD412A" w:rsidP="005A5440">
      <w:pPr>
        <w:ind w:firstLine="709"/>
        <w:jc w:val="both"/>
      </w:pPr>
      <w:r w:rsidRPr="007C770C">
        <w:rPr>
          <w:rFonts w:ascii="Times New Roman" w:hAnsi="Times New Roman"/>
        </w:rPr>
        <w:t>1. Внести зміни до розділу IV «Прикінцеві та перехідні положення» Закону України «Про комерційний облік теплової енергії та водопостачання», передбачивши спеціальний тимчасовий порядок для територій можливих бойових дій та територій активних бойових дій.</w:t>
      </w:r>
    </w:p>
    <w:p w14:paraId="3C5EF653" w14:textId="5FA8FC73" w:rsidR="00BD412A" w:rsidRPr="007C770C" w:rsidRDefault="00BD412A" w:rsidP="005A5440">
      <w:pPr>
        <w:ind w:firstLine="709"/>
        <w:jc w:val="both"/>
      </w:pPr>
      <w:r w:rsidRPr="007C770C">
        <w:rPr>
          <w:rFonts w:ascii="Times New Roman" w:hAnsi="Times New Roman"/>
        </w:rPr>
        <w:t xml:space="preserve">2. Передбачити, що протягом дії воєнного стану та визначеного законом перехідного періоду після його припинення або скасування, який пропонується встановити тривалістю не менше 12 місяців, небаланс обсягів споживання холодної води, що підпадає під спеціальний </w:t>
      </w:r>
      <w:r w:rsidRPr="007C770C">
        <w:rPr>
          <w:rFonts w:ascii="Times New Roman" w:hAnsi="Times New Roman"/>
        </w:rPr>
        <w:lastRenderedPageBreak/>
        <w:t>порядок, не розподіляється між споживачами та не включається до обсягу послуги, за як</w:t>
      </w:r>
      <w:r w:rsidR="007C770C" w:rsidRPr="007C770C">
        <w:rPr>
          <w:rFonts w:ascii="Times New Roman" w:hAnsi="Times New Roman"/>
        </w:rPr>
        <w:t>у</w:t>
      </w:r>
      <w:r w:rsidRPr="007C770C">
        <w:rPr>
          <w:rFonts w:ascii="Times New Roman" w:hAnsi="Times New Roman"/>
        </w:rPr>
        <w:t xml:space="preserve"> їм нараховується плата.</w:t>
      </w:r>
    </w:p>
    <w:p w14:paraId="221C969C" w14:textId="2DB7CD22" w:rsidR="00BD412A" w:rsidRPr="007C770C" w:rsidRDefault="00BD412A" w:rsidP="005A5440">
      <w:pPr>
        <w:ind w:firstLine="709"/>
        <w:jc w:val="both"/>
      </w:pPr>
      <w:r w:rsidRPr="007C770C">
        <w:rPr>
          <w:rFonts w:ascii="Times New Roman" w:hAnsi="Times New Roman"/>
        </w:rPr>
        <w:t xml:space="preserve">3. Встановити обов’язок підприємств централізованого водопостачання вести окремий облік такого небалансу та визначити єдині критерії, дані </w:t>
      </w:r>
      <w:r w:rsidR="005A5440" w:rsidRPr="007C770C">
        <w:rPr>
          <w:rFonts w:ascii="Times New Roman" w:hAnsi="Times New Roman"/>
        </w:rPr>
        <w:t>та</w:t>
      </w:r>
      <w:r w:rsidRPr="007C770C">
        <w:rPr>
          <w:rFonts w:ascii="Times New Roman" w:hAnsi="Times New Roman"/>
        </w:rPr>
        <w:t xml:space="preserve"> документи, необхідні для підтвердження відповідних обсягів.</w:t>
      </w:r>
    </w:p>
    <w:p w14:paraId="3DCAAAF3" w14:textId="77777777" w:rsidR="00BD412A" w:rsidRPr="007C770C" w:rsidRDefault="00BD412A" w:rsidP="005A5440">
      <w:pPr>
        <w:ind w:firstLine="709"/>
        <w:jc w:val="both"/>
      </w:pPr>
      <w:r w:rsidRPr="007C770C">
        <w:rPr>
          <w:rFonts w:ascii="Times New Roman" w:hAnsi="Times New Roman"/>
        </w:rPr>
        <w:t>4. Передбачити, що застосування спеціального порядку не звільняє підприємства від обов’язку належно утримувати мережі, обліковувати втрати води, виявляти причини їх виникнення та вживати заходів щодо їх зменшення.</w:t>
      </w:r>
    </w:p>
    <w:p w14:paraId="230D02AC" w14:textId="77777777" w:rsidR="00BD412A" w:rsidRPr="007C770C" w:rsidRDefault="00BD412A" w:rsidP="005A5440">
      <w:pPr>
        <w:ind w:firstLine="709"/>
        <w:jc w:val="both"/>
      </w:pPr>
      <w:r w:rsidRPr="007C770C">
        <w:rPr>
          <w:rFonts w:ascii="Times New Roman" w:hAnsi="Times New Roman"/>
        </w:rPr>
        <w:t>5. Законодавчо передбачити механізм компенсації економічно обґрунтованих витрат, пов’язаних із небалансом.</w:t>
      </w:r>
    </w:p>
    <w:p w14:paraId="452C4485" w14:textId="7B18AA51" w:rsidR="00BD412A" w:rsidRPr="007C770C" w:rsidRDefault="00BD412A" w:rsidP="005A5440">
      <w:pPr>
        <w:ind w:firstLine="709"/>
        <w:jc w:val="both"/>
        <w:rPr>
          <w:rFonts w:ascii="Times New Roman" w:hAnsi="Times New Roman" w:cs="Times New Roman"/>
        </w:rPr>
      </w:pPr>
      <w:bookmarkStart w:id="0" w:name="_Hlk241049852"/>
      <w:r w:rsidRPr="007C770C">
        <w:rPr>
          <w:rFonts w:ascii="Times New Roman" w:hAnsi="Times New Roman" w:cs="Times New Roman"/>
        </w:rPr>
        <w:t xml:space="preserve">6. Після внесення відповідних змін до </w:t>
      </w:r>
      <w:r w:rsidR="00FA7B02" w:rsidRPr="007C770C">
        <w:rPr>
          <w:rFonts w:ascii="Times New Roman" w:hAnsi="Times New Roman" w:cs="Times New Roman"/>
        </w:rPr>
        <w:t>З</w:t>
      </w:r>
      <w:r w:rsidRPr="007C770C">
        <w:rPr>
          <w:rFonts w:ascii="Times New Roman" w:hAnsi="Times New Roman" w:cs="Times New Roman"/>
        </w:rPr>
        <w:t>акону привести у відповідність Методику розподілу між споживачами обсягів спожитих у будівлі комунальних послуг, затверджену наказом Міністерства регіонального розвитку, будівництва та житлово-комунального господарства України від 22 листопада 2018 року №</w:t>
      </w:r>
      <w:r w:rsidR="005A5440" w:rsidRPr="007C770C">
        <w:rPr>
          <w:rFonts w:ascii="Times New Roman" w:hAnsi="Times New Roman" w:cs="Times New Roman"/>
        </w:rPr>
        <w:t xml:space="preserve"> </w:t>
      </w:r>
      <w:r w:rsidRPr="007C770C">
        <w:rPr>
          <w:rFonts w:ascii="Times New Roman" w:hAnsi="Times New Roman" w:cs="Times New Roman"/>
        </w:rPr>
        <w:t>315, Порядок формування тарифів на послуги з централізованого водопостачання та централізованого водовідведення, затверджений постановою НКРЕКП від 05 травня 2026 року №</w:t>
      </w:r>
      <w:r w:rsidR="005A5440" w:rsidRPr="007C770C">
        <w:rPr>
          <w:rFonts w:ascii="Times New Roman" w:hAnsi="Times New Roman" w:cs="Times New Roman"/>
        </w:rPr>
        <w:t xml:space="preserve"> </w:t>
      </w:r>
      <w:r w:rsidRPr="007C770C">
        <w:rPr>
          <w:rFonts w:ascii="Times New Roman" w:hAnsi="Times New Roman" w:cs="Times New Roman"/>
        </w:rPr>
        <w:t xml:space="preserve">688, а також інші </w:t>
      </w:r>
      <w:r w:rsidR="00FA7B02" w:rsidRPr="007C770C">
        <w:rPr>
          <w:rFonts w:ascii="Times New Roman" w:hAnsi="Times New Roman" w:cs="Times New Roman"/>
        </w:rPr>
        <w:t xml:space="preserve">           </w:t>
      </w:r>
      <w:r w:rsidRPr="007C770C">
        <w:rPr>
          <w:rFonts w:ascii="Times New Roman" w:hAnsi="Times New Roman" w:cs="Times New Roman"/>
        </w:rPr>
        <w:t>нормативно-правові акти, необхідні для реалізації спеціального порядку.</w:t>
      </w:r>
      <w:bookmarkEnd w:id="0"/>
    </w:p>
    <w:p w14:paraId="4E4D7975" w14:textId="77777777" w:rsidR="00BD412A" w:rsidRPr="007C770C" w:rsidRDefault="00BD412A" w:rsidP="005A5440">
      <w:pPr>
        <w:ind w:firstLine="709"/>
        <w:jc w:val="both"/>
      </w:pPr>
      <w:r w:rsidRPr="007C770C">
        <w:rPr>
          <w:rFonts w:ascii="Times New Roman" w:hAnsi="Times New Roman"/>
        </w:rPr>
        <w:t>Запропонований підхід не передбачає списання або приховування небалансу. Йдеться про його окремий облік та спеціальне регулювання на визначений період із одночасним збереженням обов’язків підприємств щодо належної експлуатації мереж і мінімізації втрат води.</w:t>
      </w:r>
    </w:p>
    <w:p w14:paraId="0D3960DD" w14:textId="77777777" w:rsidR="00BD412A" w:rsidRPr="007C770C" w:rsidRDefault="00BD412A" w:rsidP="005A5440">
      <w:pPr>
        <w:ind w:firstLine="709"/>
        <w:jc w:val="both"/>
      </w:pPr>
      <w:r w:rsidRPr="007C770C">
        <w:rPr>
          <w:rFonts w:ascii="Times New Roman" w:hAnsi="Times New Roman"/>
        </w:rPr>
        <w:t>Просимо розглянути зазначені пропозиції під час удосконалення законодавства у сфері комерційного обліку та централізованого водопостачання.</w:t>
      </w:r>
    </w:p>
    <w:p w14:paraId="6D45AC37" w14:textId="77777777" w:rsidR="00BD412A" w:rsidRPr="007C770C" w:rsidRDefault="00BD412A" w:rsidP="00BD412A">
      <w:pPr>
        <w:ind w:firstLine="709"/>
        <w:jc w:val="both"/>
        <w:rPr>
          <w:rFonts w:ascii="Times New Roman" w:hAnsi="Times New Roman" w:cs="Times New Roman"/>
        </w:rPr>
      </w:pPr>
    </w:p>
    <w:p w14:paraId="24ECA115" w14:textId="7C4AE8FF" w:rsidR="00BD412A" w:rsidRPr="007C770C" w:rsidRDefault="00BD412A" w:rsidP="00BD412A">
      <w:pPr>
        <w:ind w:firstLine="709"/>
        <w:jc w:val="both"/>
        <w:rPr>
          <w:rFonts w:ascii="Times New Roman" w:hAnsi="Times New Roman" w:cs="Times New Roman"/>
        </w:rPr>
      </w:pPr>
    </w:p>
    <w:p w14:paraId="60D97D57" w14:textId="12AA5271" w:rsidR="00FA7B02" w:rsidRPr="007C770C" w:rsidRDefault="00FA7B02" w:rsidP="00BD412A">
      <w:pPr>
        <w:ind w:firstLine="709"/>
        <w:jc w:val="both"/>
        <w:rPr>
          <w:rFonts w:ascii="Times New Roman" w:hAnsi="Times New Roman" w:cs="Times New Roman"/>
        </w:rPr>
      </w:pPr>
    </w:p>
    <w:p w14:paraId="2B2978BE" w14:textId="7109D3A2" w:rsidR="00FA7B02" w:rsidRPr="007C770C" w:rsidRDefault="00FA7B02" w:rsidP="00BD412A">
      <w:pPr>
        <w:ind w:firstLine="709"/>
        <w:jc w:val="both"/>
        <w:rPr>
          <w:rFonts w:ascii="Times New Roman" w:hAnsi="Times New Roman" w:cs="Times New Roman"/>
        </w:rPr>
      </w:pPr>
    </w:p>
    <w:p w14:paraId="2108DA0D" w14:textId="77777777" w:rsidR="00FA7B02" w:rsidRPr="007C770C" w:rsidRDefault="00FA7B02" w:rsidP="00BD412A">
      <w:pPr>
        <w:ind w:firstLine="709"/>
        <w:jc w:val="both"/>
        <w:rPr>
          <w:rFonts w:ascii="Times New Roman" w:hAnsi="Times New Roman" w:cs="Times New Roman"/>
        </w:rPr>
      </w:pPr>
    </w:p>
    <w:p w14:paraId="24EC7A12" w14:textId="77777777" w:rsidR="00BD412A" w:rsidRPr="007C770C" w:rsidRDefault="00BD412A" w:rsidP="00BD412A">
      <w:pPr>
        <w:ind w:firstLine="709"/>
        <w:rPr>
          <w:rFonts w:ascii="Times New Roman" w:hAnsi="Times New Roman" w:cs="Times New Roman"/>
        </w:rPr>
      </w:pPr>
      <w:r w:rsidRPr="007C770C">
        <w:rPr>
          <w:rFonts w:ascii="Times New Roman" w:hAnsi="Times New Roman" w:cs="Times New Roman"/>
        </w:rPr>
        <w:t>Секретар міської ради                                                                         Олена ШОЛАР</w:t>
      </w:r>
    </w:p>
    <w:p w14:paraId="1F13DD68" w14:textId="77777777" w:rsidR="00BD412A" w:rsidRPr="007C770C" w:rsidRDefault="00BD412A" w:rsidP="00BD412A">
      <w:pPr>
        <w:ind w:firstLine="709"/>
        <w:jc w:val="both"/>
        <w:rPr>
          <w:rFonts w:ascii="Times New Roman" w:hAnsi="Times New Roman" w:cs="Times New Roman"/>
        </w:rPr>
      </w:pPr>
    </w:p>
    <w:p w14:paraId="27A72271" w14:textId="77777777" w:rsidR="00AA6492" w:rsidRPr="007C770C" w:rsidRDefault="00AA6492"/>
    <w:sectPr w:rsidR="00AA6492" w:rsidRPr="007C770C" w:rsidSect="00654B0C">
      <w:headerReference w:type="default" r:id="rId6"/>
      <w:footerReference w:type="default" r:id="rId7"/>
      <w:headerReference w:type="first" r:id="rId8"/>
      <w:pgSz w:w="11906" w:h="16838" w:code="9"/>
      <w:pgMar w:top="1134" w:right="707" w:bottom="1134" w:left="1701" w:header="709" w:footer="709"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65AF1" w14:textId="77777777" w:rsidR="00D34CC7" w:rsidRDefault="000A3F1B">
      <w:r>
        <w:separator/>
      </w:r>
    </w:p>
  </w:endnote>
  <w:endnote w:type="continuationSeparator" w:id="0">
    <w:p w14:paraId="6CB087B2" w14:textId="77777777" w:rsidR="00D34CC7" w:rsidRDefault="000A3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F48DC" w14:textId="77777777" w:rsidR="00EC377A" w:rsidRDefault="001E046E" w:rsidP="003C10FC">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C4D71" w14:textId="77777777" w:rsidR="00D34CC7" w:rsidRDefault="000A3F1B">
      <w:r>
        <w:separator/>
      </w:r>
    </w:p>
  </w:footnote>
  <w:footnote w:type="continuationSeparator" w:id="0">
    <w:p w14:paraId="1F0C8E75" w14:textId="77777777" w:rsidR="00D34CC7" w:rsidRDefault="000A3F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1A297" w14:textId="77777777" w:rsidR="00FF7E29" w:rsidRPr="000A2BD6" w:rsidRDefault="00BD412A" w:rsidP="000A2BD6">
    <w:pPr>
      <w:pStyle w:val="a5"/>
      <w:jc w:val="center"/>
      <w:rPr>
        <w:rFonts w:ascii="Times New Roman" w:hAnsi="Times New Roman" w:cs="Times New Roman"/>
      </w:rPr>
    </w:pPr>
    <w:r w:rsidRPr="000A2BD6">
      <w:rPr>
        <w:rFonts w:ascii="Times New Roman" w:hAnsi="Times New Roman" w:cs="Times New Roman"/>
      </w:rPr>
      <w:fldChar w:fldCharType="begin"/>
    </w:r>
    <w:r w:rsidRPr="000A2BD6">
      <w:rPr>
        <w:rFonts w:ascii="Times New Roman" w:hAnsi="Times New Roman" w:cs="Times New Roman"/>
      </w:rPr>
      <w:instrText>PAGE   \* MERGEFORMAT</w:instrText>
    </w:r>
    <w:r w:rsidRPr="000A2BD6">
      <w:rPr>
        <w:rFonts w:ascii="Times New Roman" w:hAnsi="Times New Roman" w:cs="Times New Roman"/>
      </w:rPr>
      <w:fldChar w:fldCharType="separate"/>
    </w:r>
    <w:r>
      <w:rPr>
        <w:rFonts w:ascii="Times New Roman" w:hAnsi="Times New Roman" w:cs="Times New Roman"/>
        <w:noProof/>
      </w:rPr>
      <w:t>4</w:t>
    </w:r>
    <w:r w:rsidRPr="000A2BD6">
      <w:rPr>
        <w:rFonts w:ascii="Times New Roman" w:hAnsi="Times New Roman" w:cs="Times New Roman"/>
      </w:rPr>
      <w:fldChar w:fldCharType="end"/>
    </w:r>
    <w:r w:rsidRPr="000A2BD6">
      <w:rPr>
        <w:rFonts w:ascii="Times New Roman" w:hAnsi="Times New Roman" w:cs="Times New Roman"/>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CAB05" w14:textId="77777777" w:rsidR="00E83EF8" w:rsidRPr="001B7416" w:rsidRDefault="001E046E" w:rsidP="00E83EF8">
    <w:pPr>
      <w:pStyle w:val="a5"/>
      <w:rPr>
        <w:rFonts w:ascii="Times New Roman" w:hAnsi="Times New Roman" w:cs="Times New Roman"/>
      </w:rPr>
    </w:pPr>
  </w:p>
  <w:p w14:paraId="6DC9CDB5" w14:textId="77777777" w:rsidR="00FF7E29" w:rsidRDefault="001E046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035"/>
    <w:rsid w:val="000A3F1B"/>
    <w:rsid w:val="001E046E"/>
    <w:rsid w:val="005A5440"/>
    <w:rsid w:val="007C770C"/>
    <w:rsid w:val="00AA6492"/>
    <w:rsid w:val="00BD412A"/>
    <w:rsid w:val="00D34CC7"/>
    <w:rsid w:val="00E04035"/>
    <w:rsid w:val="00FA7B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C6DCF"/>
  <w15:chartTrackingRefBased/>
  <w15:docId w15:val="{3456CF00-EC61-4FEA-967A-BD24C6120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12A"/>
    <w:pPr>
      <w:spacing w:after="0" w:line="240" w:lineRule="auto"/>
    </w:pPr>
    <w:rPr>
      <w:rFonts w:ascii="Arial" w:eastAsia="Times New Roman"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D412A"/>
    <w:pPr>
      <w:tabs>
        <w:tab w:val="center" w:pos="4677"/>
        <w:tab w:val="right" w:pos="9355"/>
      </w:tabs>
    </w:pPr>
  </w:style>
  <w:style w:type="character" w:customStyle="1" w:styleId="a4">
    <w:name w:val="Нижній колонтитул Знак"/>
    <w:basedOn w:val="a0"/>
    <w:link w:val="a3"/>
    <w:uiPriority w:val="99"/>
    <w:rsid w:val="00BD412A"/>
    <w:rPr>
      <w:rFonts w:ascii="Arial" w:eastAsia="Times New Roman" w:hAnsi="Arial" w:cs="Arial"/>
      <w:sz w:val="24"/>
      <w:szCs w:val="24"/>
      <w:lang w:eastAsia="ru-RU"/>
    </w:rPr>
  </w:style>
  <w:style w:type="paragraph" w:styleId="a5">
    <w:name w:val="header"/>
    <w:basedOn w:val="a"/>
    <w:link w:val="a6"/>
    <w:uiPriority w:val="99"/>
    <w:unhideWhenUsed/>
    <w:rsid w:val="00BD412A"/>
    <w:pPr>
      <w:tabs>
        <w:tab w:val="center" w:pos="4677"/>
        <w:tab w:val="right" w:pos="9355"/>
      </w:tabs>
    </w:pPr>
  </w:style>
  <w:style w:type="character" w:customStyle="1" w:styleId="a6">
    <w:name w:val="Верхній колонтитул Знак"/>
    <w:basedOn w:val="a0"/>
    <w:link w:val="a5"/>
    <w:uiPriority w:val="99"/>
    <w:rsid w:val="00BD412A"/>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3211</Words>
  <Characters>1831</Characters>
  <Application>Microsoft Office Word</Application>
  <DocSecurity>0</DocSecurity>
  <Lines>15</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ВАРИЖУК Ілля</dc:creator>
  <cp:keywords/>
  <dc:description/>
  <cp:lastModifiedBy>ВАРИЖУК Ілля</cp:lastModifiedBy>
  <cp:revision>6</cp:revision>
  <cp:lastPrinted>2026-09-24T08:37:00Z</cp:lastPrinted>
  <dcterms:created xsi:type="dcterms:W3CDTF">2026-09-24T07:48:00Z</dcterms:created>
  <dcterms:modified xsi:type="dcterms:W3CDTF">2026-09-24T12:14:00Z</dcterms:modified>
</cp:coreProperties>
</file>