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27B1" w14:textId="77777777" w:rsidR="00B71ECB" w:rsidRPr="008C6F64" w:rsidRDefault="00B71ECB" w:rsidP="00283897">
      <w:pPr>
        <w:pStyle w:val="a3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</w:t>
      </w:r>
      <w:r w:rsidRPr="008C6F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14F8DD6" w14:textId="77777777" w:rsidR="00B71ECB" w:rsidRPr="008C6F64" w:rsidRDefault="00B71ECB" w:rsidP="00283897">
      <w:pPr>
        <w:pStyle w:val="a3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 рішення Чорноморської міської ради</w:t>
      </w:r>
      <w:r w:rsidRPr="008C6F64">
        <w:rPr>
          <w:rFonts w:ascii="Times New Roman" w:hAnsi="Times New Roman" w:cs="Times New Roman"/>
          <w:sz w:val="24"/>
          <w:szCs w:val="24"/>
        </w:rPr>
        <w:br/>
        <w:t xml:space="preserve">від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8C6F64">
        <w:rPr>
          <w:rFonts w:ascii="Times New Roman" w:hAnsi="Times New Roman" w:cs="Times New Roman"/>
          <w:sz w:val="24"/>
          <w:szCs w:val="24"/>
        </w:rPr>
        <w:t>2026 № ______-VIII</w:t>
      </w:r>
    </w:p>
    <w:p w14:paraId="74013117" w14:textId="77777777" w:rsidR="00B71ECB" w:rsidRPr="008C6F64" w:rsidRDefault="00B71ECB" w:rsidP="00B71ECB">
      <w:pPr>
        <w:pStyle w:val="a3"/>
        <w:jc w:val="right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6CC54433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ПОЛОЖЕННЯ</w:t>
      </w:r>
    </w:p>
    <w:p w14:paraId="66D65AAD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про наглядову раду комунального некомерційного підприємства «Чорноморська лікарня» Чорноморської міської ради Одеського району Одеської області</w:t>
      </w:r>
    </w:p>
    <w:p w14:paraId="48618C51" w14:textId="77777777" w:rsidR="00B71ECB" w:rsidRPr="008C6F64" w:rsidRDefault="00B71ECB" w:rsidP="00B71ECB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50E7B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1. Загальні положення</w:t>
      </w:r>
    </w:p>
    <w:p w14:paraId="77D69E6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1.1. Це Положення визначає правовий статус, мету діяльності, склад наглядової ради, права та обов’язки її голови, заступника голови, членів і секретаря, а також порядок організації роботи наглядової ради.</w:t>
      </w:r>
    </w:p>
    <w:p w14:paraId="7F882C2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1.2. Наглядова рада є колегіальним органом управління Підприємства, який у межах компетенції, визначеної законодавством і цим Положенням, здійснює управління Підприємством та контролює діяльність його генерального директора.</w:t>
      </w:r>
    </w:p>
    <w:p w14:paraId="2613113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1.3. Наглядова рада не бере участі в поточному оперативному управлінні Підприємством.</w:t>
      </w:r>
    </w:p>
    <w:p w14:paraId="4488293F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1.4. У своїй діяльності наглядова рада керується Конституцією України, законами України, актами Кабінету Міністрів України, іншими нормативно-правовими актами, Статутом Підприємства, рішеннями Чорноморської міської ради та цим Положенням.</w:t>
      </w:r>
    </w:p>
    <w:p w14:paraId="36A32D8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767FE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2. Мета та принципи діяльності</w:t>
      </w:r>
    </w:p>
    <w:p w14:paraId="75FD591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2.1. Метою діяльності наглядової ради є:</w:t>
      </w:r>
    </w:p>
    <w:p w14:paraId="134F645B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ефективного управління Підприємством;</w:t>
      </w:r>
    </w:p>
    <w:p w14:paraId="67C9B5EC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гарантування надання якісної та доступної медичної допомоги;</w:t>
      </w:r>
    </w:p>
    <w:p w14:paraId="405507C9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реалізації прав пацієнтів і працівників;</w:t>
      </w:r>
    </w:p>
    <w:p w14:paraId="191876D3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сприяння ефективному здійсненню власником повноважень щодо управління Підприємством;</w:t>
      </w:r>
    </w:p>
    <w:p w14:paraId="5A933718" w14:textId="77777777" w:rsidR="00B71ECB" w:rsidRPr="008C6F64" w:rsidRDefault="00B71ECB" w:rsidP="00B71EC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забезпечення прозорості та підзвітності діяльності Підприємства.</w:t>
      </w:r>
    </w:p>
    <w:p w14:paraId="5CB587A2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2.2. Основні принципи роботи:</w:t>
      </w:r>
    </w:p>
    <w:p w14:paraId="3B212B9E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колегіальність;</w:t>
      </w:r>
    </w:p>
    <w:p w14:paraId="0293171B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відкритість;</w:t>
      </w:r>
    </w:p>
    <w:p w14:paraId="5FEA1DF4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прозорість;</w:t>
      </w:r>
    </w:p>
    <w:p w14:paraId="338C0DDC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неупередженість;</w:t>
      </w:r>
    </w:p>
    <w:p w14:paraId="1EFC70D7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рівноправність членів;</w:t>
      </w:r>
    </w:p>
    <w:p w14:paraId="55819942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незалежність;</w:t>
      </w:r>
    </w:p>
    <w:p w14:paraId="67E158CF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доброчесність;</w:t>
      </w:r>
    </w:p>
    <w:p w14:paraId="4B18E340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дотримання прав пацієнтів;</w:t>
      </w:r>
    </w:p>
    <w:p w14:paraId="14D2F73A" w14:textId="77777777" w:rsidR="00B71ECB" w:rsidRPr="008C6F64" w:rsidRDefault="00B71ECB" w:rsidP="00B71ECB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захист інтересів територіальної громади.</w:t>
      </w:r>
    </w:p>
    <w:p w14:paraId="7C6331E6" w14:textId="26030665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2.3. Наглядова рада не рідше одного разу на квартал оприлюднює результати своєї діяльності на офіційному вебсайті Підприємства та/або Чорноморської міської ради</w:t>
      </w:r>
      <w:r w:rsidR="00AD4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DFD" w:rsidRPr="00D259E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7E4FD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A051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3. Повноваження наглядової ради</w:t>
      </w:r>
    </w:p>
    <w:p w14:paraId="6D31DAE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3.1. До повноважень наглядової ради належать:</w:t>
      </w:r>
    </w:p>
    <w:p w14:paraId="2CA6EB71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стратегічного та річного планів діяльності Підприємства;</w:t>
      </w:r>
    </w:p>
    <w:p w14:paraId="1AA311B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затвердження показників ефективності діяльності Підприємства та системи контролю за їх досягненням;</w:t>
      </w:r>
    </w:p>
    <w:p w14:paraId="7CEB4DC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пропозицій до проєкту фінансового плану Підприємства;</w:t>
      </w:r>
    </w:p>
    <w:p w14:paraId="6A13C340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принципів формування організаційної структури та надання пропозицій щодо її оптимізації;</w:t>
      </w:r>
    </w:p>
    <w:p w14:paraId="1336671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власнику пропозицій щодо звільнення керівника Підприємства, умов контракту з ним, матеріальної винагороди та матеріальної відповідальності у випадках, визначених законодавством;</w:t>
      </w:r>
    </w:p>
    <w:p w14:paraId="291E767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lastRenderedPageBreak/>
        <w:t>виявлення і врегулювання реального та потенційного конфлікту інтересів керівника і членів наглядової ради;</w:t>
      </w:r>
    </w:p>
    <w:p w14:paraId="10B460AC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надання згоди на правочини із заінтересованістю у випадках, установлених законодавством;</w:t>
      </w:r>
    </w:p>
    <w:p w14:paraId="72ED4FF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утворення підрозділу внутрішнього аудиту, визначення порядку його роботи та розгляд результатів внутрішнього аудиту;</w:t>
      </w:r>
    </w:p>
    <w:p w14:paraId="1522B53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прийняття рішення про необхідність проведення зовнішнього аудиту та/або оцінки окремих правочинів;</w:t>
      </w:r>
    </w:p>
    <w:p w14:paraId="6F8FC9A3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положення про запобігання конфлікту інтересів та затвердження правил ділової етики;</w:t>
      </w:r>
    </w:p>
    <w:p w14:paraId="7A37624E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створення системи контролю за дотриманням норм медичної етики і деонтології, законодавства та прав пацієнтів;</w:t>
      </w:r>
    </w:p>
    <w:p w14:paraId="39C34059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контроль за своєчасним, достовірним та повним розкриттям інформації, яка підлягає оприлюдненню;</w:t>
      </w:r>
    </w:p>
    <w:p w14:paraId="12887379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погодження внутрішніх положень та порядків системного характеру, зокрема щодо:</w:t>
      </w:r>
    </w:p>
    <w:p w14:paraId="17C293F8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преміювання працівників;</w:t>
      </w:r>
    </w:p>
    <w:p w14:paraId="1EB34E9D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надходження та використання благодійної допомоги, грантів і дарунків;</w:t>
      </w:r>
    </w:p>
    <w:p w14:paraId="5FDB9561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приймання, зберігання, відпуску та обліку лікарських засобів і медичних виробів;</w:t>
      </w:r>
    </w:p>
    <w:p w14:paraId="05FE9ADC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розгляду скарг пацієнтів;</w:t>
      </w:r>
    </w:p>
    <w:p w14:paraId="13879DA0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створення системи контролю за дотриманням прав працівників Підприємства;</w:t>
      </w:r>
    </w:p>
    <w:p w14:paraId="54B6C356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інформування власника про недоліки діяльності Підприємства та випадки порушення законодавства, етики і деонтології;</w:t>
      </w:r>
    </w:p>
    <w:p w14:paraId="0270ADA3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внесення власникові та генеральному директору пропозицій щодо усунення порушень та підвищення безпеки пацієнтів;</w:t>
      </w:r>
    </w:p>
    <w:p w14:paraId="37C1EF34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оприлюднення результатів своєї роботи;</w:t>
      </w:r>
    </w:p>
    <w:p w14:paraId="26025F15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формування і затвердження плану ротації наглядової ради після набрання чинності відповідними положеннями законодавства;</w:t>
      </w:r>
    </w:p>
    <w:p w14:paraId="44067428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співробітництво з наглядовими радами інших закладів охорони здоров’я;</w:t>
      </w:r>
    </w:p>
    <w:p w14:paraId="46A2FFF7" w14:textId="77777777" w:rsidR="00B71ECB" w:rsidRPr="008C6F64" w:rsidRDefault="00B71ECB" w:rsidP="00B71ECB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розгляд інших питань, передбачених законодавством, Статутом Підприємства та внутрішніми документами.</w:t>
      </w:r>
    </w:p>
    <w:p w14:paraId="764293F9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3.2. Рішення наглядової ради, прийняті в межах її компетенції, є обов’язковими для виконання Підприємством у випадках, визначених законодавством.</w:t>
      </w:r>
    </w:p>
    <w:p w14:paraId="7333B13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226B4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4. Права членів наглядової ради</w:t>
      </w:r>
    </w:p>
    <w:p w14:paraId="4079D2E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4.1. Члени наглядової ради мають право:</w:t>
      </w:r>
    </w:p>
    <w:p w14:paraId="1C9D323A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отримувати повну, достовірну і своєчасну інформацію про діяльність Підприємства;</w:t>
      </w:r>
    </w:p>
    <w:p w14:paraId="559C9F07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ознайомлюватися з документами Підприємства та отримувати їх копії;</w:t>
      </w:r>
    </w:p>
    <w:p w14:paraId="748DC614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отримувати порядок денний і матеріали засідань;</w:t>
      </w:r>
    </w:p>
    <w:p w14:paraId="7DF4D4BD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ініціювати включення питань до порядку денного;</w:t>
      </w:r>
    </w:p>
    <w:p w14:paraId="34925105" w14:textId="77777777" w:rsidR="00B71ECB" w:rsidRPr="008C6F64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подавати письмові зауваження до рішень наглядової ради;</w:t>
      </w:r>
    </w:p>
    <w:p w14:paraId="6C3AF81E" w14:textId="77777777" w:rsidR="00B71ECB" w:rsidRDefault="00B71ECB" w:rsidP="00B71ECB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залучати за згодою зовнішніх та внутрішніх експертів.</w:t>
      </w:r>
    </w:p>
    <w:p w14:paraId="2D4D85CB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28FFF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5. Обов’язки членів</w:t>
      </w:r>
    </w:p>
    <w:p w14:paraId="6D2AD58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5.1. Член наглядової ради зобов’язаний:</w:t>
      </w:r>
    </w:p>
    <w:p w14:paraId="1F4F2045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діяти в інтересах Підприємства та територіальної громади;</w:t>
      </w:r>
    </w:p>
    <w:p w14:paraId="3995CAC3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перевищувати своїх повноважень;</w:t>
      </w:r>
    </w:p>
    <w:p w14:paraId="4290708F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дотримуватися законодавства, Статуту і цього Положення;</w:t>
      </w:r>
    </w:p>
    <w:p w14:paraId="3A3AEFFF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особисто брати участь у роботі ради;</w:t>
      </w:r>
    </w:p>
    <w:p w14:paraId="0215DF82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дотримуватися правил запобігання конфлікту інтересів;</w:t>
      </w:r>
    </w:p>
    <w:p w14:paraId="1C2C37D9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своєчасно повідомляти про реальний або потенційний конфлікт інтересів;</w:t>
      </w:r>
    </w:p>
    <w:p w14:paraId="67674D75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розголошувати конфіденційну інформацію та інформацію з обмеженим доступом;</w:t>
      </w:r>
    </w:p>
    <w:p w14:paraId="0113793E" w14:textId="77777777" w:rsidR="00B71ECB" w:rsidRPr="008C6F64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використовувати отриману інформацію у власних інтересах чи інтересах третіх осіб;</w:t>
      </w:r>
    </w:p>
    <w:p w14:paraId="631EFD0A" w14:textId="77777777" w:rsidR="00B71ECB" w:rsidRDefault="00B71ECB" w:rsidP="00B71ECB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утримуватися від дій, що можуть призвести до втрати незалежності.</w:t>
      </w:r>
    </w:p>
    <w:p w14:paraId="36DE4758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3D0B1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6. Склад та строк повноважень</w:t>
      </w:r>
    </w:p>
    <w:p w14:paraId="7849C1F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6.1. Наглядова рада складається із семи осіб:</w:t>
      </w:r>
    </w:p>
    <w:p w14:paraId="40A3B66A" w14:textId="77777777" w:rsidR="00B71ECB" w:rsidRPr="008C6F64" w:rsidRDefault="00B71ECB" w:rsidP="00B71ECB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трьох представників власника;</w:t>
      </w:r>
    </w:p>
    <w:p w14:paraId="6399E0A4" w14:textId="77777777" w:rsidR="00B71ECB" w:rsidRPr="008C6F64" w:rsidRDefault="00B71ECB" w:rsidP="00B71ECB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чотирьох незалежних членів.</w:t>
      </w:r>
    </w:p>
    <w:p w14:paraId="214BCF2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6.2. Строк повноважень члена наглядової ради становить п’ять років, але може бути меншим у зв’язку з плановою ротацією.</w:t>
      </w:r>
    </w:p>
    <w:p w14:paraId="7456709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6.3. Одна особа не може бути членом наглядової ради більше двох строків </w:t>
      </w:r>
      <w:r>
        <w:rPr>
          <w:rFonts w:ascii="Times New Roman" w:eastAsia="Times New Roman" w:hAnsi="Times New Roman" w:cs="Times New Roman"/>
          <w:sz w:val="24"/>
          <w:szCs w:val="24"/>
        </w:rPr>
        <w:t>поспіль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29585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6.4. Припинення членства здійснюється у випадках та порядку, визначених постановою Кабінету Міністрів України № 1221, у разі:</w:t>
      </w:r>
    </w:p>
    <w:p w14:paraId="54300B5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0" w:name="n174"/>
      <w:bookmarkEnd w:id="0"/>
      <w:r>
        <w:rPr>
          <w:color w:val="333333"/>
        </w:rPr>
        <w:t>1) систематичної відсутності (трьох і більше разів за рік) без поважних причин члена наглядової ради на її засіданнях;</w:t>
      </w:r>
    </w:p>
    <w:p w14:paraId="5230698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1" w:name="n175"/>
      <w:bookmarkEnd w:id="1"/>
      <w:r>
        <w:rPr>
          <w:color w:val="333333"/>
        </w:rPr>
        <w:t>2) виникнення реального та/або потенційного конфлікту інтересів у члена наглядової ради;</w:t>
      </w:r>
    </w:p>
    <w:p w14:paraId="264DB7EA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2" w:name="n176"/>
      <w:bookmarkEnd w:id="2"/>
      <w:r>
        <w:rPr>
          <w:color w:val="333333"/>
        </w:rPr>
        <w:t>3) втрати незалежності незалежним членом наглядової ради;</w:t>
      </w:r>
    </w:p>
    <w:p w14:paraId="0E954B40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3" w:name="n177"/>
      <w:bookmarkStart w:id="4" w:name="n178"/>
      <w:bookmarkEnd w:id="3"/>
      <w:bookmarkEnd w:id="4"/>
      <w:r>
        <w:rPr>
          <w:color w:val="333333"/>
        </w:rPr>
        <w:t>4) неможливості члена наглядової ради брати участь у роботі наглядової ради за станом здоров’я, визнання у судовому порядку члена наглядової ради недієздатним або обмежено дієздатним;</w:t>
      </w:r>
    </w:p>
    <w:p w14:paraId="1074956B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5" w:name="n179"/>
      <w:bookmarkEnd w:id="5"/>
      <w:r>
        <w:rPr>
          <w:color w:val="333333"/>
        </w:rPr>
        <w:t>5) розголошення або використання у власних інтересах або в інтересах третіх осіб конфіденційної та іншої інформації з обмеженим доступом, яка стала відомою члену наглядової ради у зв’язку з виконанням його функцій;</w:t>
      </w:r>
    </w:p>
    <w:p w14:paraId="6394E211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6" w:name="n180"/>
      <w:bookmarkEnd w:id="6"/>
      <w:r>
        <w:rPr>
          <w:color w:val="333333"/>
        </w:rPr>
        <w:t>6) набрання законної сили обвинувальним вироком щодо члена наглядової ради;</w:t>
      </w:r>
    </w:p>
    <w:p w14:paraId="61B188DB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7" w:name="n181"/>
      <w:bookmarkEnd w:id="7"/>
      <w:r>
        <w:rPr>
          <w:color w:val="333333"/>
        </w:rPr>
        <w:t>7) подання членом наглядової ради заяви про припинення членства;</w:t>
      </w:r>
    </w:p>
    <w:p w14:paraId="72DC1BDD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8" w:name="n182"/>
      <w:bookmarkEnd w:id="8"/>
      <w:r>
        <w:rPr>
          <w:color w:val="333333"/>
        </w:rPr>
        <w:t>8) заміни члена наглядової ради у зв’язку з плановою ротацією;</w:t>
      </w:r>
    </w:p>
    <w:p w14:paraId="0125D31E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9" w:name="n183"/>
      <w:bookmarkEnd w:id="9"/>
      <w:r>
        <w:rPr>
          <w:color w:val="333333"/>
        </w:rPr>
        <w:t>9) смерті члена наглядової ради;</w:t>
      </w:r>
    </w:p>
    <w:p w14:paraId="2320D3AF" w14:textId="77777777" w:rsidR="00B71ECB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bookmarkStart w:id="10" w:name="n184"/>
      <w:bookmarkEnd w:id="10"/>
      <w:r>
        <w:rPr>
          <w:color w:val="333333"/>
        </w:rPr>
        <w:t xml:space="preserve">10) визнання діяльності наглядової ради незадовільною відповідно </w:t>
      </w:r>
      <w:r w:rsidRPr="00B94D1E">
        <w:t xml:space="preserve">до  цього </w:t>
      </w:r>
      <w:r>
        <w:rPr>
          <w:color w:val="333333"/>
        </w:rPr>
        <w:t>Положення та прийняття власником закладу рішення про формування нового складу наглядової ради.</w:t>
      </w:r>
    </w:p>
    <w:p w14:paraId="3D659361" w14:textId="77777777" w:rsidR="00B71ECB" w:rsidRPr="00CF26A4" w:rsidRDefault="00B71ECB" w:rsidP="00B71ECB">
      <w:pPr>
        <w:pStyle w:val="rvps2"/>
        <w:shd w:val="clear" w:color="auto" w:fill="FFFFFF"/>
        <w:spacing w:before="0" w:beforeAutospacing="0" w:after="0" w:afterAutospacing="0"/>
        <w:ind w:firstLine="709"/>
        <w:jc w:val="both"/>
      </w:pPr>
      <w:bookmarkStart w:id="11" w:name="n185"/>
      <w:bookmarkEnd w:id="11"/>
      <w:r w:rsidRPr="00CF26A4">
        <w:t>Припинення повноважень члена наглядової ради оформляється протоколом наглядової ради. З припиненням повноважень незалежного члена наглядової ради одночасно припиняється дія укладеного з ним цивільно-правового договору.</w:t>
      </w:r>
    </w:p>
    <w:p w14:paraId="7CD3B50E" w14:textId="77777777" w:rsidR="00B71ECB" w:rsidRPr="00CF26A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D5E740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7. Голова і заступник голови</w:t>
      </w:r>
    </w:p>
    <w:p w14:paraId="0915642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7.1. Голова наглядової ради обирається з числа її членів шляхом таємного голосування простою більшістю голосів від складу ради.</w:t>
      </w:r>
    </w:p>
    <w:p w14:paraId="14B12210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7.2. Голова:</w:t>
      </w:r>
    </w:p>
    <w:p w14:paraId="6A74821F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діяльність ради;</w:t>
      </w:r>
    </w:p>
    <w:p w14:paraId="12B0D5F4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контролює виконання плану роботи;</w:t>
      </w:r>
    </w:p>
    <w:p w14:paraId="250C9A54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скликає та веде засідання;</w:t>
      </w:r>
    </w:p>
    <w:p w14:paraId="6F895431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формує пропозиції до порядку денного;</w:t>
      </w:r>
    </w:p>
    <w:p w14:paraId="026FC72D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підписує рішення та інші документи;</w:t>
      </w:r>
    </w:p>
    <w:p w14:paraId="1538C811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роботу комітетів;</w:t>
      </w:r>
    </w:p>
    <w:p w14:paraId="3E5FE8EE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взаємодію з власником і керівником Підприємства;</w:t>
      </w:r>
    </w:p>
    <w:p w14:paraId="0077B826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підготовку щорічного звіту;</w:t>
      </w:r>
    </w:p>
    <w:p w14:paraId="0BE03A70" w14:textId="77777777" w:rsidR="00B71ECB" w:rsidRPr="008C6F64" w:rsidRDefault="00B71ECB" w:rsidP="00B71ECB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представляє раду у відносинах з іншими органами та установами.</w:t>
      </w:r>
    </w:p>
    <w:p w14:paraId="342E89BF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7.3. Заступник голови обирається з числа членів простою більшістю голосів та виконує обов’язки голови у разі його відсутності.</w:t>
      </w:r>
    </w:p>
    <w:p w14:paraId="7867260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C0274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8. Секретар</w:t>
      </w:r>
    </w:p>
    <w:p w14:paraId="3B66D4B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8.1. Організаційне забезпечення діяльності ради здійснює секретар.</w:t>
      </w:r>
    </w:p>
    <w:p w14:paraId="72FB294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8.2. Секретарем є працівник Підприємства, обраний радою простою більшістю голосів.</w:t>
      </w:r>
    </w:p>
    <w:p w14:paraId="286B567F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8.3. Секретар:</w:t>
      </w:r>
    </w:p>
    <w:p w14:paraId="38E2078D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членів ради інформацією;</w:t>
      </w:r>
    </w:p>
    <w:p w14:paraId="524875A7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lastRenderedPageBreak/>
        <w:t>готує матеріали до засідань;</w:t>
      </w:r>
    </w:p>
    <w:p w14:paraId="40D661CF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повідомляє про дату і час засідання;</w:t>
      </w:r>
    </w:p>
    <w:p w14:paraId="7B730961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веде протоколи;</w:t>
      </w:r>
    </w:p>
    <w:p w14:paraId="073BBD83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організовує підписання документів;</w:t>
      </w:r>
    </w:p>
    <w:p w14:paraId="19E1F407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веде облік присутності;</w:t>
      </w:r>
    </w:p>
    <w:p w14:paraId="0C5B752E" w14:textId="77777777" w:rsidR="00B71ECB" w:rsidRPr="008C6F64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реєструє кореспонденцію;</w:t>
      </w:r>
    </w:p>
    <w:p w14:paraId="2BAB27E0" w14:textId="77777777" w:rsidR="00B71ECB" w:rsidRDefault="00B71ECB" w:rsidP="00B71ECB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забезпечує оприлюднення інформації про діяльність ради.</w:t>
      </w:r>
    </w:p>
    <w:p w14:paraId="60257EC3" w14:textId="77777777" w:rsidR="00B71ECB" w:rsidRPr="008C6F64" w:rsidRDefault="00B71ECB" w:rsidP="00B71ECB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CD622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9. Організація роботи</w:t>
      </w:r>
    </w:p>
    <w:p w14:paraId="652FA14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9.1. Наглядова рада працює відповідно до щорічного плану роботи.</w:t>
      </w:r>
    </w:p>
    <w:p w14:paraId="6F4B1335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9.2. Формою роботи є засідання.</w:t>
      </w:r>
    </w:p>
    <w:p w14:paraId="2E2CC01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9.3. Засідання проводяться за особисто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 членів або, за необхідності, із застосуванням засобів електронного зв’язку.</w:t>
      </w:r>
    </w:p>
    <w:p w14:paraId="05D29C5C" w14:textId="77777777" w:rsidR="00B71ECB" w:rsidRPr="007B3D87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 xml:space="preserve">9.4. Засідання проводяться у разі потреби, але </w:t>
      </w:r>
      <w:r w:rsidRPr="007B3D87">
        <w:rPr>
          <w:rFonts w:ascii="Times New Roman" w:eastAsia="Times New Roman" w:hAnsi="Times New Roman" w:cs="Times New Roman"/>
          <w:sz w:val="24"/>
          <w:szCs w:val="24"/>
        </w:rPr>
        <w:t>не рідше одного разу на квартал.</w:t>
      </w:r>
    </w:p>
    <w:p w14:paraId="7BC53302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9.5. Засідання є правоможним за наявності кворуму у складі не менше двох третин членів наглядової ради, при цьому не менше половини присутніх повинні становити незалежні члени.</w:t>
      </w:r>
    </w:p>
    <w:p w14:paraId="5742DFC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9.6. Позачергове засідання може бути скликане на вимогу:</w:t>
      </w:r>
    </w:p>
    <w:p w14:paraId="3B8F4EC6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голови;</w:t>
      </w:r>
    </w:p>
    <w:p w14:paraId="03CDE357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власника;</w:t>
      </w:r>
    </w:p>
    <w:p w14:paraId="0C97392E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генерального директора;</w:t>
      </w:r>
    </w:p>
    <w:p w14:paraId="20795282" w14:textId="77777777" w:rsidR="00B71ECB" w:rsidRPr="008C6F64" w:rsidRDefault="00B71ECB" w:rsidP="00B71ECB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не менше однієї третини членів наглядової ради.</w:t>
      </w:r>
    </w:p>
    <w:p w14:paraId="695F12ED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9.7. Засідання можуть бути відкритими або закритими. Питання, пов’язані з інформацією з обмеженим доступом, розглядаються в закритому режимі.</w:t>
      </w:r>
    </w:p>
    <w:p w14:paraId="7F65F5C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937BF0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10. Прийняття рішень</w:t>
      </w:r>
    </w:p>
    <w:p w14:paraId="06065E2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10.1. Рішення приймаються відкритим голосуванням більшістю голосів членів, присутніх на засіданні, крім випадків таємного голосування, передбачених цим Положенням або законодавством.</w:t>
      </w:r>
    </w:p>
    <w:p w14:paraId="3D5718AC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10.2. Кожен член має один голос.</w:t>
      </w:r>
    </w:p>
    <w:p w14:paraId="515A46C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10.3. Передача голосу іншій особі не допускається.</w:t>
      </w:r>
    </w:p>
    <w:p w14:paraId="0F5A9817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3FA9">
        <w:rPr>
          <w:rFonts w:ascii="Times New Roman" w:eastAsia="Times New Roman" w:hAnsi="Times New Roman" w:cs="Times New Roman"/>
          <w:sz w:val="24"/>
          <w:szCs w:val="24"/>
        </w:rPr>
        <w:t>10.4. У разі рівного розподілу голосів проводиться повторне голосування. Голова не має вирішального голосу.</w:t>
      </w:r>
    </w:p>
    <w:p w14:paraId="218962A1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10.5. Рішення оформлюються протоколом.</w:t>
      </w:r>
    </w:p>
    <w:p w14:paraId="2E997DC6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10.6. Протокол підписується головуючим та секретарем.</w:t>
      </w:r>
    </w:p>
    <w:p w14:paraId="517AF31D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10.7. Член ради, який не погоджується з рішенням, має право надати письмову окрему думку, яка додається до протоколу.</w:t>
      </w:r>
    </w:p>
    <w:p w14:paraId="0B907436" w14:textId="77777777" w:rsidR="00B71ECB" w:rsidRPr="008C6F64" w:rsidRDefault="00B71ECB" w:rsidP="006B2C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C6F94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11. Комітети</w:t>
      </w:r>
    </w:p>
    <w:p w14:paraId="4F562BCD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11.1. Для попереднього вивчення окремих питань наглядова рада може утворювати постійні та тимчасові комітети.</w:t>
      </w:r>
    </w:p>
    <w:p w14:paraId="37DB3FD9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11.2. До складу комітетів можуть залучатися зовнішні експерти з правом дорадчого голосу.</w:t>
      </w:r>
    </w:p>
    <w:p w14:paraId="712D42A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379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12. Звітність та оцінювання діяльності</w:t>
      </w:r>
    </w:p>
    <w:p w14:paraId="10C07994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12.1. Наглядова рада щороку готує звіт про свою діяльність.</w:t>
      </w:r>
    </w:p>
    <w:p w14:paraId="4304D68B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12.2. Звіт подається Чорноморській міській раді та оприлюднюється відповідно до законодавства.</w:t>
      </w:r>
    </w:p>
    <w:p w14:paraId="2BA759A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12.3. Власник оцінює діяльність наглядової ради відповідно до встановлених законодавством критеріїв.</w:t>
      </w:r>
    </w:p>
    <w:p w14:paraId="4E28311E" w14:textId="77777777" w:rsidR="00B71ECB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12.4. У випадках та порядку, визначених законодавством, власник може визнати діяльність наглядової ради незадовільною та прийняти рішення про формування її нового складу.</w:t>
      </w:r>
    </w:p>
    <w:p w14:paraId="76F11B9E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D86CB" w14:textId="77777777" w:rsidR="00B71ECB" w:rsidRPr="008C6F64" w:rsidRDefault="00B71ECB" w:rsidP="00B71ECB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b/>
          <w:bCs/>
          <w:sz w:val="24"/>
          <w:szCs w:val="24"/>
        </w:rPr>
        <w:t>13. Прикінцеві положення</w:t>
      </w:r>
    </w:p>
    <w:p w14:paraId="73E8E01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13.1. Питання, не врегульовані цим Положенням, регулюються законодавством України та Статутом Підприємства.</w:t>
      </w:r>
    </w:p>
    <w:p w14:paraId="47EA34CA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6F64">
        <w:rPr>
          <w:rFonts w:ascii="Times New Roman" w:eastAsia="Times New Roman" w:hAnsi="Times New Roman" w:cs="Times New Roman"/>
          <w:sz w:val="24"/>
          <w:szCs w:val="24"/>
        </w:rPr>
        <w:t>13.2. У разі суперечності норм цього Положення нормативно-правовим актам вищої юридичної сили застосовуються відповідні норми законодавства України.</w:t>
      </w:r>
    </w:p>
    <w:p w14:paraId="7EF80039" w14:textId="77777777" w:rsidR="00B71ECB" w:rsidRPr="008C6F64" w:rsidRDefault="00B71ECB" w:rsidP="00B71ECB">
      <w:pPr>
        <w:pStyle w:val="a3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2D788E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A769E26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9E0B58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4B8D87" w14:textId="1BE40614" w:rsidR="006B2C42" w:rsidRDefault="00B71ECB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2C42">
        <w:rPr>
          <w:rFonts w:ascii="Times New Roman" w:hAnsi="Times New Roman" w:cs="Times New Roman"/>
          <w:sz w:val="24"/>
          <w:szCs w:val="24"/>
        </w:rPr>
        <w:t xml:space="preserve"> </w:t>
      </w:r>
      <w:r w:rsidR="00331822">
        <w:rPr>
          <w:rFonts w:ascii="Times New Roman" w:hAnsi="Times New Roman" w:cs="Times New Roman"/>
          <w:sz w:val="24"/>
          <w:szCs w:val="24"/>
        </w:rPr>
        <w:t>В.о. н</w:t>
      </w:r>
      <w:r w:rsidR="006B2C42">
        <w:rPr>
          <w:rFonts w:ascii="Times New Roman" w:hAnsi="Times New Roman" w:cs="Times New Roman"/>
          <w:sz w:val="24"/>
          <w:szCs w:val="24"/>
        </w:rPr>
        <w:t>ачальник</w:t>
      </w:r>
      <w:r w:rsidR="00331822">
        <w:rPr>
          <w:rFonts w:ascii="Times New Roman" w:hAnsi="Times New Roman" w:cs="Times New Roman"/>
          <w:sz w:val="24"/>
          <w:szCs w:val="24"/>
        </w:rPr>
        <w:t>а</w:t>
      </w:r>
      <w:r w:rsidR="006B2C42"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7181518D" w14:textId="77777777" w:rsidR="006B2C42" w:rsidRDefault="006B2C42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управління комунальної власності   </w:t>
      </w:r>
    </w:p>
    <w:p w14:paraId="09228271" w14:textId="0605276A" w:rsidR="006B2C42" w:rsidRDefault="006B2C42" w:rsidP="006B2C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та земельних відносин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331822">
        <w:rPr>
          <w:rFonts w:ascii="Times New Roman" w:hAnsi="Times New Roman" w:cs="Times New Roman"/>
          <w:sz w:val="24"/>
          <w:szCs w:val="24"/>
        </w:rPr>
        <w:t xml:space="preserve">                Інна ЄВСІЄНКО</w:t>
      </w:r>
    </w:p>
    <w:p w14:paraId="38365B9D" w14:textId="0BF2D20A" w:rsidR="00B71ECB" w:rsidRDefault="00B71ECB" w:rsidP="006B2C4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865701A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68A55AA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405016D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F145B95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0A4AAE" w14:textId="77777777" w:rsidR="00B71ECB" w:rsidRDefault="00B71ECB" w:rsidP="00B71E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7143092" w14:textId="77777777" w:rsidR="00AC776B" w:rsidRDefault="00AC776B"/>
    <w:sectPr w:rsidR="00AC776B" w:rsidSect="00283897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AE200" w14:textId="77777777" w:rsidR="00DC3874" w:rsidRDefault="00DC3874" w:rsidP="00283897">
      <w:pPr>
        <w:spacing w:after="0" w:line="240" w:lineRule="auto"/>
      </w:pPr>
      <w:r>
        <w:separator/>
      </w:r>
    </w:p>
  </w:endnote>
  <w:endnote w:type="continuationSeparator" w:id="0">
    <w:p w14:paraId="2AD950D6" w14:textId="77777777" w:rsidR="00DC3874" w:rsidRDefault="00DC3874" w:rsidP="00283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6A4E" w14:textId="77777777" w:rsidR="00DC3874" w:rsidRDefault="00DC3874" w:rsidP="00283897">
      <w:pPr>
        <w:spacing w:after="0" w:line="240" w:lineRule="auto"/>
      </w:pPr>
      <w:r>
        <w:separator/>
      </w:r>
    </w:p>
  </w:footnote>
  <w:footnote w:type="continuationSeparator" w:id="0">
    <w:p w14:paraId="6B5BDFCA" w14:textId="77777777" w:rsidR="00DC3874" w:rsidRDefault="00DC3874" w:rsidP="00283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7663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14F9789" w14:textId="602A1FD7" w:rsidR="00283897" w:rsidRPr="00283897" w:rsidRDefault="00283897" w:rsidP="00283897">
        <w:pPr>
          <w:pStyle w:val="a4"/>
          <w:jc w:val="center"/>
          <w:rPr>
            <w:rFonts w:ascii="Times New Roman" w:hAnsi="Times New Roman" w:cs="Times New Roman"/>
          </w:rPr>
        </w:pPr>
        <w:r>
          <w:t xml:space="preserve">                                                                                         </w:t>
        </w:r>
        <w:r w:rsidRPr="00283897">
          <w:rPr>
            <w:rFonts w:ascii="Times New Roman" w:hAnsi="Times New Roman" w:cs="Times New Roman"/>
          </w:rPr>
          <w:fldChar w:fldCharType="begin"/>
        </w:r>
        <w:r w:rsidRPr="00283897">
          <w:rPr>
            <w:rFonts w:ascii="Times New Roman" w:hAnsi="Times New Roman" w:cs="Times New Roman"/>
          </w:rPr>
          <w:instrText>PAGE   \* MERGEFORMAT</w:instrText>
        </w:r>
        <w:r w:rsidRPr="00283897">
          <w:rPr>
            <w:rFonts w:ascii="Times New Roman" w:hAnsi="Times New Roman" w:cs="Times New Roman"/>
          </w:rPr>
          <w:fldChar w:fldCharType="separate"/>
        </w:r>
        <w:r w:rsidRPr="00283897">
          <w:rPr>
            <w:rFonts w:ascii="Times New Roman" w:hAnsi="Times New Roman" w:cs="Times New Roman"/>
          </w:rPr>
          <w:t>2</w:t>
        </w:r>
        <w:r w:rsidRPr="00283897">
          <w:rPr>
            <w:rFonts w:ascii="Times New Roman" w:hAnsi="Times New Roman" w:cs="Times New Roman"/>
          </w:rPr>
          <w:fldChar w:fldCharType="end"/>
        </w:r>
        <w:r w:rsidRPr="00283897">
          <w:rPr>
            <w:rFonts w:ascii="Times New Roman" w:hAnsi="Times New Roman" w:cs="Times New Roman"/>
          </w:rPr>
          <w:t xml:space="preserve"> </w:t>
        </w:r>
        <w:sdt>
          <w:sdtPr>
            <w:rPr>
              <w:rFonts w:ascii="Times New Roman" w:hAnsi="Times New Roman" w:cs="Times New Roman"/>
            </w:rPr>
            <w:id w:val="-122698787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283897">
              <w:rPr>
                <w:rFonts w:ascii="Times New Roman" w:hAnsi="Times New Roman" w:cs="Times New Roman"/>
              </w:rPr>
              <w:t xml:space="preserve"> Продовження додатка 2</w:t>
            </w:r>
          </w:sdtContent>
        </w:sdt>
      </w:p>
    </w:sdtContent>
  </w:sdt>
  <w:p w14:paraId="13D22CDA" w14:textId="77777777" w:rsidR="00283897" w:rsidRDefault="002838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EF7"/>
    <w:multiLevelType w:val="hybridMultilevel"/>
    <w:tmpl w:val="52026A4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A6E"/>
    <w:multiLevelType w:val="hybridMultilevel"/>
    <w:tmpl w:val="E0246F1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A7651"/>
    <w:multiLevelType w:val="hybridMultilevel"/>
    <w:tmpl w:val="A7F4A59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C4587"/>
    <w:multiLevelType w:val="hybridMultilevel"/>
    <w:tmpl w:val="31A4BC34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3650F"/>
    <w:multiLevelType w:val="hybridMultilevel"/>
    <w:tmpl w:val="8674704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65770"/>
    <w:multiLevelType w:val="hybridMultilevel"/>
    <w:tmpl w:val="5ADC252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31A91"/>
    <w:multiLevelType w:val="hybridMultilevel"/>
    <w:tmpl w:val="ABF8D9B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42286"/>
    <w:multiLevelType w:val="hybridMultilevel"/>
    <w:tmpl w:val="639A607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DA7D4D"/>
    <w:multiLevelType w:val="hybridMultilevel"/>
    <w:tmpl w:val="7CF665C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A9"/>
    <w:rsid w:val="00283897"/>
    <w:rsid w:val="00331822"/>
    <w:rsid w:val="004704B9"/>
    <w:rsid w:val="006B2C42"/>
    <w:rsid w:val="009702A9"/>
    <w:rsid w:val="00AC776B"/>
    <w:rsid w:val="00AD4DFD"/>
    <w:rsid w:val="00B71ECB"/>
    <w:rsid w:val="00D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AFB2"/>
  <w15:chartTrackingRefBased/>
  <w15:docId w15:val="{FB22B952-C1A5-446C-A4EA-F35F84EF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ECB"/>
    <w:pPr>
      <w:spacing w:after="0" w:line="240" w:lineRule="auto"/>
    </w:pPr>
  </w:style>
  <w:style w:type="paragraph" w:customStyle="1" w:styleId="rvps2">
    <w:name w:val="rvps2"/>
    <w:basedOn w:val="a"/>
    <w:rsid w:val="00B7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28389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83897"/>
  </w:style>
  <w:style w:type="paragraph" w:styleId="a6">
    <w:name w:val="footer"/>
    <w:basedOn w:val="a"/>
    <w:link w:val="a7"/>
    <w:uiPriority w:val="99"/>
    <w:unhideWhenUsed/>
    <w:rsid w:val="0028389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83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9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skripnichenko</cp:lastModifiedBy>
  <cp:revision>6</cp:revision>
  <dcterms:created xsi:type="dcterms:W3CDTF">2026-09-18T07:12:00Z</dcterms:created>
  <dcterms:modified xsi:type="dcterms:W3CDTF">2026-09-25T08:36:00Z</dcterms:modified>
</cp:coreProperties>
</file>