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C9" w:rsidRDefault="008C7BC9" w:rsidP="008C7BC9">
      <w:pPr>
        <w:jc w:val="center"/>
      </w:pPr>
      <w:r w:rsidRPr="005D27F0">
        <w:rPr>
          <w:noProof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C9" w:rsidRDefault="008C7BC9" w:rsidP="008C7BC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8C7BC9" w:rsidRDefault="008C7BC9" w:rsidP="008C7BC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8C7BC9" w:rsidRDefault="008C7BC9" w:rsidP="008C7BC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8C7BC9" w:rsidRDefault="008C7BC9" w:rsidP="008C7BC9"/>
    <w:p w:rsidR="008C7BC9" w:rsidRDefault="008C7BC9" w:rsidP="008C7BC9">
      <w:pPr>
        <w:ind w:right="282"/>
        <w:rPr>
          <w:sz w:val="2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18DC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BB8B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 27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04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102</w:t>
      </w: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</w:t>
      </w:r>
      <w:r w:rsidR="007F6C31">
        <w:rPr>
          <w:rStyle w:val="1"/>
          <w:sz w:val="24"/>
          <w:szCs w:val="24"/>
        </w:rPr>
        <w:t>ці</w:t>
      </w:r>
      <w:r w:rsidRPr="00652A89">
        <w:rPr>
          <w:rStyle w:val="1"/>
          <w:sz w:val="24"/>
          <w:szCs w:val="24"/>
        </w:rPr>
        <w:t xml:space="preserve"> комунальної установи «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Pr="00652A89">
        <w:rPr>
          <w:rStyle w:val="1"/>
          <w:sz w:val="24"/>
          <w:szCs w:val="24"/>
        </w:rPr>
        <w:t>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7F6C31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>обсяг викон</w:t>
      </w:r>
      <w:r w:rsidR="000E1324">
        <w:rPr>
          <w:rStyle w:val="1"/>
          <w:sz w:val="24"/>
          <w:szCs w:val="24"/>
        </w:rPr>
        <w:t>аних</w:t>
      </w:r>
      <w:r w:rsidR="004E44EA" w:rsidRPr="00652A89">
        <w:rPr>
          <w:rStyle w:val="1"/>
          <w:sz w:val="24"/>
          <w:szCs w:val="24"/>
        </w:rPr>
        <w:t xml:space="preserve"> робіт у </w:t>
      </w:r>
      <w:r w:rsidR="00D849B3">
        <w:rPr>
          <w:rStyle w:val="1"/>
          <w:sz w:val="24"/>
          <w:szCs w:val="24"/>
        </w:rPr>
        <w:t>квітні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="00CB2F2E"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</w:t>
      </w:r>
      <w:r w:rsidR="007C6E3B">
        <w:rPr>
          <w:rStyle w:val="1"/>
          <w:sz w:val="24"/>
          <w:szCs w:val="24"/>
        </w:rPr>
        <w:t>Молодіжний центр міста Чорноморська</w:t>
      </w:r>
      <w:r w:rsidR="00CB2F2E" w:rsidRPr="00652A89">
        <w:rPr>
          <w:rStyle w:val="1"/>
          <w:sz w:val="24"/>
          <w:szCs w:val="24"/>
        </w:rPr>
        <w:t>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="00CB2F2E" w:rsidRPr="00652A89">
        <w:rPr>
          <w:rStyle w:val="1"/>
          <w:sz w:val="24"/>
          <w:szCs w:val="24"/>
        </w:rPr>
        <w:t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</w:t>
      </w:r>
      <w:r w:rsidR="007F60DB">
        <w:rPr>
          <w:rStyle w:val="1"/>
          <w:sz w:val="24"/>
          <w:szCs w:val="24"/>
        </w:rPr>
        <w:t xml:space="preserve"> </w:t>
      </w:r>
      <w:r w:rsidR="00CB2F2E" w:rsidRPr="00652A89">
        <w:rPr>
          <w:rStyle w:val="1"/>
          <w:sz w:val="24"/>
          <w:szCs w:val="24"/>
        </w:rPr>
        <w:t>30 серпня 2002 року № 1298</w:t>
      </w:r>
      <w:r w:rsidR="00C71DDA" w:rsidRPr="00652A89">
        <w:rPr>
          <w:sz w:val="24"/>
          <w:szCs w:val="24"/>
          <w:lang w:val="uk-UA"/>
        </w:rPr>
        <w:t>, керуючись статтею 42 Закону України "Про місцеве самоврядування в Україні",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7F6C31">
        <w:rPr>
          <w:rStyle w:val="1"/>
          <w:sz w:val="24"/>
          <w:szCs w:val="24"/>
        </w:rPr>
        <w:t xml:space="preserve">за </w:t>
      </w:r>
      <w:r w:rsidR="00D849B3">
        <w:rPr>
          <w:rStyle w:val="1"/>
          <w:sz w:val="24"/>
          <w:szCs w:val="24"/>
        </w:rPr>
        <w:t>квітень</w:t>
      </w:r>
      <w:r w:rsidR="007F6C31">
        <w:rPr>
          <w:rStyle w:val="1"/>
          <w:sz w:val="24"/>
          <w:szCs w:val="24"/>
        </w:rPr>
        <w:t xml:space="preserve"> </w:t>
      </w:r>
      <w:r w:rsidR="00E11596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="007F6C31">
        <w:rPr>
          <w:rStyle w:val="1"/>
          <w:sz w:val="24"/>
          <w:szCs w:val="24"/>
        </w:rPr>
        <w:t>ку</w:t>
      </w:r>
      <w:r w:rsidR="00E11596"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="00E11596"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>Тетяну Медведєву</w:t>
      </w:r>
      <w:r w:rsidR="00E11596" w:rsidRPr="00652A89">
        <w:rPr>
          <w:rStyle w:val="1"/>
          <w:sz w:val="24"/>
          <w:szCs w:val="24"/>
        </w:rPr>
        <w:t xml:space="preserve"> у розмірі 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D849B3">
        <w:rPr>
          <w:rStyle w:val="1"/>
          <w:sz w:val="24"/>
          <w:szCs w:val="24"/>
        </w:rPr>
        <w:t>квітень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</w:t>
      </w:r>
      <w:r w:rsidR="007F6C31">
        <w:rPr>
          <w:rStyle w:val="1"/>
          <w:sz w:val="24"/>
          <w:szCs w:val="24"/>
        </w:rPr>
        <w:t>ці</w:t>
      </w:r>
      <w:r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 xml:space="preserve">Тетяні </w:t>
      </w:r>
      <w:proofErr w:type="spellStart"/>
      <w:r w:rsidR="007F6C31">
        <w:rPr>
          <w:rStyle w:val="1"/>
          <w:sz w:val="24"/>
          <w:szCs w:val="24"/>
        </w:rPr>
        <w:t>Медведєвій</w:t>
      </w:r>
      <w:proofErr w:type="spellEnd"/>
      <w:r w:rsidR="007F6C31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Лубковського</w:t>
      </w:r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160B2F" w:rsidRDefault="004B7AA4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  <w:bookmarkStart w:id="0" w:name="_GoBack"/>
      <w:bookmarkEnd w:id="0"/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Pr="00160B2F" w:rsidRDefault="00160B2F" w:rsidP="00160B2F">
      <w:pPr>
        <w:ind w:right="-284"/>
        <w:jc w:val="both"/>
        <w:rPr>
          <w:rFonts w:cs="Times New Roman"/>
          <w:bCs/>
          <w:sz w:val="24"/>
          <w:szCs w:val="24"/>
          <w:shd w:val="clear" w:color="auto" w:fill="FFFFFF"/>
          <w:lang w:val="uk-UA"/>
        </w:rPr>
      </w:pPr>
    </w:p>
    <w:sectPr w:rsidR="00160B2F" w:rsidRPr="00160B2F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4A"/>
    <w:rsid w:val="00020345"/>
    <w:rsid w:val="000251F4"/>
    <w:rsid w:val="00073117"/>
    <w:rsid w:val="000E1324"/>
    <w:rsid w:val="00105780"/>
    <w:rsid w:val="00126803"/>
    <w:rsid w:val="0015409E"/>
    <w:rsid w:val="00160B2F"/>
    <w:rsid w:val="00183B7D"/>
    <w:rsid w:val="00185510"/>
    <w:rsid w:val="00187A1F"/>
    <w:rsid w:val="001C60C2"/>
    <w:rsid w:val="001F22DE"/>
    <w:rsid w:val="002257A0"/>
    <w:rsid w:val="00235175"/>
    <w:rsid w:val="002614C6"/>
    <w:rsid w:val="0027545F"/>
    <w:rsid w:val="002C594C"/>
    <w:rsid w:val="002D3869"/>
    <w:rsid w:val="002E686D"/>
    <w:rsid w:val="00326A30"/>
    <w:rsid w:val="003311F8"/>
    <w:rsid w:val="003477C6"/>
    <w:rsid w:val="00350A68"/>
    <w:rsid w:val="00363A5A"/>
    <w:rsid w:val="003A2312"/>
    <w:rsid w:val="003E31B0"/>
    <w:rsid w:val="00401AF7"/>
    <w:rsid w:val="00406553"/>
    <w:rsid w:val="00416C81"/>
    <w:rsid w:val="00464BFD"/>
    <w:rsid w:val="004846BA"/>
    <w:rsid w:val="00485B86"/>
    <w:rsid w:val="004931CF"/>
    <w:rsid w:val="004B602F"/>
    <w:rsid w:val="004B7019"/>
    <w:rsid w:val="004B7AA4"/>
    <w:rsid w:val="004E44EA"/>
    <w:rsid w:val="00535E12"/>
    <w:rsid w:val="00597F5D"/>
    <w:rsid w:val="005B1CCE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60E2F"/>
    <w:rsid w:val="00783A06"/>
    <w:rsid w:val="007C6E3B"/>
    <w:rsid w:val="007D10C6"/>
    <w:rsid w:val="007F60DB"/>
    <w:rsid w:val="007F6C31"/>
    <w:rsid w:val="008001A6"/>
    <w:rsid w:val="008242FF"/>
    <w:rsid w:val="00853BC2"/>
    <w:rsid w:val="00870751"/>
    <w:rsid w:val="00871E1E"/>
    <w:rsid w:val="008721AB"/>
    <w:rsid w:val="008A1F98"/>
    <w:rsid w:val="008C7BC9"/>
    <w:rsid w:val="008D45AE"/>
    <w:rsid w:val="00922C48"/>
    <w:rsid w:val="00943F6D"/>
    <w:rsid w:val="00965601"/>
    <w:rsid w:val="00995F34"/>
    <w:rsid w:val="00A06569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C12B63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571D0"/>
    <w:rsid w:val="00D650B6"/>
    <w:rsid w:val="00D76AC6"/>
    <w:rsid w:val="00D849B3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32D76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A3CDF"/>
    <w:rsid w:val="00FA6131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094DE9"/>
  <w15:docId w15:val="{07CF3891-2760-4D37-A9A0-4F4B563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CC4A-E618-4D8A-93E3-4AA56D99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10</cp:revision>
  <cp:lastPrinted>2023-04-25T08:48:00Z</cp:lastPrinted>
  <dcterms:created xsi:type="dcterms:W3CDTF">2023-03-22T11:38:00Z</dcterms:created>
  <dcterms:modified xsi:type="dcterms:W3CDTF">2023-04-27T07:13:00Z</dcterms:modified>
</cp:coreProperties>
</file>