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B2BC" w14:textId="5D33A3AD" w:rsidR="0030209F" w:rsidRPr="0030209F" w:rsidRDefault="0030209F" w:rsidP="0030209F">
      <w:pPr>
        <w:pStyle w:val="a4"/>
        <w:shd w:val="clear" w:color="auto" w:fill="FFFFFF"/>
        <w:spacing w:after="0" w:line="240" w:lineRule="auto"/>
        <w:ind w:firstLine="410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209F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3FF074EA" w14:textId="77777777" w:rsidR="0030209F" w:rsidRDefault="0030209F" w:rsidP="0030209F">
      <w:pPr>
        <w:pStyle w:val="a4"/>
        <w:shd w:val="clear" w:color="auto" w:fill="FFFFFF"/>
        <w:spacing w:after="0" w:line="240" w:lineRule="auto"/>
        <w:ind w:firstLine="410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0209F">
        <w:rPr>
          <w:rFonts w:ascii="Times New Roman" w:hAnsi="Times New Roman" w:cs="Times New Roman"/>
          <w:sz w:val="24"/>
          <w:szCs w:val="24"/>
          <w:lang w:val="uk-UA"/>
        </w:rPr>
        <w:t xml:space="preserve">о рішення сесії </w:t>
      </w:r>
      <w:proofErr w:type="spellStart"/>
      <w:r w:rsidRPr="0030209F"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 w:rsidRPr="0030209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</w:p>
    <w:p w14:paraId="256BC4A0" w14:textId="06C20DF4" w:rsidR="0030209F" w:rsidRPr="00BA2EF5" w:rsidRDefault="0030209F" w:rsidP="0030209F">
      <w:pPr>
        <w:pStyle w:val="a4"/>
        <w:shd w:val="clear" w:color="auto" w:fill="FFFFFF"/>
        <w:spacing w:after="0" w:line="240" w:lineRule="auto"/>
        <w:ind w:firstLine="41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09F">
        <w:rPr>
          <w:rFonts w:ascii="Times New Roman" w:hAnsi="Times New Roman" w:cs="Times New Roman"/>
          <w:sz w:val="24"/>
          <w:szCs w:val="24"/>
          <w:lang w:val="uk-UA"/>
        </w:rPr>
        <w:t>ради від 16.02.2024 року №000-30-</w:t>
      </w:r>
      <w:r w:rsidRPr="0030209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2C6B9C73" w14:textId="77777777" w:rsidR="00DD78DC" w:rsidRDefault="00DD78DC" w:rsidP="00DD7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A2C7E9" w14:textId="77777777" w:rsidR="00DD78DC" w:rsidRDefault="00DD78DC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14:paraId="5673436B" w14:textId="77777777" w:rsidR="00DD78DC" w:rsidRDefault="00DD78DC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14:paraId="346AE9D1" w14:textId="77777777" w:rsidR="00DD78DC" w:rsidRDefault="00DD78DC" w:rsidP="000763AA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14:paraId="1675F2E4" w14:textId="77777777" w:rsidR="0069340F" w:rsidRDefault="0069340F" w:rsidP="000763AA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14:paraId="38435CE0" w14:textId="77777777" w:rsidR="0069340F" w:rsidRDefault="0069340F" w:rsidP="000763AA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14:paraId="72C7C0D1" w14:textId="40F6E98E" w:rsidR="00DD78DC" w:rsidRPr="00CC5AB6" w:rsidRDefault="0030209F" w:rsidP="000763A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C5AB6">
        <w:rPr>
          <w:rFonts w:ascii="Times New Roman" w:hAnsi="Times New Roman" w:cs="Times New Roman"/>
          <w:b/>
          <w:sz w:val="36"/>
          <w:szCs w:val="36"/>
          <w:lang w:val="uk-UA"/>
        </w:rPr>
        <w:t>Програма</w:t>
      </w:r>
    </w:p>
    <w:p w14:paraId="669B6033" w14:textId="77777777" w:rsidR="00CC5AB6" w:rsidRPr="00CC5AB6" w:rsidRDefault="000763AA" w:rsidP="000763A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C5AB6">
        <w:rPr>
          <w:rFonts w:ascii="Times New Roman" w:hAnsi="Times New Roman" w:cs="Times New Roman"/>
          <w:b/>
          <w:sz w:val="36"/>
          <w:szCs w:val="36"/>
          <w:lang w:val="uk-UA"/>
        </w:rPr>
        <w:t>п</w:t>
      </w:r>
      <w:r w:rsidR="0030209F" w:rsidRPr="00CC5AB6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рофілактики правопорушень, забезпечення публічної безпеки та безпеки громадян на території </w:t>
      </w:r>
    </w:p>
    <w:p w14:paraId="1BD07B81" w14:textId="538669F3" w:rsidR="000763AA" w:rsidRPr="00CC5AB6" w:rsidRDefault="0030209F" w:rsidP="000763A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CC5AB6">
        <w:rPr>
          <w:rFonts w:ascii="Times New Roman" w:hAnsi="Times New Roman" w:cs="Times New Roman"/>
          <w:b/>
          <w:sz w:val="36"/>
          <w:szCs w:val="36"/>
          <w:lang w:val="uk-UA"/>
        </w:rPr>
        <w:t>Вороньківської</w:t>
      </w:r>
      <w:proofErr w:type="spellEnd"/>
      <w:r w:rsidRPr="00CC5AB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територіальної громади</w:t>
      </w:r>
    </w:p>
    <w:p w14:paraId="31CF3CC0" w14:textId="1E96D75B" w:rsidR="0030209F" w:rsidRPr="00CC5AB6" w:rsidRDefault="000763AA" w:rsidP="000763A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C5AB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 2024-2026 роки</w:t>
      </w:r>
    </w:p>
    <w:p w14:paraId="632D0D7E" w14:textId="77777777" w:rsidR="00DD78DC" w:rsidRDefault="00DD78DC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14:paraId="03425039" w14:textId="77777777" w:rsidR="00DD78DC" w:rsidRDefault="00DD78DC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14:paraId="1D22AF25" w14:textId="77777777" w:rsidR="00B457A9" w:rsidRDefault="00B457A9" w:rsidP="00B457A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6A5EA1E" w14:textId="77777777" w:rsidR="00B457A9" w:rsidRDefault="00B457A9" w:rsidP="00B457A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6136C46" w14:textId="77777777" w:rsidR="00307F59" w:rsidRDefault="00307F59" w:rsidP="00B457A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22D7812" w14:textId="77777777" w:rsidR="00307F59" w:rsidRDefault="00307F59" w:rsidP="00B457A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AD8EA15" w14:textId="77777777" w:rsidR="00307F59" w:rsidRDefault="00307F59" w:rsidP="00B457A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E9918D8" w14:textId="77777777" w:rsidR="00307F59" w:rsidRDefault="00307F59" w:rsidP="00B457A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25B01FF" w14:textId="77777777" w:rsidR="00307F59" w:rsidRPr="00CC5AB6" w:rsidRDefault="00307F59" w:rsidP="00B457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6839EC" w14:textId="77777777" w:rsidR="0096521E" w:rsidRPr="00CC5AB6" w:rsidRDefault="00BD212E" w:rsidP="00F87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307F59" w:rsidRPr="00CC5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AB91A01" w14:textId="0B39879B" w:rsidR="00CC5AB6" w:rsidRPr="00CC5AB6" w:rsidRDefault="00CC5AB6" w:rsidP="005A75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5AB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14:paraId="6843FF10" w14:textId="5F5CD962" w:rsidR="00CC5AB6" w:rsidRPr="00CC5AB6" w:rsidRDefault="00CC5AB6" w:rsidP="00CC5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57092367"/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профілактики правопорушень, забезпечення публічної безпеки та безпеки громадян на території </w:t>
      </w:r>
      <w:proofErr w:type="spellStart"/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Вороньківської</w:t>
      </w:r>
      <w:proofErr w:type="spellEnd"/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 громади на 2024-2026 роки</w:t>
      </w:r>
    </w:p>
    <w:bookmarkEnd w:id="0"/>
    <w:p w14:paraId="4C1141A7" w14:textId="77777777" w:rsidR="00CC5AB6" w:rsidRPr="005A752F" w:rsidRDefault="00CC5AB6" w:rsidP="005A75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886"/>
        <w:gridCol w:w="4797"/>
      </w:tblGrid>
      <w:tr w:rsidR="001F199B" w:rsidRPr="00137B65" w14:paraId="1C319281" w14:textId="77777777" w:rsidTr="00CC5AB6">
        <w:tc>
          <w:tcPr>
            <w:tcW w:w="673" w:type="dxa"/>
            <w:shd w:val="clear" w:color="auto" w:fill="auto"/>
          </w:tcPr>
          <w:p w14:paraId="2A565DC2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971" w:type="dxa"/>
            <w:shd w:val="clear" w:color="auto" w:fill="auto"/>
          </w:tcPr>
          <w:p w14:paraId="4E5795C5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27" w:type="dxa"/>
            <w:shd w:val="clear" w:color="auto" w:fill="auto"/>
          </w:tcPr>
          <w:p w14:paraId="11198C8C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Бориспільське </w:t>
            </w:r>
            <w:r w:rsidR="00340E0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 ГУНП в Київській області</w:t>
            </w:r>
          </w:p>
        </w:tc>
      </w:tr>
      <w:tr w:rsidR="001F199B" w:rsidRPr="00137B65" w14:paraId="08CEAB6D" w14:textId="77777777" w:rsidTr="00CC5AB6">
        <w:tc>
          <w:tcPr>
            <w:tcW w:w="673" w:type="dxa"/>
            <w:shd w:val="clear" w:color="auto" w:fill="auto"/>
          </w:tcPr>
          <w:p w14:paraId="34CE28D2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971" w:type="dxa"/>
            <w:shd w:val="clear" w:color="auto" w:fill="auto"/>
          </w:tcPr>
          <w:p w14:paraId="6400BE7A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розпорядчого документа органу виконавчої влади про розроблення програми</w:t>
            </w:r>
          </w:p>
        </w:tc>
        <w:tc>
          <w:tcPr>
            <w:tcW w:w="4927" w:type="dxa"/>
            <w:shd w:val="clear" w:color="auto" w:fill="auto"/>
          </w:tcPr>
          <w:p w14:paraId="0B984563" w14:textId="77777777" w:rsidR="001F199B" w:rsidRPr="00137B65" w:rsidRDefault="001F199B" w:rsidP="00EA3F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Закони України: </w:t>
            </w:r>
          </w:p>
          <w:p w14:paraId="6BAA8C20" w14:textId="77777777" w:rsidR="001F199B" w:rsidRPr="00137B65" w:rsidRDefault="001F199B" w:rsidP="00EA3F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«Про місцеві державні адміністрації», </w:t>
            </w:r>
            <w:r w:rsidR="00A32A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«Про місцеве самоврядування в Україні», </w:t>
            </w:r>
            <w:r w:rsidR="00A32A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«Про Національну поліцію», «Про участь громадян в охороні громадського порядку і державного кордону»</w:t>
            </w:r>
            <w:r w:rsidR="00111B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F199B" w:rsidRPr="00137B65" w14:paraId="7C8C106E" w14:textId="77777777" w:rsidTr="00CC5AB6">
        <w:tc>
          <w:tcPr>
            <w:tcW w:w="673" w:type="dxa"/>
            <w:shd w:val="clear" w:color="auto" w:fill="auto"/>
          </w:tcPr>
          <w:p w14:paraId="7B933B8D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971" w:type="dxa"/>
            <w:shd w:val="clear" w:color="auto" w:fill="auto"/>
          </w:tcPr>
          <w:p w14:paraId="5A6090F3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27" w:type="dxa"/>
            <w:shd w:val="clear" w:color="auto" w:fill="auto"/>
          </w:tcPr>
          <w:p w14:paraId="45A59684" w14:textId="77777777" w:rsidR="001F199B" w:rsidRPr="00137B65" w:rsidRDefault="00340E02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Бориспільське</w:t>
            </w:r>
            <w:r w:rsidR="001F199B"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 w:rsidR="001F19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 ГУНП в Київській області</w:t>
            </w:r>
          </w:p>
        </w:tc>
      </w:tr>
      <w:tr w:rsidR="001F199B" w:rsidRPr="00137B65" w14:paraId="35DEE3AD" w14:textId="77777777" w:rsidTr="00CC5AB6">
        <w:tc>
          <w:tcPr>
            <w:tcW w:w="673" w:type="dxa"/>
            <w:shd w:val="clear" w:color="auto" w:fill="auto"/>
          </w:tcPr>
          <w:p w14:paraId="245F3AEF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71" w:type="dxa"/>
            <w:shd w:val="clear" w:color="auto" w:fill="auto"/>
          </w:tcPr>
          <w:p w14:paraId="746496BF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927" w:type="dxa"/>
            <w:shd w:val="clear" w:color="auto" w:fill="auto"/>
          </w:tcPr>
          <w:p w14:paraId="51F818DE" w14:textId="28DC3282" w:rsidR="001F199B" w:rsidRPr="00137B65" w:rsidRDefault="007E3B70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="00CC5A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иконавчий комітет </w:t>
            </w:r>
            <w:proofErr w:type="spellStart"/>
            <w:r w:rsidR="00CC5A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Вороньківської</w:t>
            </w:r>
            <w:proofErr w:type="spellEnd"/>
            <w:r w:rsidR="00CC5A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A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сілської</w:t>
            </w:r>
            <w:proofErr w:type="spellEnd"/>
            <w:r w:rsidR="00CC5A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1F199B" w:rsidRPr="00137B65" w14:paraId="1841C6B2" w14:textId="77777777" w:rsidTr="00CC5AB6">
        <w:tc>
          <w:tcPr>
            <w:tcW w:w="673" w:type="dxa"/>
            <w:shd w:val="clear" w:color="auto" w:fill="auto"/>
          </w:tcPr>
          <w:p w14:paraId="42D13452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971" w:type="dxa"/>
            <w:shd w:val="clear" w:color="auto" w:fill="auto"/>
          </w:tcPr>
          <w:p w14:paraId="6ED10AC6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27" w:type="dxa"/>
            <w:shd w:val="clear" w:color="auto" w:fill="auto"/>
          </w:tcPr>
          <w:p w14:paraId="649737BA" w14:textId="77777777" w:rsidR="001F199B" w:rsidRPr="00137B65" w:rsidRDefault="00340E02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Бориспільське</w:t>
            </w:r>
            <w:r w:rsidR="001F199B"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 w:rsidR="001F19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 ГУНП в Київській області</w:t>
            </w:r>
          </w:p>
        </w:tc>
      </w:tr>
      <w:tr w:rsidR="001F199B" w:rsidRPr="00137B65" w14:paraId="487C1D75" w14:textId="77777777" w:rsidTr="00CC5AB6">
        <w:tc>
          <w:tcPr>
            <w:tcW w:w="673" w:type="dxa"/>
            <w:shd w:val="clear" w:color="auto" w:fill="auto"/>
          </w:tcPr>
          <w:p w14:paraId="2E705243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971" w:type="dxa"/>
            <w:shd w:val="clear" w:color="auto" w:fill="auto"/>
          </w:tcPr>
          <w:p w14:paraId="2610A5A4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27" w:type="dxa"/>
            <w:shd w:val="clear" w:color="auto" w:fill="auto"/>
          </w:tcPr>
          <w:p w14:paraId="67AF3B20" w14:textId="296E2A59" w:rsidR="001F199B" w:rsidRPr="00137B65" w:rsidRDefault="00BD212E" w:rsidP="005553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2024</w:t>
            </w:r>
            <w:r w:rsidR="00CC5A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-2026</w:t>
            </w:r>
            <w:r w:rsidR="001F199B"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53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 w:rsidR="00CC5A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оки</w:t>
            </w:r>
          </w:p>
        </w:tc>
      </w:tr>
      <w:tr w:rsidR="001F199B" w:rsidRPr="00137B65" w14:paraId="47A1D921" w14:textId="77777777" w:rsidTr="00CC5AB6">
        <w:tc>
          <w:tcPr>
            <w:tcW w:w="673" w:type="dxa"/>
            <w:shd w:val="clear" w:color="auto" w:fill="auto"/>
          </w:tcPr>
          <w:p w14:paraId="5C82DB62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971" w:type="dxa"/>
            <w:shd w:val="clear" w:color="auto" w:fill="auto"/>
          </w:tcPr>
          <w:p w14:paraId="23271C30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927" w:type="dxa"/>
            <w:shd w:val="clear" w:color="auto" w:fill="auto"/>
          </w:tcPr>
          <w:p w14:paraId="2E713242" w14:textId="4E4379B1" w:rsidR="001F199B" w:rsidRPr="00137B65" w:rsidRDefault="001F199B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76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Вороньківської</w:t>
            </w:r>
            <w:proofErr w:type="spellEnd"/>
            <w:r w:rsidR="001B6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ТГ</w:t>
            </w:r>
            <w:r w:rsidRPr="00137B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інші джерела незаборонені законодавством</w:t>
            </w:r>
          </w:p>
        </w:tc>
      </w:tr>
      <w:tr w:rsidR="001F199B" w:rsidRPr="00137B65" w14:paraId="2742C301" w14:textId="77777777" w:rsidTr="00CC5AB6">
        <w:trPr>
          <w:trHeight w:val="2787"/>
        </w:trPr>
        <w:tc>
          <w:tcPr>
            <w:tcW w:w="673" w:type="dxa"/>
            <w:shd w:val="clear" w:color="auto" w:fill="auto"/>
          </w:tcPr>
          <w:p w14:paraId="2713A7F3" w14:textId="77777777" w:rsidR="001F199B" w:rsidRPr="00137B65" w:rsidRDefault="001F199B" w:rsidP="00EA3F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7B6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971" w:type="dxa"/>
            <w:shd w:val="clear" w:color="auto" w:fill="auto"/>
          </w:tcPr>
          <w:p w14:paraId="77C108B4" w14:textId="3208B9FD" w:rsidR="00CC5AB6" w:rsidRPr="0041379C" w:rsidRDefault="00CC5AB6" w:rsidP="00CC5A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обсяг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реалізації Програми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</w:t>
            </w:r>
          </w:p>
          <w:p w14:paraId="5B240B66" w14:textId="77777777" w:rsidR="003A5493" w:rsidRDefault="00CC5AB6" w:rsidP="00CC5A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</w:p>
          <w:p w14:paraId="4377D7ED" w14:textId="3BE54041" w:rsidR="00CC5AB6" w:rsidRPr="00A20F2D" w:rsidRDefault="003A5493" w:rsidP="003A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CC5AB6"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рік</w:t>
            </w:r>
          </w:p>
          <w:p w14:paraId="56651834" w14:textId="77777777" w:rsidR="00CC5AB6" w:rsidRDefault="00CC5AB6" w:rsidP="00CC5A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  <w:p w14:paraId="67A386B9" w14:textId="0FEEC76B" w:rsidR="00CC5AB6" w:rsidRPr="00A20F2D" w:rsidRDefault="00CC5AB6" w:rsidP="00CC5A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</w:t>
            </w:r>
          </w:p>
          <w:p w14:paraId="65DE1826" w14:textId="77777777" w:rsidR="00CC5AB6" w:rsidRDefault="00CC5AB6" w:rsidP="00CC5AB6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  <w:p w14:paraId="381ECA67" w14:textId="7F5E75E7" w:rsidR="001F199B" w:rsidRPr="00137B65" w:rsidRDefault="00CC5AB6" w:rsidP="00CC5AB6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</w:t>
            </w:r>
            <w:proofErr w:type="spellStart"/>
            <w:r w:rsidRPr="00A20F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082D3B1F" w14:textId="77777777" w:rsidR="001F199B" w:rsidRDefault="001F199B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35708B6" w14:textId="77777777" w:rsidR="00CC5AB6" w:rsidRDefault="00CC5AB6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9E62246" w14:textId="3E3B9C7A" w:rsidR="00CC5AB6" w:rsidRDefault="00CC5AB6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34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100,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33DCE0B4" w14:textId="77777777" w:rsidR="00CC5AB6" w:rsidRDefault="00CC5AB6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47A2F1" w14:textId="72852B8F" w:rsidR="00CC5AB6" w:rsidRPr="00137B65" w:rsidRDefault="00CC5AB6" w:rsidP="00EA3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73FD3D5" w14:textId="77777777" w:rsidR="001F199B" w:rsidRPr="00137B65" w:rsidRDefault="001F199B" w:rsidP="001F199B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43108C" w14:textId="77777777" w:rsidR="00F87619" w:rsidRDefault="00F87619" w:rsidP="001F199B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4DE9D5A" w14:textId="548F6FC1" w:rsidR="00307F59" w:rsidRPr="002E788E" w:rsidRDefault="001A69AB" w:rsidP="00CC5AB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AB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Загальні положення програми</w:t>
      </w:r>
    </w:p>
    <w:p w14:paraId="2FDA56F7" w14:textId="77777777" w:rsidR="002E788E" w:rsidRPr="003A5493" w:rsidRDefault="002E788E" w:rsidP="003A54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правопорядку на території </w:t>
      </w:r>
      <w:proofErr w:type="spellStart"/>
      <w:r w:rsidRPr="003A549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здійснює </w:t>
      </w:r>
      <w:r w:rsidRPr="003A5493">
        <w:rPr>
          <w:rFonts w:ascii="Times New Roman" w:eastAsia="Calibri" w:hAnsi="Times New Roman" w:cs="Times New Roman"/>
          <w:sz w:val="28"/>
          <w:szCs w:val="28"/>
          <w:lang w:val="uk-UA"/>
        </w:rPr>
        <w:t>Бориспільське РУП ГУНП в Київській області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шляхом виявлення винних у вчиненні протиправних дій осіб та притягнення їх до передбаченої законом відповідальності, а також запровадження форм і методів профілактики правопорушень з метою усунення причин та запобігання виникненню умов, що сприяють їх вчиненню.</w:t>
      </w:r>
    </w:p>
    <w:p w14:paraId="66471101" w14:textId="77777777" w:rsidR="002E788E" w:rsidRPr="003A5493" w:rsidRDefault="002E788E" w:rsidP="003A54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Зниження рівня зайнятості населення, скорочення кількості робочих місць, у зв’язку з військовим станом, негативно позначаються на рівні злочинності, призводить до збільшення кількості випадків шахрайського заволодіння коштами пенсіонерів, одиноких громадян та людей похилого віку, крадіжок з офісів та помешкань громадян, розповсюдження наркоманії, пияцтва, протиправних проявів у молодіжному середовищі та серед неповнолітніх, незаконного заволодіння транспортними засобами, інших правопорушень.</w:t>
      </w:r>
    </w:p>
    <w:p w14:paraId="4F6433F2" w14:textId="39E2573D" w:rsidR="002E788E" w:rsidRPr="003A5493" w:rsidRDefault="002E788E" w:rsidP="003A54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Найбільшої важливості у сфері охорони правопорядку за останні роки в Україні набув той напрямок діяльності, при якому заходи кримінального покарання почали співвідноситися із заходами попередження злочинів. З початком військової агресії </w:t>
      </w:r>
      <w:r w:rsidR="004D216C" w:rsidRPr="003A5493">
        <w:rPr>
          <w:rFonts w:ascii="Times New Roman" w:hAnsi="Times New Roman" w:cs="Times New Roman"/>
          <w:sz w:val="28"/>
          <w:szCs w:val="28"/>
          <w:lang w:val="uk-UA"/>
        </w:rPr>
        <w:t>Російської Федерації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</w:t>
      </w:r>
      <w:proofErr w:type="spellStart"/>
      <w:r w:rsidRPr="003A5493">
        <w:rPr>
          <w:rFonts w:ascii="Times New Roman" w:hAnsi="Times New Roman" w:cs="Times New Roman"/>
          <w:sz w:val="28"/>
          <w:szCs w:val="28"/>
          <w:lang w:val="uk-UA"/>
        </w:rPr>
        <w:t>приорітетні</w:t>
      </w:r>
      <w:proofErr w:type="spellEnd"/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 напрямки роботи поліції набули нового формату, реформувавшись під реалії сьогодення.</w:t>
      </w:r>
    </w:p>
    <w:p w14:paraId="5229A9EC" w14:textId="7A9A74D8" w:rsidR="002E788E" w:rsidRPr="003A5493" w:rsidRDefault="002E788E" w:rsidP="003A549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color w:val="000000"/>
          <w:sz w:val="28"/>
          <w:szCs w:val="28"/>
        </w:rPr>
        <w:t xml:space="preserve">З початку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правоохоронці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працюють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</w:rPr>
        <w:t xml:space="preserve"> у 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посиленому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режимі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Окрім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функці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3A5493">
        <w:rPr>
          <w:rFonts w:ascii="Times New Roman" w:hAnsi="Times New Roman" w:cs="Times New Roman"/>
          <w:color w:val="000000"/>
          <w:sz w:val="28"/>
          <w:szCs w:val="28"/>
        </w:rPr>
        <w:t xml:space="preserve">, вони також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виїжджають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ліквідації надзвичайних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ситуаці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й, </w:t>
      </w:r>
      <w:proofErr w:type="spellStart"/>
      <w:r w:rsidRPr="003A5493">
        <w:rPr>
          <w:rFonts w:ascii="Times New Roman" w:hAnsi="Times New Roman" w:cs="Times New Roman"/>
          <w:color w:val="000000"/>
          <w:sz w:val="28"/>
          <w:szCs w:val="28"/>
        </w:rPr>
        <w:t>фіксують</w:t>
      </w:r>
      <w:proofErr w:type="spellEnd"/>
      <w:r w:rsidRPr="003A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злочини військової агресії, забезпечують проведення евакуаційних заходів. Працівники поліції залучаються до</w:t>
      </w:r>
      <w:r w:rsidR="004D216C"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пошуків</w:t>
      </w:r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знешкодження ворожих ДРГ, забезпечують чергування на блок-постах, беруть участь у розмінуванні територі</w:t>
      </w:r>
      <w:r w:rsidR="004D216C"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3A549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68A8DD" w14:textId="77777777" w:rsidR="002E788E" w:rsidRPr="003A5493" w:rsidRDefault="002E788E" w:rsidP="003A5493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1D1D1B"/>
          <w:sz w:val="28"/>
          <w:szCs w:val="28"/>
        </w:rPr>
      </w:pPr>
      <w:r w:rsidRPr="003A5493">
        <w:rPr>
          <w:color w:val="1D1D1B"/>
          <w:sz w:val="28"/>
          <w:szCs w:val="28"/>
        </w:rPr>
        <w:t xml:space="preserve">Попри те, що воєнні злочини не є підслідними поліції, працівники  усвідомлюють важливість своєчасного збору якісного, своєчасного та легального доказів для подальшого ефективного розслідування компетентними органами, у тому числі Міжнародним кримінальним судом. </w:t>
      </w:r>
    </w:p>
    <w:p w14:paraId="0122EFDE" w14:textId="77777777" w:rsidR="002E788E" w:rsidRPr="003A5493" w:rsidRDefault="002E788E" w:rsidP="003A5493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1D1D1B"/>
          <w:sz w:val="28"/>
          <w:szCs w:val="28"/>
        </w:rPr>
      </w:pPr>
      <w:r w:rsidRPr="003A5493">
        <w:rPr>
          <w:sz w:val="28"/>
          <w:szCs w:val="28"/>
        </w:rPr>
        <w:t xml:space="preserve">Працівники поліції здійснюють багатофункціональну діяльність від імені держави, місце і роль якої в механізмі забезпечення режиму воєнного стану полягає в реалізації національних інтересів (забезпечення конституційних прав і свобод громадян, участь у забезпеченні соціальної стабільності суспільства, екологічної безпеки, захисті суспільства від тероризму та ін.) з протидії воєнним загрозам. </w:t>
      </w:r>
    </w:p>
    <w:p w14:paraId="4F9783BA" w14:textId="7ACBC18E" w:rsidR="002E788E" w:rsidRPr="003A5493" w:rsidRDefault="002E788E" w:rsidP="003A54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 профілактики правопорушень</w:t>
      </w:r>
      <w:r w:rsidR="004D216C" w:rsidRPr="003A5493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>абезпечення публічної безпеки</w:t>
      </w:r>
      <w:r w:rsidR="004D216C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та безпеки громадян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Pr="003A5493">
        <w:rPr>
          <w:rFonts w:ascii="Times New Roman" w:eastAsia="Calibri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3A54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 202</w:t>
      </w:r>
      <w:r w:rsidR="004D216C" w:rsidRPr="003A54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рік (далі - Програма) розроблена на підставі: пунктів 22, 40 статті 26 Закону України «Про місцеве самоврядування в Україні», Закону України «Про Національну поліцію», </w:t>
      </w:r>
      <w:r w:rsidRPr="003A54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участь громадян в </w:t>
      </w:r>
      <w:r w:rsidRPr="003A549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охороні громадського порядку і державного кордону», «</w:t>
      </w:r>
      <w:r w:rsidRPr="003A54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3A54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правовий</w:t>
      </w:r>
      <w:proofErr w:type="spellEnd"/>
      <w:r w:rsidRPr="003A54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режим </w:t>
      </w:r>
      <w:proofErr w:type="spellStart"/>
      <w:r w:rsidRPr="003A54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воєнного</w:t>
      </w:r>
      <w:proofErr w:type="spellEnd"/>
      <w:r w:rsidRPr="003A54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стану</w:t>
      </w:r>
      <w:r w:rsidRPr="003A54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», </w:t>
      </w:r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основи</w:t>
      </w:r>
      <w:proofErr w:type="spellEnd"/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національного</w:t>
      </w:r>
      <w:proofErr w:type="spellEnd"/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спротиву</w:t>
      </w:r>
      <w:proofErr w:type="spellEnd"/>
      <w:r w:rsidRPr="003A54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14:paraId="02A54BBB" w14:textId="77777777" w:rsidR="002E788E" w:rsidRPr="003A5493" w:rsidRDefault="002E788E" w:rsidP="003A54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з профілактики злочинності дасть змогу певною мірою поліпшити стан правопорядку на території </w:t>
      </w:r>
      <w:proofErr w:type="spellStart"/>
      <w:r w:rsidRPr="003A5493">
        <w:rPr>
          <w:rFonts w:ascii="Times New Roman" w:eastAsia="Calibri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ТГ та удосконалити систему профілактики правопорушень.</w:t>
      </w:r>
    </w:p>
    <w:p w14:paraId="281EADC5" w14:textId="77777777" w:rsidR="002E788E" w:rsidRPr="003A5493" w:rsidRDefault="002E788E" w:rsidP="003A5493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50F190" w14:textId="05210EA4" w:rsidR="00430B09" w:rsidRPr="003A5493" w:rsidRDefault="004D216C" w:rsidP="003A549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та завдання Програми</w:t>
      </w:r>
    </w:p>
    <w:p w14:paraId="444FD949" w14:textId="77777777" w:rsidR="00430B09" w:rsidRPr="003A5493" w:rsidRDefault="00430B09" w:rsidP="003A54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77FD8" w14:textId="48BB093A" w:rsidR="003B76BE" w:rsidRPr="003A5493" w:rsidRDefault="00430B09" w:rsidP="003A54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Метою даної Програми</w:t>
      </w:r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забезпечення активної наступальної протидії злочинності та досягнення її зниження на основі чітко визначених пріоритетів на території </w:t>
      </w:r>
      <w:proofErr w:type="spellStart"/>
      <w:r w:rsidR="0031081B" w:rsidRPr="003A549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60467A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ТГ, об'єднання зусиль органів державної влади, </w:t>
      </w:r>
      <w:r w:rsidR="00651579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місцевого самоврядування, </w:t>
      </w:r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правоохоронних і контролюючих органів, громадськості у напрямку профілактики та протидії злочинності, корупції, порушенням громадського порядку</w:t>
      </w:r>
      <w:r w:rsidR="007030DF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C0FCC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опору військовій агресій зі сторони </w:t>
      </w:r>
      <w:r w:rsidR="00651579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Російської Федерації</w:t>
      </w:r>
      <w:r w:rsidR="007C0FCC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виявлення та знешкодження диверсантів та </w:t>
      </w:r>
      <w:proofErr w:type="spellStart"/>
      <w:r w:rsidR="007C0FCC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колабораційних</w:t>
      </w:r>
      <w:proofErr w:type="spellEnd"/>
      <w:r w:rsidR="007C0FCC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груп, які негативно впливають на рівень захисту конституційних прав і свобод громадян.</w:t>
      </w:r>
      <w:r w:rsidR="00651579"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CBAF80F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Програма спрямована на:</w:t>
      </w:r>
    </w:p>
    <w:p w14:paraId="7BCB133D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38AE096A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 територіальній громаді;</w:t>
      </w:r>
    </w:p>
    <w:p w14:paraId="07AC03E6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6D1E409B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3CA16109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своєчасна і достовірна інформаційна підтримка служб охорони правопорядку всіх рівнів;</w:t>
      </w:r>
    </w:p>
    <w:p w14:paraId="1614714F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lastRenderedPageBreak/>
        <w:t>- забезпечення публічної безпеки і порядку в територіальній громаді,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294BB1C7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57EFDD1C" w14:textId="77777777" w:rsidR="003B76BE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вживання заходів з метою виявлення та припинення кримінальних та адміністративних правопорушень;</w:t>
      </w:r>
    </w:p>
    <w:p w14:paraId="464F934C" w14:textId="64DECB76" w:rsidR="00AB26AF" w:rsidRPr="003A5493" w:rsidRDefault="003B76BE" w:rsidP="003A5493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A5493">
        <w:rPr>
          <w:sz w:val="28"/>
          <w:szCs w:val="28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правопорушень.</w:t>
      </w:r>
    </w:p>
    <w:p w14:paraId="6EFD333C" w14:textId="5879A412" w:rsidR="00651579" w:rsidRPr="003A5493" w:rsidRDefault="00651579" w:rsidP="003A5493">
      <w:pPr>
        <w:tabs>
          <w:tab w:val="left" w:pos="13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Досягнення визначеної мети 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можливо </w:t>
      </w:r>
      <w:r w:rsidRPr="003A5493">
        <w:rPr>
          <w:rFonts w:ascii="Times New Roman" w:hAnsi="Times New Roman" w:cs="Times New Roman"/>
          <w:i/>
          <w:iCs/>
          <w:sz w:val="28"/>
          <w:szCs w:val="28"/>
          <w:lang w:val="uk-UA" w:eastAsia="uk-UA" w:bidi="uk-UA"/>
        </w:rPr>
        <w:t>здійснити шляхом виконання завдань</w:t>
      </w:r>
      <w:r w:rsidRPr="003A549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щодо:</w:t>
      </w:r>
    </w:p>
    <w:p w14:paraId="73EF8B58" w14:textId="77777777" w:rsidR="003B76BE" w:rsidRPr="003A5493" w:rsidRDefault="00651579" w:rsidP="003A5493">
      <w:pPr>
        <w:pStyle w:val="a4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 w:bidi="uk-UA"/>
        </w:rPr>
        <w:t>забезпечення умов для надійного функціонування органів державної влади, органів місцевого самоврядування, військового управління, проведення оперативного розгортання угруповань військ;</w:t>
      </w:r>
    </w:p>
    <w:p w14:paraId="316B4167" w14:textId="77777777" w:rsidR="003B76BE" w:rsidRPr="003A5493" w:rsidRDefault="00651579" w:rsidP="003A5493">
      <w:pPr>
        <w:pStyle w:val="a4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 w:bidi="uk-UA"/>
        </w:rPr>
        <w:t>боротьби з ДРГ, іншими озброєними формуваннями агресора та антидержавними незаконно утвореними озброєними формуваннями;</w:t>
      </w:r>
    </w:p>
    <w:p w14:paraId="1A2167DF" w14:textId="77777777" w:rsidR="003B76BE" w:rsidRPr="003A5493" w:rsidRDefault="00651579" w:rsidP="003A5493">
      <w:pPr>
        <w:pStyle w:val="a4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 w:bidi="uk-UA"/>
        </w:rPr>
        <w:t>охорони та оборони важливих об’єктів інфраструктури та комунікацій;</w:t>
      </w:r>
    </w:p>
    <w:p w14:paraId="30B88E29" w14:textId="60D302DB" w:rsidR="00651579" w:rsidRPr="003A5493" w:rsidRDefault="00651579" w:rsidP="003A5493">
      <w:pPr>
        <w:pStyle w:val="a4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 w:bidi="uk-UA"/>
        </w:rPr>
        <w:t>підтримання правового режиму воєнного стану.</w:t>
      </w:r>
    </w:p>
    <w:p w14:paraId="07C7DFE6" w14:textId="77777777" w:rsidR="003200A9" w:rsidRPr="003A5493" w:rsidRDefault="003200A9" w:rsidP="003A549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072C5" w14:textId="77777777" w:rsidR="004D4BBA" w:rsidRPr="003A5493" w:rsidRDefault="004D4BBA" w:rsidP="003A5493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C4E795" w14:textId="77777777" w:rsidR="004D4BBA" w:rsidRPr="003A5493" w:rsidRDefault="004D4BBA" w:rsidP="003A549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</w:t>
      </w:r>
    </w:p>
    <w:p w14:paraId="1D3ED2D3" w14:textId="77777777" w:rsidR="00C11FA1" w:rsidRPr="003A5493" w:rsidRDefault="00C11FA1" w:rsidP="003A5493">
      <w:p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5AA3A0" w14:textId="77777777" w:rsidR="00F94C31" w:rsidRPr="003A5493" w:rsidRDefault="00C44453" w:rsidP="003A5493">
      <w:pPr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При проведенні стабілізаційних заходів, поліцейські 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залучатися до проведення таких основних заходів: </w:t>
      </w:r>
    </w:p>
    <w:p w14:paraId="784428EF" w14:textId="77777777" w:rsidR="00F94C31" w:rsidRPr="003A5493" w:rsidRDefault="00C44453" w:rsidP="003A5493">
      <w:pPr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3A5493">
        <w:rPr>
          <w:rFonts w:ascii="Times New Roman" w:hAnsi="Times New Roman" w:cs="Times New Roman"/>
          <w:bCs/>
          <w:i/>
          <w:sz w:val="28"/>
          <w:szCs w:val="28"/>
          <w:lang w:val="uk-UA"/>
        </w:rPr>
        <w:t>обстеження доріг та під‘їзних шляхів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до населених пунктів, вулиць, об‘єктів критичної інфраструктури, житлових будинків громадян тощо на предмет виявлення вибухонебезпечних предметів для можливості проведення їх безпечних розмінувань. </w:t>
      </w:r>
      <w:r w:rsidRPr="003A5493">
        <w:rPr>
          <w:rFonts w:ascii="Times New Roman" w:hAnsi="Times New Roman" w:cs="Times New Roman"/>
          <w:sz w:val="28"/>
          <w:szCs w:val="28"/>
        </w:rPr>
        <w:t xml:space="preserve">В таких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саперна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не входила до</w:t>
      </w:r>
      <w:r w:rsidR="00F94C31"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31" w:rsidRPr="003A549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F94C31"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31" w:rsidRPr="003A549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94C31"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31" w:rsidRPr="003A5493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="00F94C31" w:rsidRPr="003A5493">
        <w:rPr>
          <w:rFonts w:ascii="Times New Roman" w:hAnsi="Times New Roman" w:cs="Times New Roman"/>
          <w:sz w:val="28"/>
          <w:szCs w:val="28"/>
        </w:rPr>
        <w:t>;</w:t>
      </w:r>
    </w:p>
    <w:p w14:paraId="69E343AB" w14:textId="77777777" w:rsidR="00F94C31" w:rsidRPr="003A5493" w:rsidRDefault="00C44453" w:rsidP="003A5493">
      <w:pPr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документування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військових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інших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злочинів</w:t>
      </w:r>
      <w:proofErr w:type="spellEnd"/>
      <w:r w:rsidRPr="003A5493">
        <w:rPr>
          <w:rFonts w:ascii="Times New Roman" w:hAnsi="Times New Roman" w:cs="Times New Roman"/>
          <w:bCs/>
          <w:sz w:val="28"/>
          <w:szCs w:val="28"/>
        </w:rPr>
        <w:t>.</w:t>
      </w:r>
      <w:r w:rsidRPr="003A54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слідчо-оперативні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поліцейські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. Робота перших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слідів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вчинених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. Робота других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фіксацію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вчинених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військовослужбовцями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стали жертвами таких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lastRenderedPageBreak/>
        <w:t>викрадення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людей, мародерства,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проукраїнську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ексгумації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з‘ясовуються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A7F839" w14:textId="77777777" w:rsidR="00F94C31" w:rsidRPr="003A5493" w:rsidRDefault="00C44453" w:rsidP="003A5493">
      <w:pPr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3A5493">
        <w:rPr>
          <w:rFonts w:ascii="Times New Roman" w:hAnsi="Times New Roman" w:cs="Times New Roman"/>
          <w:bCs/>
          <w:i/>
          <w:sz w:val="28"/>
          <w:szCs w:val="28"/>
          <w:lang w:val="uk-UA"/>
        </w:rPr>
        <w:t>виявлення осіб, що є військовослужбовцями країни агресора</w:t>
      </w:r>
      <w:r w:rsidRPr="003A549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співпрацювали з окупаційною владою та вчиняли правопорушення. Особлива увага приділяється виявленню осіб, які приймали участь в окупації території України, </w:t>
      </w:r>
      <w:proofErr w:type="spellStart"/>
      <w:r w:rsidRPr="003A5493">
        <w:rPr>
          <w:rFonts w:ascii="Times New Roman" w:hAnsi="Times New Roman" w:cs="Times New Roman"/>
          <w:sz w:val="28"/>
          <w:szCs w:val="28"/>
          <w:lang w:val="uk-UA"/>
        </w:rPr>
        <w:t>колаборантів</w:t>
      </w:r>
      <w:proofErr w:type="spellEnd"/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, мародерів, осіб, що можуть бути причетні до диверсійної діяльності тощо з метою їх викриття та притягнення до кримінальної відповідальності; </w:t>
      </w:r>
    </w:p>
    <w:p w14:paraId="1CEA7B46" w14:textId="77777777" w:rsidR="00F94C31" w:rsidRPr="003A5493" w:rsidRDefault="00C44453" w:rsidP="003A5493">
      <w:pPr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перевірка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транспортних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засобів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окремих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осіб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блокпостів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розшуку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вогнепальної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боєприпасів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причетні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диверсійної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терористичної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колабораційної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87FABA" w14:textId="77777777" w:rsidR="00F94C31" w:rsidRPr="003A5493" w:rsidRDefault="00C44453" w:rsidP="003A5493">
      <w:pPr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відновлення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й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підтримання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публічного</w:t>
      </w:r>
      <w:proofErr w:type="spellEnd"/>
      <w:r w:rsidRPr="003A5493">
        <w:rPr>
          <w:rFonts w:ascii="Times New Roman" w:hAnsi="Times New Roman" w:cs="Times New Roman"/>
          <w:bCs/>
          <w:i/>
          <w:sz w:val="28"/>
          <w:szCs w:val="28"/>
        </w:rPr>
        <w:t xml:space="preserve"> порядку та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публічної</w:t>
      </w:r>
      <w:proofErr w:type="spellEnd"/>
      <w:r w:rsidRPr="003A5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bCs/>
          <w:i/>
          <w:sz w:val="28"/>
          <w:szCs w:val="28"/>
        </w:rPr>
        <w:t>безпеки</w:t>
      </w:r>
      <w:proofErr w:type="spellEnd"/>
      <w:r w:rsidRPr="003A5493">
        <w:rPr>
          <w:rFonts w:ascii="Times New Roman" w:hAnsi="Times New Roman" w:cs="Times New Roman"/>
          <w:bCs/>
          <w:sz w:val="28"/>
          <w:szCs w:val="28"/>
        </w:rPr>
        <w:t>.</w:t>
      </w:r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поліцейської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31" w:rsidRPr="003A549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94C31"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31" w:rsidRPr="003A5493">
        <w:rPr>
          <w:rFonts w:ascii="Times New Roman" w:hAnsi="Times New Roman" w:cs="Times New Roman"/>
          <w:sz w:val="28"/>
          <w:szCs w:val="28"/>
        </w:rPr>
        <w:t>окупацією</w:t>
      </w:r>
      <w:proofErr w:type="spellEnd"/>
      <w:r w:rsidR="00F94C31"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31" w:rsidRPr="003A5493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F94C31" w:rsidRPr="003A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31" w:rsidRPr="003A5493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перший та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крок до </w:t>
      </w:r>
      <w:proofErr w:type="spellStart"/>
      <w:r w:rsidRPr="003A5493">
        <w:rPr>
          <w:rFonts w:ascii="Times New Roman" w:hAnsi="Times New Roman" w:cs="Times New Roman"/>
          <w:sz w:val="28"/>
          <w:szCs w:val="28"/>
        </w:rPr>
        <w:t>стабілізації</w:t>
      </w:r>
      <w:proofErr w:type="spellEnd"/>
      <w:r w:rsidRPr="003A5493">
        <w:rPr>
          <w:rFonts w:ascii="Times New Roman" w:hAnsi="Times New Roman" w:cs="Times New Roman"/>
          <w:sz w:val="28"/>
          <w:szCs w:val="28"/>
        </w:rPr>
        <w:t xml:space="preserve"> обстановки. </w:t>
      </w:r>
    </w:p>
    <w:p w14:paraId="7DAAAAA7" w14:textId="6372DDFC" w:rsidR="00F94C31" w:rsidRPr="003A5493" w:rsidRDefault="00326BEF" w:rsidP="003A5493">
      <w:pPr>
        <w:spacing w:after="0"/>
        <w:ind w:right="-14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493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="00C44453" w:rsidRPr="003A5493">
        <w:rPr>
          <w:rFonts w:ascii="Times New Roman" w:hAnsi="Times New Roman" w:cs="Times New Roman"/>
          <w:bCs/>
          <w:sz w:val="28"/>
          <w:szCs w:val="28"/>
        </w:rPr>
        <w:t>омплекс</w:t>
      </w:r>
      <w:proofErr w:type="spellEnd"/>
      <w:r w:rsidR="00C44453" w:rsidRPr="003A54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44453" w:rsidRPr="003A5493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3A54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44453" w:rsidRPr="003A5493">
        <w:rPr>
          <w:rFonts w:ascii="Times New Roman" w:hAnsi="Times New Roman" w:cs="Times New Roman"/>
          <w:bCs/>
          <w:sz w:val="28"/>
          <w:szCs w:val="28"/>
        </w:rPr>
        <w:t>спрямован</w:t>
      </w:r>
      <w:r w:rsidRPr="003A5493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proofErr w:type="spellEnd"/>
      <w:r w:rsidR="00C44453" w:rsidRPr="003A5493">
        <w:rPr>
          <w:rFonts w:ascii="Times New Roman" w:hAnsi="Times New Roman" w:cs="Times New Roman"/>
          <w:bCs/>
          <w:sz w:val="28"/>
          <w:szCs w:val="28"/>
        </w:rPr>
        <w:t xml:space="preserve"> на: </w:t>
      </w:r>
    </w:p>
    <w:p w14:paraId="1761B6E4" w14:textId="77777777" w:rsidR="00F94C31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безпечного функціонування органів державної влади, органів місцевого самоврядування, орга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нів військового управління; </w:t>
      </w:r>
    </w:p>
    <w:p w14:paraId="1AB203CD" w14:textId="0F7214E9" w:rsidR="00F94C31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забезпечення охорони та оборони важливих об‘єктів і комунікацій, інших критично важливих об‘єктів інфраструктури</w:t>
      </w:r>
      <w:r w:rsidR="00326BEF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функціонування та виведення з ладу яких становить загрозу 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для життєдіяльності населення; </w:t>
      </w:r>
    </w:p>
    <w:p w14:paraId="3A488113" w14:textId="77777777" w:rsidR="0060467A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тимчасову заборону або обмеження руху транспортних засобів і пішоходів поблизу та в межах зон/районів ведення бойових дій; </w:t>
      </w:r>
    </w:p>
    <w:p w14:paraId="0A8C9930" w14:textId="77777777" w:rsidR="00F94C31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оптимізацію та збільшення маршрутів патрул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ювання та кількості патрулів; </w:t>
      </w:r>
    </w:p>
    <w:p w14:paraId="4EDD6D66" w14:textId="77777777" w:rsidR="0060467A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забезпечення процесу добровільної здачі громадянами до органів Національної поліції України зброї, боєприпасів, вибухонебезпечних та інших речовин і предметів, іншого озброєння, військово</w:t>
      </w:r>
      <w:r w:rsidR="0060467A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ї техніки, військового майна; </w:t>
      </w:r>
    </w:p>
    <w:p w14:paraId="1FBACD48" w14:textId="77777777" w:rsidR="00F94C31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евакуацію цивільного насел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ення з небезпечних територій; </w:t>
      </w:r>
    </w:p>
    <w:p w14:paraId="5C61F3DC" w14:textId="77777777" w:rsidR="00F94C31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налагод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ження гуманітарної логістики; </w:t>
      </w:r>
    </w:p>
    <w:p w14:paraId="34D51B4F" w14:textId="77777777" w:rsidR="00F94C31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проведення роз‘яснювальної роботи серед населення, спрямованої на протидію де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зінформації з боку окупантів; </w:t>
      </w:r>
    </w:p>
    <w:p w14:paraId="6E857E1D" w14:textId="77777777" w:rsidR="00F94C31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надання населенню правових послуг у порядку, передбаченому Законом України «Про </w:t>
      </w:r>
      <w:r w:rsidR="00F94C3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безоплатну правову допомогу»; </w:t>
      </w:r>
    </w:p>
    <w:p w14:paraId="12440544" w14:textId="77777777" w:rsidR="00C44453" w:rsidRPr="003A5493" w:rsidRDefault="00C44453" w:rsidP="003A5493">
      <w:pPr>
        <w:pStyle w:val="a4"/>
        <w:numPr>
          <w:ilvl w:val="0"/>
          <w:numId w:val="5"/>
        </w:num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населення життєво необхідною гуманітарною допомогою. </w:t>
      </w:r>
    </w:p>
    <w:p w14:paraId="568AB660" w14:textId="77777777" w:rsidR="00C44453" w:rsidRPr="003A5493" w:rsidRDefault="00C44453" w:rsidP="003A5493">
      <w:pPr>
        <w:spacing w:after="0"/>
        <w:ind w:right="-1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EDB128" w14:textId="38C32D51" w:rsidR="00AD175A" w:rsidRPr="003A5493" w:rsidRDefault="00AD175A" w:rsidP="003A549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A54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Обсяги та  джерела фінансування Програми</w:t>
      </w:r>
    </w:p>
    <w:p w14:paraId="051EB19E" w14:textId="750DC5BA" w:rsidR="00326BEF" w:rsidRPr="003A5493" w:rsidRDefault="00326BEF" w:rsidP="003A54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</w:t>
      </w:r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A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значимість проблеми, пов'язаної з профілактикою правопорушень, зумовлює необхідність як централізованого бюджетного фінансування, так і залучення на реалізацію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Вороньківської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FA084" w14:textId="5319F46F" w:rsidR="00AD175A" w:rsidRPr="003A5493" w:rsidRDefault="00AD175A" w:rsidP="003A5493">
      <w:pPr>
        <w:spacing w:after="0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передбачається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рахунок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коштів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Вороньківської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</w:t>
      </w:r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 у межах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дохідної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частини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виходячи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конкретних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>завдань</w:t>
      </w:r>
      <w:proofErr w:type="spellEnd"/>
      <w:r w:rsidR="004D4BBA" w:rsidRPr="003A5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>реалізації заходів, передбачених програмою та інших джерел, незаборонених чинним законодавством України. Обсяги фінансування затверджується сесією ради.</w:t>
      </w:r>
    </w:p>
    <w:p w14:paraId="795FB095" w14:textId="77777777" w:rsidR="00AD175A" w:rsidRPr="003A5493" w:rsidRDefault="00AD175A" w:rsidP="003A54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61DB8BF" w14:textId="20FB81A7" w:rsidR="00FA3FEE" w:rsidRPr="003A5493" w:rsidRDefault="00AD175A" w:rsidP="003A549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A54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 виконання Програми</w:t>
      </w:r>
    </w:p>
    <w:p w14:paraId="4B6B81F5" w14:textId="77777777" w:rsidR="00A55214" w:rsidRPr="003A5493" w:rsidRDefault="00A55214" w:rsidP="003A54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DC975" w14:textId="77777777" w:rsidR="00A55214" w:rsidRPr="003A5493" w:rsidRDefault="00A55214" w:rsidP="003A549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0EE7A6" w14:textId="77777777" w:rsidR="00F36161" w:rsidRPr="003A5493" w:rsidRDefault="00A55214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оперативність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вчинені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(особливо по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слідах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шляхом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нарядів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ситуацією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D83523" w14:textId="77777777" w:rsidR="00F36161" w:rsidRPr="003A5493" w:rsidRDefault="00A55214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пов'язану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профілактикою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удосконалити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координації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48C382" w14:textId="77777777" w:rsidR="00F36161" w:rsidRPr="003A5493" w:rsidRDefault="00A55214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спрямовану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соціальну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адаптацію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алкоголізмом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злочинністю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бездоглядністю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малолітніх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антисоціальними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явищами</w:t>
      </w:r>
      <w:proofErr w:type="spellEnd"/>
      <w:r w:rsidRPr="003A5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758C87" w14:textId="77777777" w:rsidR="00F36161" w:rsidRPr="003A5493" w:rsidRDefault="00F36161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покращ</w:t>
      </w:r>
      <w:r w:rsidRPr="003A5493">
        <w:rPr>
          <w:rFonts w:ascii="Times New Roman" w:hAnsi="Times New Roman" w:cs="Times New Roman"/>
          <w:color w:val="252B33"/>
          <w:sz w:val="28"/>
          <w:szCs w:val="28"/>
          <w:lang w:val="uk-UA"/>
        </w:rPr>
        <w:t>ити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проведення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превентивних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заходів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щодо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протидії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наркоманії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,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алкоголізму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 та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насильству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 xml:space="preserve"> в </w:t>
      </w:r>
      <w:proofErr w:type="spellStart"/>
      <w:r w:rsidRPr="003A5493">
        <w:rPr>
          <w:rFonts w:ascii="Times New Roman" w:hAnsi="Times New Roman" w:cs="Times New Roman"/>
          <w:color w:val="252B33"/>
          <w:sz w:val="28"/>
          <w:szCs w:val="28"/>
        </w:rPr>
        <w:t>сім’ї</w:t>
      </w:r>
      <w:proofErr w:type="spellEnd"/>
      <w:r w:rsidRPr="003A5493">
        <w:rPr>
          <w:rFonts w:ascii="Times New Roman" w:hAnsi="Times New Roman" w:cs="Times New Roman"/>
          <w:color w:val="252B33"/>
          <w:sz w:val="28"/>
          <w:szCs w:val="28"/>
        </w:rPr>
        <w:t>.</w:t>
      </w:r>
    </w:p>
    <w:p w14:paraId="3CAF5DD3" w14:textId="77777777" w:rsidR="0069340F" w:rsidRPr="003A5493" w:rsidRDefault="00F36161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93">
        <w:rPr>
          <w:rFonts w:ascii="Times New Roman" w:hAnsi="Times New Roman" w:cs="Times New Roman"/>
          <w:color w:val="252B33"/>
          <w:sz w:val="28"/>
          <w:szCs w:val="28"/>
          <w:lang w:val="uk-UA"/>
        </w:rPr>
        <w:t>Швидко реагувати</w:t>
      </w:r>
      <w:r w:rsidR="0069340F" w:rsidRPr="003A5493">
        <w:rPr>
          <w:rFonts w:ascii="Times New Roman" w:hAnsi="Times New Roman" w:cs="Times New Roman"/>
          <w:color w:val="252B33"/>
          <w:sz w:val="28"/>
          <w:szCs w:val="28"/>
          <w:lang w:val="uk-UA"/>
        </w:rPr>
        <w:t xml:space="preserve"> на появу 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ДРГ, інши</w:t>
      </w:r>
      <w:r w:rsidR="0069340F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>озброєн</w:t>
      </w:r>
      <w:r w:rsidR="0069340F" w:rsidRPr="003A549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5493">
        <w:rPr>
          <w:rFonts w:ascii="Times New Roman" w:hAnsi="Times New Roman" w:cs="Times New Roman"/>
          <w:sz w:val="28"/>
          <w:szCs w:val="28"/>
          <w:lang w:val="uk-UA"/>
        </w:rPr>
        <w:t>формуванн</w:t>
      </w:r>
      <w:r w:rsidR="0069340F" w:rsidRPr="003A5493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агресора та антидержавними незаконно утвореними озброєними формуваннями;</w:t>
      </w:r>
    </w:p>
    <w:p w14:paraId="7BA643D6" w14:textId="77777777" w:rsidR="0069340F" w:rsidRPr="003A5493" w:rsidRDefault="0069340F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93">
        <w:rPr>
          <w:rFonts w:ascii="Times New Roman" w:hAnsi="Times New Roman" w:cs="Times New Roman"/>
          <w:color w:val="252B33"/>
          <w:sz w:val="28"/>
          <w:szCs w:val="28"/>
          <w:lang w:val="uk-UA"/>
        </w:rPr>
        <w:t xml:space="preserve">Здійснювати </w:t>
      </w:r>
      <w:r w:rsidR="00F36161" w:rsidRPr="003A5493">
        <w:rPr>
          <w:rFonts w:ascii="Times New Roman" w:hAnsi="Times New Roman" w:cs="Times New Roman"/>
          <w:sz w:val="28"/>
          <w:szCs w:val="28"/>
          <w:lang w:val="uk-UA"/>
        </w:rPr>
        <w:t>охорон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616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та оборон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6161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важливих об’єктів інфраструктури та комунікацій;</w:t>
      </w:r>
    </w:p>
    <w:p w14:paraId="7E6C0D10" w14:textId="77777777" w:rsidR="0069340F" w:rsidRPr="003A5493" w:rsidRDefault="00F36161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удосконалення форм і методів профілактики правопорушень та підвищення ефективності оперативно-розшукових заходів у сфері протидії організованій злочинності;</w:t>
      </w:r>
    </w:p>
    <w:p w14:paraId="11EEF81E" w14:textId="290A01AE" w:rsidR="00F36161" w:rsidRPr="003A5493" w:rsidRDefault="00F36161" w:rsidP="003A5493">
      <w:pPr>
        <w:pStyle w:val="a4"/>
        <w:numPr>
          <w:ilvl w:val="1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69340F" w:rsidRPr="003A5493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правов</w:t>
      </w:r>
      <w:r w:rsidR="0069340F" w:rsidRPr="003A549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режим в</w:t>
      </w:r>
      <w:r w:rsidR="0069340F" w:rsidRPr="003A5493">
        <w:rPr>
          <w:rFonts w:ascii="Times New Roman" w:hAnsi="Times New Roman" w:cs="Times New Roman"/>
          <w:sz w:val="28"/>
          <w:szCs w:val="28"/>
          <w:lang w:val="uk-UA"/>
        </w:rPr>
        <w:t>оєнного</w:t>
      </w: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стану.</w:t>
      </w:r>
    </w:p>
    <w:p w14:paraId="595610E6" w14:textId="0BA07C33" w:rsidR="00A55214" w:rsidRPr="00BA2EF5" w:rsidRDefault="0069340F" w:rsidP="003A549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5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55214" w:rsidRPr="00BA2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Оцінкою ефективності Програми стануть показники статистичної звітності, зокрема звіту про зареєстровані кримінальні правопорушення і результати роботи, які характеризуватимуть динаміку розвитку криміногенної ситуації на території населених пунктів територіальної громади.</w:t>
      </w:r>
    </w:p>
    <w:p w14:paraId="55D339AB" w14:textId="77777777" w:rsidR="00A55214" w:rsidRPr="003A5493" w:rsidRDefault="00A55214" w:rsidP="003A5493">
      <w:pPr>
        <w:pStyle w:val="a7"/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A5493">
        <w:rPr>
          <w:rFonts w:ascii="Times New Roman" w:hAnsi="Times New Roman"/>
          <w:sz w:val="28"/>
          <w:szCs w:val="28"/>
          <w:lang w:val="uk-UA"/>
        </w:rPr>
        <w:t>Заходи реалізації Програми визначені у додатку 1.</w:t>
      </w:r>
    </w:p>
    <w:p w14:paraId="768DA860" w14:textId="77777777" w:rsidR="00AD175A" w:rsidRPr="003A5493" w:rsidRDefault="00AD175A" w:rsidP="003A54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5E40F" w14:textId="77777777" w:rsidR="00AD175A" w:rsidRPr="003A5493" w:rsidRDefault="00AD175A" w:rsidP="003A5493">
      <w:pPr>
        <w:pStyle w:val="a4"/>
        <w:numPr>
          <w:ilvl w:val="0"/>
          <w:numId w:val="9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A54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Контроль за ходом виконання Програми</w:t>
      </w:r>
    </w:p>
    <w:p w14:paraId="1E9204AA" w14:textId="77777777" w:rsidR="005A33AC" w:rsidRPr="003A5493" w:rsidRDefault="005A33AC" w:rsidP="003A54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AA332D" w14:textId="5E90A519" w:rsidR="00137B65" w:rsidRPr="003A5493" w:rsidRDefault="005A33AC" w:rsidP="003A549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даної програми здійснюється ГУНП в Київській області та </w:t>
      </w:r>
      <w:r w:rsidR="00AD175A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комісією </w:t>
      </w:r>
      <w:proofErr w:type="spellStart"/>
      <w:r w:rsidR="003E1FF1" w:rsidRPr="003A549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AD175A" w:rsidRPr="003A549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D175A" w:rsidRPr="003A5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питань прав людини, регламенту, депутатської етики, законності, протидії та запобігання корупції.</w:t>
      </w:r>
    </w:p>
    <w:p w14:paraId="0B5AD236" w14:textId="77777777" w:rsidR="00AD175A" w:rsidRPr="003A5493" w:rsidRDefault="00AD175A" w:rsidP="003A549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9C40DEA" w14:textId="77777777" w:rsidR="00AD175A" w:rsidRPr="003A5493" w:rsidRDefault="00AD175A" w:rsidP="003A549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598F953" w14:textId="41E97EB8" w:rsidR="00AD175A" w:rsidRDefault="00AD175A" w:rsidP="00AD175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D1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Секретар ради                                                                              Віталіна СПИС</w:t>
      </w:r>
    </w:p>
    <w:p w14:paraId="30FF8E3D" w14:textId="77777777" w:rsidR="007C6FB2" w:rsidRDefault="007C6FB2" w:rsidP="00AD175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D09A35D" w14:textId="77777777" w:rsidR="007C6FB2" w:rsidRDefault="007C6FB2" w:rsidP="00AD175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4B7AAA3" w14:textId="77777777" w:rsidR="007C6FB2" w:rsidRDefault="007C6FB2" w:rsidP="00AD175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D3A108D" w14:textId="77777777" w:rsidR="007C6FB2" w:rsidRDefault="007C6FB2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1AAEEE0F" w14:textId="77777777" w:rsidR="00916286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55E07801" w14:textId="77777777" w:rsidR="00916286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0E35EB71" w14:textId="77777777" w:rsidR="00916286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25C87519" w14:textId="77777777" w:rsidR="00916286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57562964" w14:textId="77777777" w:rsidR="00916286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5FF58337" w14:textId="77777777" w:rsidR="00916286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3A21578A" w14:textId="77777777" w:rsidR="00916286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sectPr w:rsidR="00916286" w:rsidSect="00B203FF">
          <w:pgSz w:w="11906" w:h="16838"/>
          <w:pgMar w:top="1276" w:right="850" w:bottom="851" w:left="1701" w:header="708" w:footer="708" w:gutter="0"/>
          <w:cols w:space="708"/>
          <w:docGrid w:linePitch="360"/>
        </w:sectPr>
      </w:pPr>
    </w:p>
    <w:p w14:paraId="6ED3853F" w14:textId="010229F2" w:rsidR="00916286" w:rsidRDefault="00916286" w:rsidP="00916286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lastRenderedPageBreak/>
        <w:t>Додаток 1</w:t>
      </w:r>
    </w:p>
    <w:p w14:paraId="45F439DF" w14:textId="77777777" w:rsidR="00916286" w:rsidRPr="00CC5AB6" w:rsidRDefault="00916286" w:rsidP="009162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Заходи </w:t>
      </w:r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профілактики правопорушень, забезпечення публічної безпеки та безпеки громадян на території </w:t>
      </w:r>
      <w:proofErr w:type="spellStart"/>
      <w:proofErr w:type="gramStart"/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Вороньківської</w:t>
      </w:r>
      <w:proofErr w:type="spellEnd"/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</w:t>
      </w:r>
      <w:proofErr w:type="gramEnd"/>
      <w:r w:rsidRPr="00CC5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громади на 2024-2026 роки</w:t>
      </w:r>
    </w:p>
    <w:p w14:paraId="28143A62" w14:textId="455CFF3F" w:rsidR="00916286" w:rsidRPr="00916286" w:rsidRDefault="00916286" w:rsidP="00916286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B109958" w14:textId="77777777" w:rsidR="00916286" w:rsidRDefault="00916286" w:rsidP="00916286">
      <w:pPr>
        <w:pStyle w:val="21"/>
        <w:shd w:val="clear" w:color="auto" w:fill="auto"/>
        <w:spacing w:line="240" w:lineRule="auto"/>
        <w:ind w:right="-456" w:firstLine="0"/>
        <w:jc w:val="center"/>
        <w:rPr>
          <w:rFonts w:ascii="Times New Roman" w:eastAsia="Calibri" w:hAnsi="Times New Roman"/>
          <w:b/>
          <w:bCs/>
          <w:lang w:eastAsia="uk-UA"/>
        </w:rPr>
      </w:pP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1"/>
        <w:gridCol w:w="1417"/>
        <w:gridCol w:w="1560"/>
        <w:gridCol w:w="1702"/>
        <w:gridCol w:w="19"/>
        <w:gridCol w:w="690"/>
        <w:gridCol w:w="19"/>
        <w:gridCol w:w="832"/>
        <w:gridCol w:w="19"/>
        <w:gridCol w:w="831"/>
        <w:gridCol w:w="19"/>
        <w:gridCol w:w="973"/>
        <w:gridCol w:w="19"/>
        <w:gridCol w:w="2676"/>
        <w:gridCol w:w="19"/>
      </w:tblGrid>
      <w:tr w:rsidR="00916286" w14:paraId="72508FEE" w14:textId="77777777" w:rsidTr="00A54BDE">
        <w:trPr>
          <w:gridAfter w:val="1"/>
          <w:wAfter w:w="19" w:type="dxa"/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358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70A9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Програми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C721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заходів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1E9E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Виконавці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873C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Джерела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фінансування</w:t>
            </w:r>
            <w:proofErr w:type="spell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21B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Обсяги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по роках, тис. </w:t>
            </w:r>
            <w:proofErr w:type="spellStart"/>
            <w:r>
              <w:rPr>
                <w:rFonts w:ascii="Times New Roman" w:hAnsi="Times New Roman"/>
                <w:b/>
              </w:rPr>
              <w:t>гри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A292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Очікуваний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результат</w:t>
            </w:r>
          </w:p>
        </w:tc>
      </w:tr>
      <w:tr w:rsidR="00916286" w14:paraId="2B464416" w14:textId="77777777" w:rsidTr="00A54BDE">
        <w:trPr>
          <w:gridAfter w:val="1"/>
          <w:wAfter w:w="19" w:type="dxa"/>
          <w:trHeight w:val="2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95F3" w14:textId="77777777" w:rsidR="00916286" w:rsidRDefault="00916286" w:rsidP="00F300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41C1" w14:textId="77777777" w:rsidR="00916286" w:rsidRDefault="00916286" w:rsidP="00F300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3E9C" w14:textId="77777777" w:rsidR="00916286" w:rsidRDefault="00916286" w:rsidP="00F300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DB09" w14:textId="77777777" w:rsidR="00916286" w:rsidRDefault="00916286" w:rsidP="00F300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C58F" w14:textId="77777777" w:rsidR="00916286" w:rsidRDefault="00916286" w:rsidP="00F300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B7E5" w14:textId="1F3F923F" w:rsidR="00916286" w:rsidRPr="00916286" w:rsidRDefault="00916286" w:rsidP="00F3001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A7D5" w14:textId="210099A8" w:rsidR="00916286" w:rsidRPr="00916286" w:rsidRDefault="00916286" w:rsidP="00F3001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4F7A" w14:textId="1D3E77F9" w:rsidR="00916286" w:rsidRPr="00916286" w:rsidRDefault="00916286" w:rsidP="00F3001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BE88" w14:textId="77777777" w:rsidR="00916286" w:rsidRDefault="00916286" w:rsidP="00F300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Всього</w:t>
            </w:r>
            <w:proofErr w:type="spellEnd"/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3EA0" w14:textId="77777777" w:rsidR="00916286" w:rsidRDefault="00916286" w:rsidP="00F30011">
            <w:pPr>
              <w:rPr>
                <w:rFonts w:ascii="Times New Roman" w:hAnsi="Times New Roman"/>
                <w:b/>
              </w:rPr>
            </w:pPr>
          </w:p>
        </w:tc>
      </w:tr>
      <w:tr w:rsidR="00916286" w14:paraId="3BE9ADA0" w14:textId="77777777" w:rsidTr="00A54BDE">
        <w:trPr>
          <w:gridAfter w:val="1"/>
          <w:wAfter w:w="19" w:type="dxa"/>
          <w:trHeight w:val="2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CDA0" w14:textId="2BB5436E" w:rsidR="00916286" w:rsidRPr="00916286" w:rsidRDefault="00916286" w:rsidP="00F3001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46AB" w14:textId="30FBCD9D" w:rsidR="00916286" w:rsidRPr="00BA2EF5" w:rsidRDefault="00916286" w:rsidP="00F30011">
            <w:pPr>
              <w:ind w:right="-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A2E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Матеріально-технічне забезпечення автотранспорту, який використовується відділенням поліції для забезпечення безпеки громадського правопорядку та профілактики правопорушень та забезпечення публічної безпеки в населених пунктах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Вороньківської</w:t>
            </w:r>
            <w:proofErr w:type="spellEnd"/>
            <w:r w:rsidRPr="00BA2E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територіальної громади, в </w:t>
            </w:r>
            <w:proofErr w:type="spellStart"/>
            <w:r w:rsidRPr="00BA2E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A2E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ремонт та придбання паливно-мастильних матеріалів, придбання запчастин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FC43" w14:textId="2C93513A" w:rsidR="00916286" w:rsidRP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CCE7" w14:textId="77777777" w:rsidR="00916286" w:rsidRDefault="00916286" w:rsidP="009162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Вороньківська</w:t>
            </w:r>
            <w:proofErr w:type="spellEnd"/>
          </w:p>
          <w:p w14:paraId="0B02AD3C" w14:textId="77777777" w:rsidR="00916286" w:rsidRDefault="00916286" w:rsidP="009162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сільська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рада,</w:t>
            </w:r>
          </w:p>
          <w:p w14:paraId="76A39723" w14:textId="00BC9F2F" w:rsidR="00916286" w:rsidRDefault="00916286" w:rsidP="009162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628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Бориспільське РУП ГУНП в Київській області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88EE" w14:textId="77777777" w:rsidR="00916286" w:rsidRDefault="00916286" w:rsidP="0091628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Вороньківської</w:t>
            </w:r>
            <w:proofErr w:type="spellEnd"/>
          </w:p>
          <w:p w14:paraId="7CEA2334" w14:textId="625CF07F" w:rsidR="00916286" w:rsidRDefault="00916286" w:rsidP="009162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8E15" w14:textId="1F422167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8FC7" w14:textId="0C0EF215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7819" w14:textId="017A7281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1067" w14:textId="54E3EE41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1788" w14:textId="77777777" w:rsidR="00916286" w:rsidRDefault="00916286" w:rsidP="00F300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якісних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правопорядку</w:t>
            </w:r>
          </w:p>
        </w:tc>
      </w:tr>
      <w:tr w:rsidR="00916286" w14:paraId="24D76285" w14:textId="77777777" w:rsidTr="00A54BDE">
        <w:trPr>
          <w:gridAfter w:val="1"/>
          <w:wAfter w:w="19" w:type="dxa"/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9836" w14:textId="77777777" w:rsidR="00916286" w:rsidRDefault="00916286" w:rsidP="00F30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153B" w14:textId="339B78D2" w:rsidR="00916286" w:rsidRDefault="00A54BDE" w:rsidP="00F30011">
            <w:pPr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комп’ютерного обладнання персонального користування (планшети, персональні комп’ютери, багатофункціональні пристрої) для в</w:t>
            </w:r>
            <w:proofErr w:type="spellStart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иявлення</w:t>
            </w:r>
            <w:proofErr w:type="spellEnd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своєчасного</w:t>
            </w:r>
            <w:proofErr w:type="spellEnd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документування</w:t>
            </w:r>
            <w:proofErr w:type="spellEnd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поліцейськими</w:t>
            </w:r>
            <w:proofErr w:type="spellEnd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фактів</w:t>
            </w:r>
            <w:proofErr w:type="spellEnd"/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правопорушень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2218" w14:textId="14DC70FA" w:rsidR="00916286" w:rsidRPr="00A54BDE" w:rsidRDefault="00916286" w:rsidP="00F3001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54BD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A54BD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2499" w14:textId="77777777" w:rsidR="00A54BDE" w:rsidRDefault="00A54BDE" w:rsidP="00A54B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Вороньківська</w:t>
            </w:r>
            <w:proofErr w:type="spellEnd"/>
          </w:p>
          <w:p w14:paraId="50CCED67" w14:textId="77777777" w:rsidR="00A54BDE" w:rsidRDefault="00A54BDE" w:rsidP="00A54B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сільська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рада,</w:t>
            </w:r>
          </w:p>
          <w:p w14:paraId="68E1CC42" w14:textId="60BC70DE" w:rsidR="00916286" w:rsidRDefault="00A54BDE" w:rsidP="00A54B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628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Бориспільське РУП ГУНП в Київській області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219D" w14:textId="77777777" w:rsidR="00A54BDE" w:rsidRDefault="00A54BDE" w:rsidP="00A54B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Вороньківської</w:t>
            </w:r>
            <w:proofErr w:type="spellEnd"/>
          </w:p>
          <w:p w14:paraId="3965DC24" w14:textId="74AF3ACE" w:rsidR="00916286" w:rsidRDefault="00A54BDE" w:rsidP="00A54B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1497" w14:textId="5F41053B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96" w14:textId="5C72A184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7AF8" w14:textId="34AB332C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4DC3" w14:textId="26D7003E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198" w14:textId="2234C3C1" w:rsidR="00916286" w:rsidRDefault="00A54BDE" w:rsidP="00F300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абезпечення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своєчасного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поліцейськими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правопорушень</w:t>
            </w:r>
          </w:p>
        </w:tc>
      </w:tr>
      <w:tr w:rsidR="00916286" w14:paraId="2845A6D9" w14:textId="77777777" w:rsidTr="00A54BDE">
        <w:trPr>
          <w:trHeight w:val="429"/>
        </w:trPr>
        <w:tc>
          <w:tcPr>
            <w:tcW w:w="9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B09" w14:textId="77777777" w:rsidR="00916286" w:rsidRDefault="00916286" w:rsidP="00F300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567D" w14:textId="65BF6F64" w:rsidR="00916286" w:rsidRDefault="00A54BDE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  <w:r w:rsidR="0091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DABE" w14:textId="7C212950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82FE" w14:textId="1F3AE809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731" w14:textId="31E4726B" w:rsidR="00916286" w:rsidRDefault="00916286" w:rsidP="00F300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020" w14:textId="77777777" w:rsidR="00916286" w:rsidRDefault="00916286" w:rsidP="00F300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31EA9E7" w14:textId="77777777" w:rsidR="00916286" w:rsidRDefault="00916286" w:rsidP="00916286"/>
    <w:p w14:paraId="2AC3F1D6" w14:textId="77777777" w:rsidR="00916286" w:rsidRPr="00AD175A" w:rsidRDefault="00916286" w:rsidP="00AD175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sectPr w:rsidR="00916286" w:rsidRPr="00AD175A" w:rsidSect="00B203FF">
      <w:pgSz w:w="16838" w:h="11906" w:orient="landscape"/>
      <w:pgMar w:top="993" w:right="127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BD14579_"/>
      </v:shape>
    </w:pict>
  </w:numPicBullet>
  <w:abstractNum w:abstractNumId="0" w15:restartNumberingAfterBreak="0">
    <w:nsid w:val="120C1B07"/>
    <w:multiLevelType w:val="hybridMultilevel"/>
    <w:tmpl w:val="3A928264"/>
    <w:lvl w:ilvl="0" w:tplc="80801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A63"/>
    <w:multiLevelType w:val="hybridMultilevel"/>
    <w:tmpl w:val="3D9AAF5A"/>
    <w:lvl w:ilvl="0" w:tplc="C58AB12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276"/>
    <w:multiLevelType w:val="hybridMultilevel"/>
    <w:tmpl w:val="D42C1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5FF2"/>
    <w:multiLevelType w:val="hybridMultilevel"/>
    <w:tmpl w:val="065E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11B9"/>
    <w:multiLevelType w:val="hybridMultilevel"/>
    <w:tmpl w:val="454A8078"/>
    <w:lvl w:ilvl="0" w:tplc="E43A2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0447"/>
    <w:multiLevelType w:val="hybridMultilevel"/>
    <w:tmpl w:val="BBEA7EA8"/>
    <w:lvl w:ilvl="0" w:tplc="EC9A7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A4639"/>
    <w:multiLevelType w:val="hybridMultilevel"/>
    <w:tmpl w:val="60261998"/>
    <w:lvl w:ilvl="0" w:tplc="042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306A03"/>
    <w:multiLevelType w:val="hybridMultilevel"/>
    <w:tmpl w:val="CEB6C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C12AD"/>
    <w:multiLevelType w:val="multilevel"/>
    <w:tmpl w:val="034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61EA6"/>
    <w:multiLevelType w:val="hybridMultilevel"/>
    <w:tmpl w:val="D42C1F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30414"/>
    <w:multiLevelType w:val="hybridMultilevel"/>
    <w:tmpl w:val="EB188960"/>
    <w:lvl w:ilvl="0" w:tplc="1F566C2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6F34C93"/>
    <w:multiLevelType w:val="hybridMultilevel"/>
    <w:tmpl w:val="0A40AB9E"/>
    <w:lvl w:ilvl="0" w:tplc="97A88328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04309"/>
    <w:multiLevelType w:val="hybridMultilevel"/>
    <w:tmpl w:val="D42C1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39083">
    <w:abstractNumId w:val="1"/>
  </w:num>
  <w:num w:numId="2" w16cid:durableId="1618830550">
    <w:abstractNumId w:val="3"/>
  </w:num>
  <w:num w:numId="3" w16cid:durableId="200753549">
    <w:abstractNumId w:val="6"/>
  </w:num>
  <w:num w:numId="4" w16cid:durableId="186678957">
    <w:abstractNumId w:val="0"/>
  </w:num>
  <w:num w:numId="5" w16cid:durableId="1086071301">
    <w:abstractNumId w:val="11"/>
  </w:num>
  <w:num w:numId="6" w16cid:durableId="1563977954">
    <w:abstractNumId w:val="7"/>
  </w:num>
  <w:num w:numId="7" w16cid:durableId="576088093">
    <w:abstractNumId w:val="9"/>
  </w:num>
  <w:num w:numId="8" w16cid:durableId="1512406230">
    <w:abstractNumId w:val="5"/>
  </w:num>
  <w:num w:numId="9" w16cid:durableId="1658651319">
    <w:abstractNumId w:val="10"/>
  </w:num>
  <w:num w:numId="10" w16cid:durableId="357462964">
    <w:abstractNumId w:val="12"/>
  </w:num>
  <w:num w:numId="11" w16cid:durableId="1654335026">
    <w:abstractNumId w:val="2"/>
  </w:num>
  <w:num w:numId="12" w16cid:durableId="52822856">
    <w:abstractNumId w:val="8"/>
  </w:num>
  <w:num w:numId="13" w16cid:durableId="825977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A9"/>
    <w:rsid w:val="000459D7"/>
    <w:rsid w:val="000474B4"/>
    <w:rsid w:val="00067634"/>
    <w:rsid w:val="000763AA"/>
    <w:rsid w:val="001063BB"/>
    <w:rsid w:val="00111B77"/>
    <w:rsid w:val="001308F4"/>
    <w:rsid w:val="00134D12"/>
    <w:rsid w:val="00137B65"/>
    <w:rsid w:val="00140AA9"/>
    <w:rsid w:val="00164016"/>
    <w:rsid w:val="001742E6"/>
    <w:rsid w:val="001A69AB"/>
    <w:rsid w:val="001B6F58"/>
    <w:rsid w:val="001F199B"/>
    <w:rsid w:val="00244E35"/>
    <w:rsid w:val="002E04F3"/>
    <w:rsid w:val="002E5291"/>
    <w:rsid w:val="002E788E"/>
    <w:rsid w:val="0030209F"/>
    <w:rsid w:val="00307F59"/>
    <w:rsid w:val="0031081B"/>
    <w:rsid w:val="003200A9"/>
    <w:rsid w:val="00326BEF"/>
    <w:rsid w:val="00340E02"/>
    <w:rsid w:val="003A5493"/>
    <w:rsid w:val="003B76BE"/>
    <w:rsid w:val="003D7A3C"/>
    <w:rsid w:val="003E1FF1"/>
    <w:rsid w:val="00430B09"/>
    <w:rsid w:val="004D216C"/>
    <w:rsid w:val="004D4BBA"/>
    <w:rsid w:val="004E39CE"/>
    <w:rsid w:val="005320F8"/>
    <w:rsid w:val="005553C6"/>
    <w:rsid w:val="00590CAE"/>
    <w:rsid w:val="005A33AC"/>
    <w:rsid w:val="005A752F"/>
    <w:rsid w:val="005B68FC"/>
    <w:rsid w:val="005B6C37"/>
    <w:rsid w:val="005E1F81"/>
    <w:rsid w:val="005F3775"/>
    <w:rsid w:val="0060467A"/>
    <w:rsid w:val="006172D6"/>
    <w:rsid w:val="0063506E"/>
    <w:rsid w:val="00646A38"/>
    <w:rsid w:val="00646D82"/>
    <w:rsid w:val="00651579"/>
    <w:rsid w:val="006542BB"/>
    <w:rsid w:val="0069340F"/>
    <w:rsid w:val="006A7558"/>
    <w:rsid w:val="007021FE"/>
    <w:rsid w:val="007030DF"/>
    <w:rsid w:val="00753064"/>
    <w:rsid w:val="00763B31"/>
    <w:rsid w:val="00771BA7"/>
    <w:rsid w:val="00772957"/>
    <w:rsid w:val="007C0FCC"/>
    <w:rsid w:val="007C5F4A"/>
    <w:rsid w:val="007C6FB2"/>
    <w:rsid w:val="007E3B70"/>
    <w:rsid w:val="00804E1D"/>
    <w:rsid w:val="008065B0"/>
    <w:rsid w:val="008767FF"/>
    <w:rsid w:val="009035B9"/>
    <w:rsid w:val="00910EB9"/>
    <w:rsid w:val="00916286"/>
    <w:rsid w:val="0096413A"/>
    <w:rsid w:val="0096521E"/>
    <w:rsid w:val="009A65A1"/>
    <w:rsid w:val="009E249E"/>
    <w:rsid w:val="00A32A05"/>
    <w:rsid w:val="00A54BDE"/>
    <w:rsid w:val="00A55214"/>
    <w:rsid w:val="00A73A46"/>
    <w:rsid w:val="00AA1A65"/>
    <w:rsid w:val="00AB26AF"/>
    <w:rsid w:val="00AD175A"/>
    <w:rsid w:val="00AF20F5"/>
    <w:rsid w:val="00AF4026"/>
    <w:rsid w:val="00B203FF"/>
    <w:rsid w:val="00B4067A"/>
    <w:rsid w:val="00B457A9"/>
    <w:rsid w:val="00B47693"/>
    <w:rsid w:val="00B6635B"/>
    <w:rsid w:val="00BA2EF5"/>
    <w:rsid w:val="00BB2560"/>
    <w:rsid w:val="00BD212E"/>
    <w:rsid w:val="00C11FA1"/>
    <w:rsid w:val="00C26A79"/>
    <w:rsid w:val="00C44453"/>
    <w:rsid w:val="00C80F84"/>
    <w:rsid w:val="00CC5AB6"/>
    <w:rsid w:val="00D80F17"/>
    <w:rsid w:val="00DA586A"/>
    <w:rsid w:val="00DD78DC"/>
    <w:rsid w:val="00DF091A"/>
    <w:rsid w:val="00E615E8"/>
    <w:rsid w:val="00E856C2"/>
    <w:rsid w:val="00EB625B"/>
    <w:rsid w:val="00EC1327"/>
    <w:rsid w:val="00EF25D9"/>
    <w:rsid w:val="00F36161"/>
    <w:rsid w:val="00F71AF6"/>
    <w:rsid w:val="00F8556D"/>
    <w:rsid w:val="00F87619"/>
    <w:rsid w:val="00F94C31"/>
    <w:rsid w:val="00FA3FEE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AB87"/>
  <w15:docId w15:val="{DF0F13D0-327D-4F6D-A2CC-FA719A3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A69A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E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Абзац списку Знак"/>
    <w:link w:val="a4"/>
    <w:uiPriority w:val="99"/>
    <w:locked/>
    <w:rsid w:val="00AD175A"/>
  </w:style>
  <w:style w:type="paragraph" w:customStyle="1" w:styleId="rtejustify">
    <w:name w:val="rtejustify"/>
    <w:basedOn w:val="a"/>
    <w:rsid w:val="0096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A55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qFormat/>
    <w:locked/>
    <w:rsid w:val="0091628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16286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A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A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9222</Words>
  <Characters>5258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2024-02-05T16:29:00Z</cp:lastPrinted>
  <dcterms:created xsi:type="dcterms:W3CDTF">2024-02-07T07:20:00Z</dcterms:created>
  <dcterms:modified xsi:type="dcterms:W3CDTF">2024-02-07T07:20:00Z</dcterms:modified>
</cp:coreProperties>
</file>