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76" w:rsidRDefault="00F43576">
      <w:pPr>
        <w:spacing w:after="0" w:line="240" w:lineRule="auto"/>
        <w:ind w:firstLine="708"/>
        <w:jc w:val="center"/>
        <w:rPr>
          <w:b/>
          <w:sz w:val="20"/>
          <w:szCs w:val="20"/>
        </w:rPr>
      </w:pPr>
    </w:p>
    <w:p w:rsidR="00F43576" w:rsidRDefault="00F43576">
      <w:pPr>
        <w:spacing w:after="0" w:line="240" w:lineRule="auto"/>
        <w:ind w:firstLine="708"/>
        <w:jc w:val="center"/>
        <w:rPr>
          <w:b/>
          <w:sz w:val="20"/>
          <w:szCs w:val="20"/>
        </w:rPr>
      </w:pPr>
    </w:p>
    <w:p w:rsidR="00F43576" w:rsidRDefault="00F43576">
      <w:pPr>
        <w:spacing w:after="0" w:line="240" w:lineRule="auto"/>
        <w:ind w:firstLine="708"/>
        <w:jc w:val="center"/>
        <w:rPr>
          <w:b/>
          <w:sz w:val="20"/>
          <w:szCs w:val="20"/>
        </w:rPr>
      </w:pPr>
    </w:p>
    <w:p w:rsidR="00F43576" w:rsidRDefault="00011676">
      <w:pPr>
        <w:spacing w:after="0" w:line="240" w:lineRule="auto"/>
        <w:jc w:val="center"/>
        <w:rPr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-340995</wp:posOffset>
            </wp:positionV>
            <wp:extent cx="431800" cy="6121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3576" w:rsidRDefault="00F43576">
      <w:pPr>
        <w:spacing w:after="0" w:line="240" w:lineRule="auto"/>
        <w:ind w:left="5664" w:firstLine="708"/>
        <w:jc w:val="center"/>
        <w:rPr>
          <w:rFonts w:eastAsia="Times New Roman"/>
          <w:sz w:val="24"/>
          <w:szCs w:val="24"/>
          <w:lang w:val="uk-UA" w:eastAsia="ru-RU"/>
        </w:rPr>
      </w:pPr>
    </w:p>
    <w:p w:rsidR="00F43576" w:rsidRDefault="0001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ВОРОНЬКІВСЬКА СІЛЬСЬКА РАДА</w:t>
      </w:r>
    </w:p>
    <w:p w:rsidR="00F43576" w:rsidRDefault="0001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БОРИСПІЛЬСЬКОГО РАЙОНУ</w:t>
      </w:r>
    </w:p>
    <w:p w:rsidR="00F43576" w:rsidRDefault="0001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F43576" w:rsidRDefault="0001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F43576" w:rsidRDefault="00F4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3576" w:rsidRDefault="0001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F43576" w:rsidRDefault="00F4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3576" w:rsidRPr="00D273B0" w:rsidRDefault="000116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18 вересня  2025 року              с. Вороньків                                   № </w:t>
      </w:r>
      <w:r w:rsidR="00D273B0" w:rsidRPr="00D273B0">
        <w:rPr>
          <w:rFonts w:ascii="Times New Roman" w:eastAsia="Times New Roman" w:hAnsi="Times New Roman" w:cs="Times New Roman"/>
          <w:sz w:val="28"/>
          <w:szCs w:val="28"/>
          <w:lang w:eastAsia="ru-RU"/>
        </w:rPr>
        <w:t>283</w:t>
      </w:r>
    </w:p>
    <w:p w:rsidR="00F43576" w:rsidRDefault="00F43576">
      <w:pPr>
        <w:pStyle w:val="7"/>
        <w:tabs>
          <w:tab w:val="left" w:pos="567"/>
        </w:tabs>
        <w:jc w:val="both"/>
        <w:rPr>
          <w:b/>
          <w:color w:val="000000"/>
          <w:sz w:val="28"/>
          <w:lang w:val="uk-UA"/>
        </w:rPr>
      </w:pPr>
    </w:p>
    <w:p w:rsidR="00F43576" w:rsidRDefault="00011676" w:rsidP="00D273B0">
      <w:pPr>
        <w:pStyle w:val="7"/>
        <w:tabs>
          <w:tab w:val="left" w:pos="567"/>
        </w:tabs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Про затвердження Середньострокового</w:t>
      </w:r>
    </w:p>
    <w:p w:rsidR="00F43576" w:rsidRDefault="00011676">
      <w:pPr>
        <w:pStyle w:val="7"/>
        <w:tabs>
          <w:tab w:val="left" w:pos="567"/>
        </w:tabs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 плану пріоритетних публічних інвестицій</w:t>
      </w:r>
    </w:p>
    <w:p w:rsidR="00F43576" w:rsidRDefault="00011676">
      <w:pPr>
        <w:pStyle w:val="7"/>
        <w:tabs>
          <w:tab w:val="left" w:pos="567"/>
        </w:tabs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 Вороньківської територіальної громади на 2026-2028 роки</w:t>
      </w:r>
    </w:p>
    <w:p w:rsidR="00F43576" w:rsidRDefault="00F43576">
      <w:pPr>
        <w:pStyle w:val="7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43576" w:rsidRDefault="00011676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Керуючись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статтями 40, 52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Закону України «Про місцеве самоврядування в Україні», Бюджетним кодексом України, постановами Кабінету Міністрів України від 28 лютого 2025 року №294 «Про затвердження Порядку розроблення та моніторингу реалізації середньострокового плану пріоритетних пуб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лічних інвестицій держави», №232 «Деякі питання розподілу публічних інвестицій» та №527  «Про реалізацію публічних інвестиційних проєктів», відповідно до листа Міністерства економіки, довкілля та сільського господарства України від 25.07.2025 № 3502-05/502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24-06 щодо планування, підготовки та реалізації публічних інвестиційних проєктів і програм,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рішення виконавчого комітету Вороньківської сільської ради від 15.07.2025 №232 «Про створення Інвестиційної ради Вороньківської сільської територіальної громади» та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 протоколу засідання Інвестиційної ради</w:t>
      </w:r>
      <w:r w:rsidR="00D273B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№1 від 1 вересня 2025 року,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виконавчий комітет Вороньківської сільської ради</w:t>
      </w:r>
    </w:p>
    <w:p w:rsidR="00F43576" w:rsidRDefault="00011676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F43576" w:rsidRDefault="00011676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Затвердити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ередньостроковий план пріоритетних публічних інвестицій Вороньківської територіальної громади на 2026-2028 роки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1).</w:t>
      </w:r>
    </w:p>
    <w:p w:rsidR="00F43576" w:rsidRDefault="00011676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Головним розпорядникам бюджетних коштів в т. ч. їх структурним  підрозділам, засновником яких є Вороньківська сільська рада Київської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виконання вимог Порядку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.</w:t>
      </w:r>
    </w:p>
    <w:p w:rsidR="00F43576" w:rsidRDefault="00011676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Забезпечити оприлюднення цього рішення на сайті Вороньківської с</w:t>
      </w:r>
      <w:r>
        <w:rPr>
          <w:rFonts w:ascii="Times New Roman" w:hAnsi="Times New Roman" w:cs="Times New Roman"/>
          <w:sz w:val="28"/>
          <w:szCs w:val="28"/>
          <w:lang w:val="uk-UA"/>
        </w:rPr>
        <w:t>ільської ради.</w:t>
      </w:r>
    </w:p>
    <w:p w:rsidR="00F43576" w:rsidRDefault="00011676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сільського голови з питань діяльності виконавчих органів ради Людмилу ПАСЬКО.</w:t>
      </w:r>
    </w:p>
    <w:p w:rsidR="00F43576" w:rsidRDefault="00F43576">
      <w:pPr>
        <w:pStyle w:val="a9"/>
        <w:shd w:val="clear" w:color="auto" w:fill="FFFFFF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576" w:rsidRDefault="00F43576">
      <w:pPr>
        <w:pStyle w:val="a9"/>
        <w:shd w:val="clear" w:color="auto" w:fill="FFFFFF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576" w:rsidRDefault="00F43576">
      <w:pPr>
        <w:pStyle w:val="a9"/>
        <w:shd w:val="clear" w:color="auto" w:fill="FFFFFF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576" w:rsidRDefault="00F43576">
      <w:pPr>
        <w:pStyle w:val="a9"/>
        <w:shd w:val="clear" w:color="auto" w:fill="FFFFFF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576" w:rsidRDefault="0001167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</w:t>
      </w:r>
      <w:r w:rsidRPr="00D273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ЧЕШКО</w:t>
      </w:r>
    </w:p>
    <w:p w:rsidR="00F43576" w:rsidRDefault="00F43576">
      <w:pPr>
        <w:pStyle w:val="a9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F43576" w:rsidRDefault="00011676">
      <w:pPr>
        <w:keepNext/>
        <w:numPr>
          <w:ilvl w:val="2"/>
          <w:numId w:val="0"/>
        </w:numPr>
        <w:tabs>
          <w:tab w:val="left" w:pos="720"/>
        </w:tabs>
        <w:suppressAutoHyphens/>
        <w:spacing w:before="240" w:after="12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Середньостроковий план пріоритетних публічних інвестицій Вороньківської   територіальної громади на 2026-2028 роки</w:t>
      </w:r>
    </w:p>
    <w:p w:rsidR="00F43576" w:rsidRDefault="0001167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Середньостроковий план пріоритетних публічних інвестицій Вороньківської сільської територіальної громади (далі  - Середньостроковий план) роз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роблено відповідно до Бюджетного кодексу України та Порядку розроблення і моніторингу реалізації середньострокового плану, затвердженого постановою Кабінету Міністрів України від 28 лютого 2025 року №294.</w:t>
      </w:r>
    </w:p>
    <w:p w:rsidR="00F43576" w:rsidRDefault="000116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Середньостроковий план Вороньківської територіал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ьної громади узгоджений із Середньостроковим планом пріоритетних публічних інвестицій держави на 2026 – 2028 роки, а також із Стратегією розвитку Вороньківської територіальної громади на 2024-2027 роки.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 xml:space="preserve">   Середньостроковий план формує основу для побудови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коштів а також дозволяє зосередити  ресурси на найбільш пріорітетних для громади публічних інве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стиційних проєктах.</w:t>
      </w:r>
    </w:p>
    <w:p w:rsidR="00F43576" w:rsidRDefault="000116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Середньостроковий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визначає:</w:t>
      </w:r>
    </w:p>
    <w:p w:rsidR="00F43576" w:rsidRDefault="000116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наскрізні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стратегічні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цілі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здійснення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публічних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інвестицій;</w:t>
      </w:r>
    </w:p>
    <w:p w:rsidR="00F43576" w:rsidRDefault="000116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пріоритетні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галузі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публічного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інвестування;</w:t>
      </w:r>
    </w:p>
    <w:p w:rsidR="00F43576" w:rsidRDefault="000116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основні напрями публічного інвестування, у тому числі за діючими проєктами та програмами,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цільові показники цих напрямів в розрізі сфер державної політики, регіонів і відповідний орієнтовний розподіл коштів за рахунок різних джерел фінансування;</w:t>
      </w:r>
    </w:p>
    <w:p w:rsidR="00F43576" w:rsidRDefault="000116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Сфера дії  Середньострокового плану включає публічні інвестиції для реалізації проєктів і програм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Вороньківської територіальної громади у 2026-2028 роках, крім компенсацій за пошкоджене/зруйноване майно та грантів для розвитку бізнесу і приватних осіб, що не є публічними інвестиціями за визначенням Бюджетного кодексу України. </w:t>
      </w:r>
    </w:p>
    <w:p w:rsidR="00F43576" w:rsidRDefault="00011676">
      <w:pPr>
        <w:spacing w:after="160" w:line="259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Описова частина</w:t>
      </w:r>
    </w:p>
    <w:p w:rsidR="00F43576" w:rsidRDefault="00011676">
      <w:pPr>
        <w:widowControl w:val="0"/>
        <w:autoSpaceDE w:val="0"/>
        <w:autoSpaceDN w:val="0"/>
        <w:spacing w:before="316"/>
        <w:ind w:right="15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Середньостроковий план розроблено відділом економіки, інвестицій та публічних закупівель спільно з фінансовим відділом виконавчого комітету Вороньківської сільської ради відповідно до цілей і завдань, визначених документами стратегічного планування, у межа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орієнтовного граничного сукупного обсягу публічних інвестицій  на середньостроковий період, доведеного фінансовим управлінням .</w:t>
      </w:r>
    </w:p>
    <w:p w:rsidR="00F43576" w:rsidRDefault="00011676">
      <w:pPr>
        <w:widowControl w:val="0"/>
        <w:autoSpaceDE w:val="0"/>
        <w:autoSpaceDN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Наскрізні</w:t>
      </w:r>
      <w:r>
        <w:rPr>
          <w:rFonts w:ascii="Times New Roman" w:hAnsi="Times New Roman" w:cs="Times New Roman"/>
          <w:i/>
          <w:color w:val="000000" w:themeColor="text1"/>
          <w:spacing w:val="-1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стратегічні</w:t>
      </w:r>
      <w:r>
        <w:rPr>
          <w:rFonts w:ascii="Times New Roman" w:hAnsi="Times New Roman" w:cs="Times New Roman"/>
          <w:i/>
          <w:color w:val="000000" w:themeColor="text1"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цілі</w:t>
      </w:r>
      <w:r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здійснення</w:t>
      </w:r>
      <w:r>
        <w:rPr>
          <w:rFonts w:ascii="Times New Roman" w:hAnsi="Times New Roman" w:cs="Times New Roman"/>
          <w:i/>
          <w:color w:val="000000" w:themeColor="text1"/>
          <w:spacing w:val="-7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публічних</w:t>
      </w:r>
      <w:r>
        <w:rPr>
          <w:rFonts w:ascii="Times New Roman" w:hAnsi="Times New Roman" w:cs="Times New Roman"/>
          <w:i/>
          <w:color w:val="000000" w:themeColor="text1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uk-UA"/>
        </w:rPr>
        <w:t>інвестицій</w:t>
      </w:r>
    </w:p>
    <w:p w:rsidR="00F43576" w:rsidRDefault="00011676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Наскрізними стратегічними цілями здійснення публічних інвестицій (далі – наскрізні стратегічні цілі)  є цілі, що мають міжгалузевий характер, відповідають національним або глобальним пріоритетам розвитку, для досягнення яких об’єднують зусилля органи влади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фізичні і юридичні особи, громадські об’єднання, інші суб’єкти , які можуть вплинути на процес досягнення цілей.   </w:t>
      </w:r>
    </w:p>
    <w:p w:rsidR="00F43576" w:rsidRDefault="00011676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На 2026-2028 роки наскрізними стратегічними цілями визначеними на рівні держави є енергоефективність, реагування на зміни клімату,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гендерна рівність та безбар’єрність.</w:t>
      </w:r>
    </w:p>
    <w:p w:rsidR="00F43576" w:rsidRDefault="00011676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Наскрізні стратегічні цілі мають ключове значення для досягнення сталого розвитку та соціальної справедливості в Україні. Їх реалізація передбачає раціональне використання енергоресурсів, впровадження енергоефективних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технологій, адаптацію інфраструктури до нових викликів та захисту навколишнього природного середовища, врахування принципів рівності, безбар’єрності, доступності для всіх категорій населення, включаючи осіб з інвалідністю, осіб з різними функціональними по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рушеннями а також людей похилого віку незалежно від їх статі та соціального статусу.</w:t>
      </w:r>
    </w:p>
    <w:p w:rsidR="00F43576" w:rsidRDefault="00F43576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43576" w:rsidRDefault="00011676">
      <w:pPr>
        <w:widowControl w:val="0"/>
        <w:autoSpaceDE w:val="0"/>
        <w:autoSpaceDN w:val="0"/>
        <w:spacing w:before="1"/>
        <w:ind w:right="156" w:firstLine="708"/>
        <w:jc w:val="both"/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lang w:val="uk-UA"/>
        </w:rPr>
        <w:t>Пріоритетні галузі для публічного інвестування:</w:t>
      </w:r>
    </w:p>
    <w:p w:rsidR="00F43576" w:rsidRDefault="00011676">
      <w:pPr>
        <w:widowControl w:val="0"/>
        <w:autoSpaceDE w:val="0"/>
        <w:autoSpaceDN w:val="0"/>
        <w:spacing w:before="1"/>
        <w:ind w:right="156" w:firstLine="708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Вороньківська територіальна громада, зважаючи на Середньостроковий план пріоритетних публічних інвестицій держави,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спрямовуватиме публічні інвестиції у такі галузі/напрямки:</w:t>
      </w:r>
    </w:p>
    <w:p w:rsidR="00F43576" w:rsidRDefault="00011676">
      <w:pPr>
        <w:widowControl w:val="0"/>
        <w:autoSpaceDE w:val="0"/>
        <w:autoSpaceDN w:val="0"/>
        <w:spacing w:before="1"/>
        <w:ind w:right="156" w:firstLine="708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Галузь: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Муніципальна інфраструктура та послуги – модернізація систем водопостачання та водовідведення, теплопостачання в населених пунктах, будівництво пожежного депо та та підвищення енергоефектив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ності в громадських будівлях.</w:t>
      </w:r>
    </w:p>
    <w:p w:rsidR="00F43576" w:rsidRDefault="00011676">
      <w:pPr>
        <w:spacing w:before="1" w:line="259" w:lineRule="auto"/>
        <w:ind w:right="156" w:firstLine="708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Галузь: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Освіта і наука – модернізація закладів освіти, будівництво тареконструкція укриттів та протирадіаційних укриттів в закладах освіти, покращення їх інфраструктури, забезпечення якості, безпеки та доступності освіти.</w:t>
      </w:r>
    </w:p>
    <w:p w:rsidR="00F43576" w:rsidRDefault="00011676">
      <w:pPr>
        <w:widowControl w:val="0"/>
        <w:autoSpaceDE w:val="0"/>
        <w:autoSpaceDN w:val="0"/>
        <w:spacing w:before="1"/>
        <w:ind w:right="156" w:firstLine="708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Галузь: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Охорона здоров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я – підвищення якості медичної освіти, покращення доступу до медичних послуг та оснащення закладів охорони здоров’я сучасним  медичним обладнанням.</w:t>
      </w:r>
    </w:p>
    <w:p w:rsidR="00F43576" w:rsidRDefault="00011676">
      <w:pPr>
        <w:spacing w:after="160" w:line="259" w:lineRule="auto"/>
        <w:ind w:right="15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Перелік галузей для публічного інвестування та основних напрямків для публічного 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вестування наведено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Додатку 1.</w:t>
      </w:r>
    </w:p>
    <w:p w:rsidR="00F43576" w:rsidRDefault="00011676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Фінансова</w:t>
      </w:r>
      <w:r>
        <w:rPr>
          <w:rFonts w:ascii="Times New Roman" w:hAnsi="Times New Roman" w:cs="Times New Roman"/>
          <w:b/>
          <w:i/>
          <w:color w:val="000000" w:themeColor="text1"/>
          <w:spacing w:val="-7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структура</w:t>
      </w:r>
      <w:r>
        <w:rPr>
          <w:rFonts w:ascii="Times New Roman" w:hAnsi="Times New Roman" w:cs="Times New Roman"/>
          <w:b/>
          <w:i/>
          <w:color w:val="000000" w:themeColor="text1"/>
          <w:spacing w:val="-1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публічних</w:t>
      </w:r>
      <w:r>
        <w:rPr>
          <w:rFonts w:ascii="Times New Roman" w:hAnsi="Times New Roman" w:cs="Times New Roman"/>
          <w:b/>
          <w:i/>
          <w:color w:val="000000" w:themeColor="text1"/>
          <w:spacing w:val="-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lang w:val="uk-UA"/>
        </w:rPr>
        <w:t>інвестицій</w:t>
      </w:r>
    </w:p>
    <w:p w:rsidR="00F43576" w:rsidRDefault="00011676">
      <w:pPr>
        <w:widowControl w:val="0"/>
        <w:autoSpaceDE w:val="0"/>
        <w:autoSpaceDN w:val="0"/>
        <w:spacing w:before="251" w:line="242" w:lineRule="auto"/>
        <w:ind w:right="14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 публічних інвестицій на підготовку та реалізацію публічних інвестиційних проєктів та програм публічних інвестицій на 2026-2028 роки у розрізі джерел фінансового забезпечення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за роками становить: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2816"/>
        <w:gridCol w:w="2111"/>
        <w:gridCol w:w="1622"/>
        <w:gridCol w:w="1625"/>
        <w:gridCol w:w="1857"/>
      </w:tblGrid>
      <w:tr w:rsidR="00F43576">
        <w:tc>
          <w:tcPr>
            <w:tcW w:w="2816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2111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 рік (прогноз)</w:t>
            </w:r>
          </w:p>
        </w:tc>
        <w:tc>
          <w:tcPr>
            <w:tcW w:w="1622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2027 рік (прогноз)</w:t>
            </w:r>
          </w:p>
        </w:tc>
        <w:tc>
          <w:tcPr>
            <w:tcW w:w="1625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2028 рік (прогноз)</w:t>
            </w:r>
          </w:p>
        </w:tc>
        <w:tc>
          <w:tcPr>
            <w:tcW w:w="1857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Разом за 2026-2028 роки (прогноз)</w:t>
            </w:r>
          </w:p>
        </w:tc>
      </w:tr>
      <w:tr w:rsidR="00F43576">
        <w:tc>
          <w:tcPr>
            <w:tcW w:w="2816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111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10264525</w:t>
            </w:r>
          </w:p>
        </w:tc>
        <w:tc>
          <w:tcPr>
            <w:tcW w:w="1622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10500000</w:t>
            </w:r>
          </w:p>
        </w:tc>
        <w:tc>
          <w:tcPr>
            <w:tcW w:w="1625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14000000</w:t>
            </w:r>
          </w:p>
        </w:tc>
        <w:tc>
          <w:tcPr>
            <w:tcW w:w="1857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34764525</w:t>
            </w:r>
          </w:p>
        </w:tc>
      </w:tr>
      <w:tr w:rsidR="00F43576">
        <w:tc>
          <w:tcPr>
            <w:tcW w:w="2816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111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10264525</w:t>
            </w:r>
          </w:p>
        </w:tc>
        <w:tc>
          <w:tcPr>
            <w:tcW w:w="1622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10500000</w:t>
            </w:r>
          </w:p>
        </w:tc>
        <w:tc>
          <w:tcPr>
            <w:tcW w:w="1625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14000000</w:t>
            </w:r>
          </w:p>
        </w:tc>
        <w:tc>
          <w:tcPr>
            <w:tcW w:w="1857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34764525</w:t>
            </w:r>
          </w:p>
        </w:tc>
      </w:tr>
    </w:tbl>
    <w:p w:rsidR="00F43576" w:rsidRDefault="00011676">
      <w:pPr>
        <w:spacing w:after="160" w:line="259" w:lineRule="auto"/>
        <w:ind w:right="15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</w:p>
    <w:p w:rsidR="00F43576" w:rsidRDefault="00011676">
      <w:pPr>
        <w:spacing w:after="160" w:line="259" w:lineRule="auto"/>
        <w:ind w:right="15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Фінансування  забезпечується як за рахунок залучених коштів інших джерел фінансування та бюджету територіальної громади. </w:t>
      </w:r>
    </w:p>
    <w:p w:rsidR="00F43576" w:rsidRDefault="00011676">
      <w:pPr>
        <w:spacing w:after="160" w:line="259" w:lineRule="auto"/>
        <w:ind w:right="15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Розподіл орієнтовного граничного сукупного обсягу публічних інвестицій Вороньківської ТГ на 2026-2028 роки на галузі для публічного ін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вестування 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660"/>
        <w:gridCol w:w="1701"/>
        <w:gridCol w:w="1559"/>
        <w:gridCol w:w="1559"/>
        <w:gridCol w:w="2268"/>
      </w:tblGrid>
      <w:tr w:rsidR="00F43576">
        <w:tc>
          <w:tcPr>
            <w:tcW w:w="2660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Галузь (сектор)</w:t>
            </w:r>
          </w:p>
        </w:tc>
        <w:tc>
          <w:tcPr>
            <w:tcW w:w="1701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559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559" w:type="dxa"/>
          </w:tcPr>
          <w:p w:rsidR="00F43576" w:rsidRDefault="0001167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2028 рік</w:t>
            </w:r>
          </w:p>
        </w:tc>
        <w:tc>
          <w:tcPr>
            <w:tcW w:w="2268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Разом (тис.грн)</w:t>
            </w:r>
          </w:p>
        </w:tc>
      </w:tr>
      <w:tr w:rsidR="00F43576">
        <w:tc>
          <w:tcPr>
            <w:tcW w:w="2660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Освіта і наука</w:t>
            </w:r>
          </w:p>
        </w:tc>
        <w:tc>
          <w:tcPr>
            <w:tcW w:w="1701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10264525</w:t>
            </w:r>
          </w:p>
        </w:tc>
        <w:tc>
          <w:tcPr>
            <w:tcW w:w="1559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10500000</w:t>
            </w:r>
          </w:p>
        </w:tc>
        <w:tc>
          <w:tcPr>
            <w:tcW w:w="1559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14000000</w:t>
            </w:r>
          </w:p>
        </w:tc>
        <w:tc>
          <w:tcPr>
            <w:tcW w:w="2268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34764525</w:t>
            </w:r>
          </w:p>
        </w:tc>
      </w:tr>
      <w:tr w:rsidR="00F43576">
        <w:tc>
          <w:tcPr>
            <w:tcW w:w="2660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701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10264525</w:t>
            </w:r>
          </w:p>
        </w:tc>
        <w:tc>
          <w:tcPr>
            <w:tcW w:w="1559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10500000</w:t>
            </w:r>
          </w:p>
        </w:tc>
        <w:tc>
          <w:tcPr>
            <w:tcW w:w="1559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14000000</w:t>
            </w:r>
          </w:p>
        </w:tc>
        <w:tc>
          <w:tcPr>
            <w:tcW w:w="2268" w:type="dxa"/>
          </w:tcPr>
          <w:p w:rsidR="00F43576" w:rsidRDefault="0001167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34764525</w:t>
            </w:r>
          </w:p>
        </w:tc>
      </w:tr>
    </w:tbl>
    <w:p w:rsidR="00F43576" w:rsidRDefault="00011676">
      <w:pPr>
        <w:spacing w:after="160" w:line="259" w:lineRule="auto"/>
        <w:ind w:right="156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Підсумки:</w:t>
      </w:r>
    </w:p>
    <w:p w:rsidR="00F43576" w:rsidRDefault="00011676">
      <w:pPr>
        <w:widowControl w:val="0"/>
        <w:spacing w:before="1"/>
        <w:ind w:right="1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Середньостроковий план охоплює три ключові галузі.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Середньостроковий план 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документом, що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формує основу для якісно нового підходу до управління публічними інвестиціями в громаді. </w:t>
      </w:r>
    </w:p>
    <w:p w:rsidR="00F43576" w:rsidRDefault="00011676">
      <w:pPr>
        <w:widowControl w:val="0"/>
        <w:spacing w:after="0" w:line="240" w:lineRule="auto"/>
        <w:ind w:right="15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наскрізних стратегічних цілей, узгодження з наявними стратегічними документами, продовження та завершення розпочатих проєктів і програм, 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громади. Це сприятиме ефективному використанню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 попередньо вкладених, так і поточни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публічних інвестицій,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також створить чітке розуміння пріоритетних сфер, що потребують фінансової підтримки у середньостроковому періоді.</w:t>
      </w:r>
    </w:p>
    <w:p w:rsidR="00F43576" w:rsidRDefault="00011676">
      <w:pPr>
        <w:widowControl w:val="0"/>
        <w:spacing w:after="0" w:line="240" w:lineRule="auto"/>
        <w:ind w:right="15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Визначення напрямів публічного інвестування відповідних галузей (секторів) для публічного інвестування має ключове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значення для подальшої підготовки, оцінки проектів та програм, а також формування єдиного проектного портфеля публічних інвестицій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Вороньківської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територіальної громади.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F43576" w:rsidRDefault="00011676">
      <w:pPr>
        <w:widowControl w:val="0"/>
        <w:spacing w:after="0" w:line="240" w:lineRule="auto"/>
        <w:ind w:right="15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Підготовка проектів та програм передбачає обов’язкове визначення напряму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блічного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інвестування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галузі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(секторі),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яким пов’язаний проект чи програма, а також узгодження мети та цілей проекту з таким напрямом.</w:t>
      </w:r>
    </w:p>
    <w:p w:rsidR="00F43576" w:rsidRDefault="00011676">
      <w:pPr>
        <w:widowControl w:val="0"/>
        <w:spacing w:after="0" w:line="240" w:lineRule="auto"/>
        <w:ind w:right="15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Оцінка проектів та програм включає оцінку відповідності (скринінг), галузеву (секторальну)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експертну оцінку та експертну оцінку, що передбачає аналіз ряду показників, пов’язаних із напрямами публічного інвестування відповідних галузей (секторів).</w:t>
      </w:r>
    </w:p>
    <w:p w:rsidR="00F43576" w:rsidRDefault="00011676">
      <w:pPr>
        <w:widowControl w:val="0"/>
        <w:spacing w:after="0" w:line="240" w:lineRule="auto"/>
        <w:ind w:right="15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визначення напрямів для публічного інвестування неможлива пріоритезація проектів,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 включені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галузевого (секторального) проектного портфеля. Пріоритезація проектів здійснюється в межах напряму відповідно до критеріїв пріоритезації.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F43576" w:rsidRDefault="0001167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подальшому лише ті проекти та програми, що включені до галузевого (секторального) проектного портфеля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відповідають основним напрямам публічного інвестування, визначеним в Додатку 1 до середньострокового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плану, можуть бути включені в Єдиний проектний портфель публічних інвестицій</w:t>
      </w:r>
      <w:r w:rsidRPr="00D27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Вороньківської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територіальної громади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відповідно, зможуть отримат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фінансування за рахунок коштів бюджету громади, державного бюджету та/або з наданням державної підтримки.</w:t>
      </w:r>
    </w:p>
    <w:p w:rsidR="00F43576" w:rsidRDefault="00F43576">
      <w:pPr>
        <w:spacing w:line="259" w:lineRule="auto"/>
        <w:ind w:right="15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3576" w:rsidRDefault="00F43576">
      <w:pPr>
        <w:pStyle w:val="ShapkaDocumentu"/>
        <w:spacing w:before="240" w:after="120"/>
        <w:ind w:left="0"/>
        <w:jc w:val="left"/>
        <w:rPr>
          <w:b/>
          <w:szCs w:val="28"/>
        </w:rPr>
        <w:sectPr w:rsidR="00F43576">
          <w:pgSz w:w="11906" w:h="16838"/>
          <w:pgMar w:top="567" w:right="707" w:bottom="851" w:left="1701" w:header="708" w:footer="708" w:gutter="0"/>
          <w:cols w:space="708"/>
          <w:docGrid w:linePitch="360"/>
        </w:sectPr>
      </w:pPr>
    </w:p>
    <w:p w:rsidR="00F43576" w:rsidRDefault="00011676">
      <w:pPr>
        <w:spacing w:line="259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F43576" w:rsidRDefault="00011676">
      <w:pPr>
        <w:spacing w:line="259" w:lineRule="auto"/>
        <w:ind w:left="99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Середньострокового плану пріоритетних публічних інвестицій Вороньківської територіальної громади  на 2026 -2028 ро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</w:p>
    <w:p w:rsidR="00F43576" w:rsidRDefault="00011676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3576" w:rsidRDefault="00011676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207091509"/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 напрямки публічного інвестування</w:t>
      </w:r>
    </w:p>
    <w:p w:rsidR="00F43576" w:rsidRDefault="00011676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Галузь для публічного інвестування –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Освіта і наука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Структурний підрозділ, відповідальний  за галузь для публічного інвестування – Управління гуманітарного розвитку виконавчого комітету Вороньківської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Граничний сукупний обсяг публічних інвестицій на середньостроковий період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145337,9 </w:t>
      </w:r>
      <w:r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p w:rsidR="00F43576" w:rsidRDefault="00F43576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3510"/>
        <w:gridCol w:w="2552"/>
        <w:gridCol w:w="1701"/>
        <w:gridCol w:w="2268"/>
        <w:gridCol w:w="1159"/>
        <w:gridCol w:w="1138"/>
        <w:gridCol w:w="3089"/>
      </w:tblGrid>
      <w:tr w:rsidR="00F43576">
        <w:tc>
          <w:tcPr>
            <w:tcW w:w="3510" w:type="dxa"/>
          </w:tcPr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2" w:name="_Hlk207111939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Напрямок</w:t>
            </w:r>
          </w:p>
        </w:tc>
        <w:tc>
          <w:tcPr>
            <w:tcW w:w="2552" w:type="dxa"/>
          </w:tcPr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Діючі проекти/</w:t>
            </w:r>
          </w:p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701" w:type="dxa"/>
          </w:tcPr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Підсектор</w:t>
            </w:r>
          </w:p>
        </w:tc>
        <w:tc>
          <w:tcPr>
            <w:tcW w:w="2268" w:type="dxa"/>
          </w:tcPr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Цільовий показник</w:t>
            </w:r>
          </w:p>
        </w:tc>
        <w:tc>
          <w:tcPr>
            <w:tcW w:w="1159" w:type="dxa"/>
          </w:tcPr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Базове значення</w:t>
            </w:r>
          </w:p>
        </w:tc>
        <w:tc>
          <w:tcPr>
            <w:tcW w:w="1138" w:type="dxa"/>
          </w:tcPr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 2028</w:t>
            </w:r>
          </w:p>
        </w:tc>
        <w:tc>
          <w:tcPr>
            <w:tcW w:w="3089" w:type="dxa"/>
          </w:tcPr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Стратегія</w:t>
            </w:r>
          </w:p>
        </w:tc>
      </w:tr>
      <w:tr w:rsidR="00F43576">
        <w:trPr>
          <w:trHeight w:val="112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6" w:rsidRDefault="00011676">
            <w:pPr>
              <w:spacing w:after="160" w:line="259" w:lineRule="auto"/>
              <w:ind w:righ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Облаштування захисних споруд цивільного захисту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(укриттів) у закладах загальної середньої освіти</w:t>
            </w:r>
          </w:p>
        </w:tc>
        <w:tc>
          <w:tcPr>
            <w:tcW w:w="2552" w:type="dxa"/>
          </w:tcPr>
          <w:p w:rsidR="00F43576" w:rsidRDefault="000116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Облаштування безпечних умов у закладах, що надають загальну середню освіту (облаштування укриттів)</w:t>
            </w:r>
          </w:p>
        </w:tc>
        <w:tc>
          <w:tcPr>
            <w:tcW w:w="1701" w:type="dxa"/>
          </w:tcPr>
          <w:p w:rsidR="00F43576" w:rsidRDefault="000116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 освіта</w:t>
            </w:r>
          </w:p>
        </w:tc>
        <w:tc>
          <w:tcPr>
            <w:tcW w:w="2268" w:type="dxa"/>
          </w:tcPr>
          <w:p w:rsidR="00F43576" w:rsidRDefault="000116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збудованих захисних споруд у закладах загальної середньої освіти</w:t>
            </w:r>
          </w:p>
        </w:tc>
        <w:tc>
          <w:tcPr>
            <w:tcW w:w="1159" w:type="dxa"/>
          </w:tcPr>
          <w:p w:rsidR="00F43576" w:rsidRDefault="00F435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F43576" w:rsidRDefault="00F435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F435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F435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8" w:type="dxa"/>
          </w:tcPr>
          <w:p w:rsidR="00F43576" w:rsidRDefault="00F435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F43576" w:rsidRDefault="00F435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F435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F435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F435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F435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F435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F435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F435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3576" w:rsidRDefault="00F435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</w:tcPr>
          <w:p w:rsidR="00F43576" w:rsidRDefault="000116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Стратегія розвитку Вороньківської територіальної громади на 2024-2027роки.</w:t>
            </w:r>
          </w:p>
        </w:tc>
      </w:tr>
      <w:tr w:rsidR="00F435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6" w:rsidRDefault="00011676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Облаштування захисних споруд цивільного захисту (укриттів) у закладах загальної середньої освіти</w:t>
            </w:r>
          </w:p>
        </w:tc>
        <w:tc>
          <w:tcPr>
            <w:tcW w:w="2552" w:type="dxa"/>
          </w:tcPr>
          <w:p w:rsidR="00F43576" w:rsidRDefault="00011676">
            <w:pPr>
              <w:pStyle w:val="3"/>
              <w:spacing w:before="225" w:beforeAutospacing="0" w:after="225" w:afterAutospacing="0"/>
              <w:jc w:val="center"/>
              <w:outlineLvl w:val="2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Облаштування безпечних умов у закладах, що надають загальну середню освіту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uk-UA"/>
              </w:rPr>
              <w:t>(облаштування укриттів)</w:t>
            </w:r>
          </w:p>
        </w:tc>
        <w:tc>
          <w:tcPr>
            <w:tcW w:w="1701" w:type="dxa"/>
          </w:tcPr>
          <w:p w:rsidR="00F43576" w:rsidRDefault="000116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 освіта</w:t>
            </w:r>
          </w:p>
          <w:p w:rsidR="00F43576" w:rsidRDefault="00F435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F43576" w:rsidRDefault="000116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реконструйованих захисних споруд у закладах загальної середньої освіти</w:t>
            </w:r>
          </w:p>
        </w:tc>
        <w:tc>
          <w:tcPr>
            <w:tcW w:w="1159" w:type="dxa"/>
          </w:tcPr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8" w:type="dxa"/>
          </w:tcPr>
          <w:p w:rsidR="00F43576" w:rsidRDefault="000116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89" w:type="dxa"/>
          </w:tcPr>
          <w:p w:rsidR="00F43576" w:rsidRDefault="000116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Стратегія розвитку Вороньківської територіальної громади на 2024-2027роки.</w:t>
            </w:r>
          </w:p>
        </w:tc>
      </w:tr>
      <w:bookmarkEnd w:id="1"/>
      <w:bookmarkEnd w:id="2"/>
    </w:tbl>
    <w:p w:rsidR="00F43576" w:rsidRDefault="00F43576">
      <w:pPr>
        <w:spacing w:line="259" w:lineRule="auto"/>
        <w:ind w:left="9204" w:firstLine="708"/>
        <w:jc w:val="both"/>
        <w:rPr>
          <w:bCs/>
          <w:szCs w:val="28"/>
        </w:rPr>
      </w:pPr>
    </w:p>
    <w:p w:rsidR="00F43576" w:rsidRDefault="00F43576">
      <w:pPr>
        <w:spacing w:line="259" w:lineRule="auto"/>
        <w:ind w:left="9204" w:firstLine="708"/>
        <w:jc w:val="both"/>
        <w:rPr>
          <w:bCs/>
          <w:szCs w:val="28"/>
        </w:rPr>
      </w:pPr>
    </w:p>
    <w:p w:rsidR="00F43576" w:rsidRDefault="00F43576">
      <w:pPr>
        <w:spacing w:line="259" w:lineRule="auto"/>
        <w:ind w:left="9204" w:firstLine="708"/>
        <w:jc w:val="both"/>
        <w:rPr>
          <w:bCs/>
          <w:szCs w:val="28"/>
        </w:rPr>
      </w:pPr>
    </w:p>
    <w:p w:rsidR="00F43576" w:rsidRDefault="00F43576">
      <w:pPr>
        <w:spacing w:line="259" w:lineRule="auto"/>
        <w:ind w:left="9204" w:firstLine="708"/>
        <w:jc w:val="both"/>
        <w:rPr>
          <w:bCs/>
          <w:szCs w:val="28"/>
        </w:rPr>
      </w:pPr>
    </w:p>
    <w:p w:rsidR="00F43576" w:rsidRDefault="00F43576">
      <w:pPr>
        <w:spacing w:line="259" w:lineRule="auto"/>
        <w:ind w:left="9204" w:firstLine="708"/>
        <w:jc w:val="both"/>
        <w:rPr>
          <w:bCs/>
          <w:szCs w:val="28"/>
        </w:rPr>
      </w:pPr>
    </w:p>
    <w:p w:rsidR="00F43576" w:rsidRDefault="00F43576">
      <w:pPr>
        <w:spacing w:line="259" w:lineRule="auto"/>
        <w:ind w:left="9204" w:firstLine="708"/>
        <w:jc w:val="both"/>
        <w:rPr>
          <w:bCs/>
          <w:szCs w:val="28"/>
        </w:rPr>
      </w:pPr>
    </w:p>
    <w:p w:rsidR="00F43576" w:rsidRDefault="00F43576">
      <w:pPr>
        <w:spacing w:line="259" w:lineRule="auto"/>
        <w:ind w:left="9204" w:firstLine="708"/>
        <w:jc w:val="both"/>
        <w:rPr>
          <w:bCs/>
          <w:szCs w:val="28"/>
        </w:rPr>
      </w:pPr>
    </w:p>
    <w:p w:rsidR="00F43576" w:rsidRDefault="00011676">
      <w:pPr>
        <w:pStyle w:val="12"/>
        <w:spacing w:line="256" w:lineRule="auto"/>
        <w:ind w:firstLine="0"/>
        <w:jc w:val="center"/>
      </w:pPr>
      <w:r>
        <w:t>Додаток № 2</w:t>
      </w:r>
    </w:p>
    <w:p w:rsidR="00F43576" w:rsidRDefault="00011676">
      <w:pPr>
        <w:pStyle w:val="12"/>
        <w:spacing w:after="700" w:line="256" w:lineRule="auto"/>
        <w:ind w:firstLine="0"/>
        <w:jc w:val="center"/>
      </w:pPr>
      <w:r>
        <w:t>до Середньострокового плану</w:t>
      </w:r>
      <w:r>
        <w:br/>
      </w:r>
      <w:r>
        <w:t xml:space="preserve">пріоритетних публічних інвестицій </w:t>
      </w:r>
      <w:r>
        <w:rPr>
          <w:lang w:val="uk-UA"/>
        </w:rPr>
        <w:t>Вороньківської</w:t>
      </w:r>
      <w:r>
        <w:t xml:space="preserve"> територіальної громади</w:t>
      </w:r>
      <w:r>
        <w:br/>
        <w:t>на 2026-2028 роки</w:t>
      </w:r>
    </w:p>
    <w:p w:rsidR="00F43576" w:rsidRDefault="00011676">
      <w:pPr>
        <w:pStyle w:val="12"/>
        <w:spacing w:after="360"/>
        <w:ind w:firstLine="0"/>
        <w:jc w:val="center"/>
        <w:rPr>
          <w:b/>
          <w:bCs/>
        </w:rPr>
      </w:pPr>
      <w:r>
        <w:rPr>
          <w:b/>
          <w:bCs/>
        </w:rPr>
        <w:t>Напрями публічного інвестування</w:t>
      </w:r>
    </w:p>
    <w:p w:rsidR="00F43576" w:rsidRDefault="00011676">
      <w:pPr>
        <w:pStyle w:val="12"/>
        <w:ind w:firstLine="0"/>
      </w:pPr>
      <w:r>
        <w:t xml:space="preserve">Галузь (сектор) для публічного інвестування - </w:t>
      </w:r>
      <w:r>
        <w:rPr>
          <w:b/>
          <w:bCs/>
        </w:rPr>
        <w:t>Освіта і наука</w:t>
      </w:r>
    </w:p>
    <w:p w:rsidR="00F43576" w:rsidRDefault="00011676">
      <w:pPr>
        <w:pStyle w:val="12"/>
        <w:ind w:firstLine="0"/>
      </w:pPr>
      <w:r>
        <w:t xml:space="preserve">Управління, відповідальне за галузь (сектор) для публічного інвестування </w:t>
      </w:r>
      <w:r>
        <w:t xml:space="preserve">– Управління гуманітарного розвитку </w:t>
      </w:r>
    </w:p>
    <w:p w:rsidR="00F43576" w:rsidRDefault="00F43576">
      <w:pPr>
        <w:pStyle w:val="12"/>
        <w:ind w:firstLine="0"/>
      </w:pPr>
    </w:p>
    <w:tbl>
      <w:tblPr>
        <w:tblW w:w="14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9"/>
        <w:gridCol w:w="2126"/>
        <w:gridCol w:w="2551"/>
        <w:gridCol w:w="1276"/>
        <w:gridCol w:w="1418"/>
        <w:gridCol w:w="2950"/>
      </w:tblGrid>
      <w:tr w:rsidR="00F43576">
        <w:trPr>
          <w:trHeight w:val="383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576" w:rsidRDefault="00011676">
            <w:pPr>
              <w:pStyle w:val="ae"/>
              <w:spacing w:line="240" w:lineRule="auto"/>
              <w:ind w:left="435" w:hanging="308"/>
              <w:jc w:val="center"/>
            </w:pPr>
            <w:r>
              <w:rPr>
                <w:b/>
                <w:bCs/>
              </w:rPr>
              <w:t>Напрям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576" w:rsidRDefault="00011676">
            <w:pPr>
              <w:pStyle w:val="ae"/>
              <w:spacing w:line="240" w:lineRule="auto"/>
              <w:jc w:val="center"/>
            </w:pPr>
            <w:r>
              <w:rPr>
                <w:b/>
                <w:bCs/>
              </w:rPr>
              <w:t>Підсектор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576" w:rsidRDefault="00011676">
            <w:pPr>
              <w:pStyle w:val="ae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Цільовий показник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576" w:rsidRDefault="00011676">
            <w:pPr>
              <w:pStyle w:val="ae"/>
              <w:spacing w:line="240" w:lineRule="auto"/>
              <w:jc w:val="center"/>
            </w:pPr>
            <w:r>
              <w:rPr>
                <w:b/>
                <w:bCs/>
              </w:rPr>
              <w:t>Базове значення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576" w:rsidRDefault="00011676">
            <w:pPr>
              <w:pStyle w:val="ae"/>
              <w:spacing w:line="240" w:lineRule="auto"/>
              <w:jc w:val="center"/>
            </w:pPr>
            <w:r>
              <w:rPr>
                <w:b/>
                <w:bCs/>
              </w:rPr>
              <w:t>Ціль 2028 рік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576" w:rsidRDefault="00011676">
            <w:pPr>
              <w:pStyle w:val="ae"/>
              <w:spacing w:line="240" w:lineRule="auto"/>
              <w:jc w:val="center"/>
            </w:pPr>
            <w:r>
              <w:rPr>
                <w:b/>
                <w:bCs/>
              </w:rPr>
              <w:t>Стратегічний документ</w:t>
            </w:r>
          </w:p>
        </w:tc>
      </w:tr>
      <w:tr w:rsidR="00F43576">
        <w:trPr>
          <w:trHeight w:hRule="exact" w:val="2996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576" w:rsidRDefault="00011676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Модернізація інфраструктури установ та закладів загальної середньої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576" w:rsidRDefault="00011676">
            <w:pPr>
              <w:pStyle w:val="ae"/>
              <w:jc w:val="both"/>
            </w:pPr>
            <w:r>
              <w:t>Шкільна освіта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76" w:rsidRDefault="00011676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закладів загальної середньої </w:t>
            </w:r>
            <w:r>
              <w:rPr>
                <w:sz w:val="28"/>
                <w:szCs w:val="28"/>
              </w:rPr>
              <w:t>освіти які мають доступ до укритттів що відповідають вимогам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3576" w:rsidRDefault="00011676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3576" w:rsidRDefault="00011676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76" w:rsidRDefault="00011676">
            <w:pPr>
              <w:pStyle w:val="ae"/>
            </w:pPr>
            <w:r>
              <w:rPr>
                <w:lang w:val="uk-UA"/>
              </w:rPr>
              <w:t>Стратегія розвитку Вороньківської територіальної громади на 2024-2027роки.</w:t>
            </w:r>
          </w:p>
        </w:tc>
      </w:tr>
    </w:tbl>
    <w:p w:rsidR="00F43576" w:rsidRDefault="00F43576">
      <w:pPr>
        <w:spacing w:line="259" w:lineRule="auto"/>
        <w:ind w:left="920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3576" w:rsidRDefault="00F43576">
      <w:pPr>
        <w:spacing w:line="259" w:lineRule="auto"/>
        <w:ind w:left="9204" w:firstLine="708"/>
        <w:jc w:val="both"/>
        <w:rPr>
          <w:bCs/>
          <w:szCs w:val="28"/>
        </w:rPr>
      </w:pPr>
    </w:p>
    <w:sectPr w:rsidR="00F43576">
      <w:pgSz w:w="16838" w:h="11906" w:orient="landscape"/>
      <w:pgMar w:top="850" w:right="567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76" w:rsidRDefault="00011676">
      <w:pPr>
        <w:spacing w:line="240" w:lineRule="auto"/>
      </w:pPr>
      <w:r>
        <w:separator/>
      </w:r>
    </w:p>
  </w:endnote>
  <w:endnote w:type="continuationSeparator" w:id="0">
    <w:p w:rsidR="00011676" w:rsidRDefault="00011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76" w:rsidRDefault="00011676">
      <w:pPr>
        <w:spacing w:after="0"/>
      </w:pPr>
      <w:r>
        <w:separator/>
      </w:r>
    </w:p>
  </w:footnote>
  <w:footnote w:type="continuationSeparator" w:id="0">
    <w:p w:rsidR="00011676" w:rsidRDefault="000116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5688"/>
    <w:multiLevelType w:val="multilevel"/>
    <w:tmpl w:val="043D568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32"/>
    <w:rsid w:val="00007C25"/>
    <w:rsid w:val="00011676"/>
    <w:rsid w:val="00016FE7"/>
    <w:rsid w:val="00024D34"/>
    <w:rsid w:val="00025106"/>
    <w:rsid w:val="000276A5"/>
    <w:rsid w:val="00040E8B"/>
    <w:rsid w:val="00047262"/>
    <w:rsid w:val="00067BAC"/>
    <w:rsid w:val="00071926"/>
    <w:rsid w:val="000726D6"/>
    <w:rsid w:val="000735DB"/>
    <w:rsid w:val="00082F03"/>
    <w:rsid w:val="000A0A2F"/>
    <w:rsid w:val="000B02B6"/>
    <w:rsid w:val="000C18B1"/>
    <w:rsid w:val="000D0D1A"/>
    <w:rsid w:val="000D7C5E"/>
    <w:rsid w:val="000E0582"/>
    <w:rsid w:val="000E2343"/>
    <w:rsid w:val="000E4533"/>
    <w:rsid w:val="000E491D"/>
    <w:rsid w:val="000F0FFE"/>
    <w:rsid w:val="000F1978"/>
    <w:rsid w:val="000F512C"/>
    <w:rsid w:val="00103CE5"/>
    <w:rsid w:val="00112BF9"/>
    <w:rsid w:val="00123D82"/>
    <w:rsid w:val="00131EF5"/>
    <w:rsid w:val="00134F12"/>
    <w:rsid w:val="00141C7D"/>
    <w:rsid w:val="00145731"/>
    <w:rsid w:val="00152D1B"/>
    <w:rsid w:val="00153E3C"/>
    <w:rsid w:val="00153FB3"/>
    <w:rsid w:val="00154875"/>
    <w:rsid w:val="00160D6E"/>
    <w:rsid w:val="001631D8"/>
    <w:rsid w:val="001748F7"/>
    <w:rsid w:val="0017584F"/>
    <w:rsid w:val="00182B63"/>
    <w:rsid w:val="0018375E"/>
    <w:rsid w:val="00184401"/>
    <w:rsid w:val="001A7F25"/>
    <w:rsid w:val="001B0FCD"/>
    <w:rsid w:val="001B2A40"/>
    <w:rsid w:val="001C4031"/>
    <w:rsid w:val="001C46D3"/>
    <w:rsid w:val="001D2845"/>
    <w:rsid w:val="001D29D2"/>
    <w:rsid w:val="001D50CB"/>
    <w:rsid w:val="001E0530"/>
    <w:rsid w:val="001F257E"/>
    <w:rsid w:val="001F360D"/>
    <w:rsid w:val="00202C0D"/>
    <w:rsid w:val="0020622C"/>
    <w:rsid w:val="00207765"/>
    <w:rsid w:val="0021421E"/>
    <w:rsid w:val="0021674C"/>
    <w:rsid w:val="00216BE9"/>
    <w:rsid w:val="002251D3"/>
    <w:rsid w:val="002276DE"/>
    <w:rsid w:val="00230625"/>
    <w:rsid w:val="00231717"/>
    <w:rsid w:val="0023259B"/>
    <w:rsid w:val="00242BDB"/>
    <w:rsid w:val="002526A3"/>
    <w:rsid w:val="00253326"/>
    <w:rsid w:val="00254532"/>
    <w:rsid w:val="00260982"/>
    <w:rsid w:val="0026759F"/>
    <w:rsid w:val="00270FA1"/>
    <w:rsid w:val="00272378"/>
    <w:rsid w:val="002728E6"/>
    <w:rsid w:val="002778F6"/>
    <w:rsid w:val="00283A0D"/>
    <w:rsid w:val="00290C58"/>
    <w:rsid w:val="002927F3"/>
    <w:rsid w:val="002A5F1D"/>
    <w:rsid w:val="002A6953"/>
    <w:rsid w:val="002B5965"/>
    <w:rsid w:val="002C6D0E"/>
    <w:rsid w:val="002C7D28"/>
    <w:rsid w:val="002D0B7D"/>
    <w:rsid w:val="002E0AC0"/>
    <w:rsid w:val="002E3974"/>
    <w:rsid w:val="002F0EE8"/>
    <w:rsid w:val="002F0FCF"/>
    <w:rsid w:val="002F2AC4"/>
    <w:rsid w:val="002F2E09"/>
    <w:rsid w:val="00304A6B"/>
    <w:rsid w:val="00305E8B"/>
    <w:rsid w:val="003116C1"/>
    <w:rsid w:val="0031720A"/>
    <w:rsid w:val="003271E9"/>
    <w:rsid w:val="003500CA"/>
    <w:rsid w:val="003531C1"/>
    <w:rsid w:val="00353FE5"/>
    <w:rsid w:val="0036117A"/>
    <w:rsid w:val="0036171D"/>
    <w:rsid w:val="00365B03"/>
    <w:rsid w:val="00366470"/>
    <w:rsid w:val="00367106"/>
    <w:rsid w:val="003761E6"/>
    <w:rsid w:val="00381ADE"/>
    <w:rsid w:val="00384146"/>
    <w:rsid w:val="00391C7F"/>
    <w:rsid w:val="00392159"/>
    <w:rsid w:val="00392D18"/>
    <w:rsid w:val="00394A56"/>
    <w:rsid w:val="00397BE6"/>
    <w:rsid w:val="003A1DC4"/>
    <w:rsid w:val="003A3134"/>
    <w:rsid w:val="003A50D5"/>
    <w:rsid w:val="003D1A53"/>
    <w:rsid w:val="003D1EFC"/>
    <w:rsid w:val="003D43F9"/>
    <w:rsid w:val="003F0CC8"/>
    <w:rsid w:val="003F5D91"/>
    <w:rsid w:val="004047CB"/>
    <w:rsid w:val="00406667"/>
    <w:rsid w:val="00411C0B"/>
    <w:rsid w:val="004174D3"/>
    <w:rsid w:val="00432982"/>
    <w:rsid w:val="00437075"/>
    <w:rsid w:val="0044300D"/>
    <w:rsid w:val="00467C6F"/>
    <w:rsid w:val="0047088A"/>
    <w:rsid w:val="00471081"/>
    <w:rsid w:val="0047205E"/>
    <w:rsid w:val="004753E3"/>
    <w:rsid w:val="0047735A"/>
    <w:rsid w:val="00480C41"/>
    <w:rsid w:val="004A0553"/>
    <w:rsid w:val="004A6DCB"/>
    <w:rsid w:val="004B2DE9"/>
    <w:rsid w:val="004B566A"/>
    <w:rsid w:val="004B6619"/>
    <w:rsid w:val="004E3236"/>
    <w:rsid w:val="004E7BE0"/>
    <w:rsid w:val="004F1161"/>
    <w:rsid w:val="004F279B"/>
    <w:rsid w:val="00500611"/>
    <w:rsid w:val="00501829"/>
    <w:rsid w:val="00511707"/>
    <w:rsid w:val="00513C9E"/>
    <w:rsid w:val="00514AFE"/>
    <w:rsid w:val="00515C68"/>
    <w:rsid w:val="00516644"/>
    <w:rsid w:val="005214D5"/>
    <w:rsid w:val="00522F32"/>
    <w:rsid w:val="00524DAF"/>
    <w:rsid w:val="005329BB"/>
    <w:rsid w:val="00533C77"/>
    <w:rsid w:val="005403D1"/>
    <w:rsid w:val="005435F1"/>
    <w:rsid w:val="00544CA1"/>
    <w:rsid w:val="005513A3"/>
    <w:rsid w:val="00554F8E"/>
    <w:rsid w:val="00556907"/>
    <w:rsid w:val="0056787E"/>
    <w:rsid w:val="005774B6"/>
    <w:rsid w:val="005849F3"/>
    <w:rsid w:val="00592B6C"/>
    <w:rsid w:val="005956B4"/>
    <w:rsid w:val="005A4C2B"/>
    <w:rsid w:val="005B05B6"/>
    <w:rsid w:val="005B08D4"/>
    <w:rsid w:val="005B1498"/>
    <w:rsid w:val="005B7CA9"/>
    <w:rsid w:val="005D7DEE"/>
    <w:rsid w:val="005E46C1"/>
    <w:rsid w:val="005E5535"/>
    <w:rsid w:val="005F1188"/>
    <w:rsid w:val="005F7D7E"/>
    <w:rsid w:val="006014E1"/>
    <w:rsid w:val="006149CA"/>
    <w:rsid w:val="0061616B"/>
    <w:rsid w:val="0062475E"/>
    <w:rsid w:val="006310AA"/>
    <w:rsid w:val="00633B23"/>
    <w:rsid w:val="00640EBD"/>
    <w:rsid w:val="00641B0D"/>
    <w:rsid w:val="00642024"/>
    <w:rsid w:val="00642DAF"/>
    <w:rsid w:val="006457E4"/>
    <w:rsid w:val="00650DB0"/>
    <w:rsid w:val="0065261A"/>
    <w:rsid w:val="00653879"/>
    <w:rsid w:val="00657B61"/>
    <w:rsid w:val="00660ECE"/>
    <w:rsid w:val="006614BB"/>
    <w:rsid w:val="0066271B"/>
    <w:rsid w:val="0066288A"/>
    <w:rsid w:val="00663F42"/>
    <w:rsid w:val="006726C3"/>
    <w:rsid w:val="00673BDF"/>
    <w:rsid w:val="00675C03"/>
    <w:rsid w:val="00681898"/>
    <w:rsid w:val="00682A49"/>
    <w:rsid w:val="006944DB"/>
    <w:rsid w:val="006A452F"/>
    <w:rsid w:val="006B10BA"/>
    <w:rsid w:val="006B2D83"/>
    <w:rsid w:val="006C4E8C"/>
    <w:rsid w:val="006D0374"/>
    <w:rsid w:val="006D352B"/>
    <w:rsid w:val="006D395E"/>
    <w:rsid w:val="006D72A8"/>
    <w:rsid w:val="006E463C"/>
    <w:rsid w:val="006E6EE8"/>
    <w:rsid w:val="006F5B10"/>
    <w:rsid w:val="00710E32"/>
    <w:rsid w:val="00713FD6"/>
    <w:rsid w:val="007205CD"/>
    <w:rsid w:val="00725AF7"/>
    <w:rsid w:val="00726C09"/>
    <w:rsid w:val="00730EF6"/>
    <w:rsid w:val="00733AE3"/>
    <w:rsid w:val="007439C1"/>
    <w:rsid w:val="00746269"/>
    <w:rsid w:val="0074683D"/>
    <w:rsid w:val="00754BB9"/>
    <w:rsid w:val="00761021"/>
    <w:rsid w:val="00763060"/>
    <w:rsid w:val="00767AC9"/>
    <w:rsid w:val="00770FBB"/>
    <w:rsid w:val="0077416C"/>
    <w:rsid w:val="00777FCC"/>
    <w:rsid w:val="00780668"/>
    <w:rsid w:val="007844E1"/>
    <w:rsid w:val="007A3DB4"/>
    <w:rsid w:val="007A7408"/>
    <w:rsid w:val="007A7676"/>
    <w:rsid w:val="007C0FFC"/>
    <w:rsid w:val="007C1C89"/>
    <w:rsid w:val="007C324A"/>
    <w:rsid w:val="007C4BFE"/>
    <w:rsid w:val="007D2A91"/>
    <w:rsid w:val="007E064B"/>
    <w:rsid w:val="007E1FC5"/>
    <w:rsid w:val="007E5CDC"/>
    <w:rsid w:val="007F22D9"/>
    <w:rsid w:val="007F7C6A"/>
    <w:rsid w:val="0080122B"/>
    <w:rsid w:val="00804F2E"/>
    <w:rsid w:val="00811E54"/>
    <w:rsid w:val="00814F58"/>
    <w:rsid w:val="008230AE"/>
    <w:rsid w:val="0082475A"/>
    <w:rsid w:val="00825B16"/>
    <w:rsid w:val="0083083E"/>
    <w:rsid w:val="00832A87"/>
    <w:rsid w:val="00832AFB"/>
    <w:rsid w:val="00833996"/>
    <w:rsid w:val="00833AEE"/>
    <w:rsid w:val="00834C0C"/>
    <w:rsid w:val="0084540B"/>
    <w:rsid w:val="00845761"/>
    <w:rsid w:val="00857CD2"/>
    <w:rsid w:val="0086125E"/>
    <w:rsid w:val="00865FFA"/>
    <w:rsid w:val="00880243"/>
    <w:rsid w:val="00881855"/>
    <w:rsid w:val="00882AAE"/>
    <w:rsid w:val="00882B84"/>
    <w:rsid w:val="00883DC3"/>
    <w:rsid w:val="00896DB1"/>
    <w:rsid w:val="008A3E7F"/>
    <w:rsid w:val="008B1E56"/>
    <w:rsid w:val="008B3076"/>
    <w:rsid w:val="008B6AB4"/>
    <w:rsid w:val="008B75B7"/>
    <w:rsid w:val="008B7D2B"/>
    <w:rsid w:val="008C0479"/>
    <w:rsid w:val="008C59FA"/>
    <w:rsid w:val="008D1ADF"/>
    <w:rsid w:val="008D4C9A"/>
    <w:rsid w:val="008D5360"/>
    <w:rsid w:val="008D66B6"/>
    <w:rsid w:val="008E4CC3"/>
    <w:rsid w:val="008F0680"/>
    <w:rsid w:val="008F482C"/>
    <w:rsid w:val="00900C4D"/>
    <w:rsid w:val="00911E8C"/>
    <w:rsid w:val="009156A5"/>
    <w:rsid w:val="00916D32"/>
    <w:rsid w:val="00922D79"/>
    <w:rsid w:val="009272D0"/>
    <w:rsid w:val="009310E0"/>
    <w:rsid w:val="00941D7B"/>
    <w:rsid w:val="009436DC"/>
    <w:rsid w:val="00943991"/>
    <w:rsid w:val="00943E9D"/>
    <w:rsid w:val="00953162"/>
    <w:rsid w:val="00954BD4"/>
    <w:rsid w:val="00955418"/>
    <w:rsid w:val="00955866"/>
    <w:rsid w:val="009621D6"/>
    <w:rsid w:val="00962298"/>
    <w:rsid w:val="00963ECF"/>
    <w:rsid w:val="00964C59"/>
    <w:rsid w:val="00971C2C"/>
    <w:rsid w:val="00984227"/>
    <w:rsid w:val="00993061"/>
    <w:rsid w:val="009A1865"/>
    <w:rsid w:val="009A3031"/>
    <w:rsid w:val="009A7015"/>
    <w:rsid w:val="009B47C9"/>
    <w:rsid w:val="009C0468"/>
    <w:rsid w:val="009D5969"/>
    <w:rsid w:val="009E51AE"/>
    <w:rsid w:val="009E663D"/>
    <w:rsid w:val="009F138E"/>
    <w:rsid w:val="00A07F9D"/>
    <w:rsid w:val="00A10F9C"/>
    <w:rsid w:val="00A12458"/>
    <w:rsid w:val="00A12F42"/>
    <w:rsid w:val="00A2106D"/>
    <w:rsid w:val="00A21369"/>
    <w:rsid w:val="00A34757"/>
    <w:rsid w:val="00A450FE"/>
    <w:rsid w:val="00A45383"/>
    <w:rsid w:val="00A5288E"/>
    <w:rsid w:val="00A52E00"/>
    <w:rsid w:val="00A54203"/>
    <w:rsid w:val="00A63D5E"/>
    <w:rsid w:val="00A6799D"/>
    <w:rsid w:val="00A71D58"/>
    <w:rsid w:val="00A752B6"/>
    <w:rsid w:val="00A83721"/>
    <w:rsid w:val="00A844FF"/>
    <w:rsid w:val="00A849EA"/>
    <w:rsid w:val="00A84E5B"/>
    <w:rsid w:val="00A94457"/>
    <w:rsid w:val="00A9611C"/>
    <w:rsid w:val="00AA1CE0"/>
    <w:rsid w:val="00AA1D67"/>
    <w:rsid w:val="00AA3412"/>
    <w:rsid w:val="00AB0A54"/>
    <w:rsid w:val="00AB1326"/>
    <w:rsid w:val="00AC3DDF"/>
    <w:rsid w:val="00AD42E9"/>
    <w:rsid w:val="00AF2073"/>
    <w:rsid w:val="00AF5D14"/>
    <w:rsid w:val="00B0219E"/>
    <w:rsid w:val="00B0505F"/>
    <w:rsid w:val="00B05A0F"/>
    <w:rsid w:val="00B074BD"/>
    <w:rsid w:val="00B11258"/>
    <w:rsid w:val="00B20BE9"/>
    <w:rsid w:val="00B26A89"/>
    <w:rsid w:val="00B33055"/>
    <w:rsid w:val="00B35032"/>
    <w:rsid w:val="00B37FEB"/>
    <w:rsid w:val="00B41067"/>
    <w:rsid w:val="00B42B00"/>
    <w:rsid w:val="00B46BDA"/>
    <w:rsid w:val="00B55DBE"/>
    <w:rsid w:val="00B629F0"/>
    <w:rsid w:val="00B6506D"/>
    <w:rsid w:val="00B72033"/>
    <w:rsid w:val="00B72715"/>
    <w:rsid w:val="00B77FEB"/>
    <w:rsid w:val="00B87B5C"/>
    <w:rsid w:val="00B9777E"/>
    <w:rsid w:val="00BA0F56"/>
    <w:rsid w:val="00BA18CD"/>
    <w:rsid w:val="00BA38DF"/>
    <w:rsid w:val="00BA3F1C"/>
    <w:rsid w:val="00BB1AD6"/>
    <w:rsid w:val="00BB71F8"/>
    <w:rsid w:val="00BC41CE"/>
    <w:rsid w:val="00BC52C3"/>
    <w:rsid w:val="00BD247A"/>
    <w:rsid w:val="00BD4D9A"/>
    <w:rsid w:val="00BD5CA7"/>
    <w:rsid w:val="00BD7C70"/>
    <w:rsid w:val="00BE5A9C"/>
    <w:rsid w:val="00BE64E8"/>
    <w:rsid w:val="00BE7060"/>
    <w:rsid w:val="00BF6C7B"/>
    <w:rsid w:val="00BF6E7C"/>
    <w:rsid w:val="00C07156"/>
    <w:rsid w:val="00C07B4D"/>
    <w:rsid w:val="00C106E6"/>
    <w:rsid w:val="00C27215"/>
    <w:rsid w:val="00C30349"/>
    <w:rsid w:val="00C31524"/>
    <w:rsid w:val="00C367D9"/>
    <w:rsid w:val="00C369E3"/>
    <w:rsid w:val="00C42AA3"/>
    <w:rsid w:val="00C45181"/>
    <w:rsid w:val="00C63301"/>
    <w:rsid w:val="00C65D12"/>
    <w:rsid w:val="00C65D67"/>
    <w:rsid w:val="00C7680A"/>
    <w:rsid w:val="00C96FA2"/>
    <w:rsid w:val="00CA5829"/>
    <w:rsid w:val="00CB5A79"/>
    <w:rsid w:val="00CC109C"/>
    <w:rsid w:val="00CC2E42"/>
    <w:rsid w:val="00CC6416"/>
    <w:rsid w:val="00CD1CEB"/>
    <w:rsid w:val="00CD693E"/>
    <w:rsid w:val="00CE0CC5"/>
    <w:rsid w:val="00CF1586"/>
    <w:rsid w:val="00CF4BB3"/>
    <w:rsid w:val="00D023E0"/>
    <w:rsid w:val="00D06FB3"/>
    <w:rsid w:val="00D077B3"/>
    <w:rsid w:val="00D10AEF"/>
    <w:rsid w:val="00D273B0"/>
    <w:rsid w:val="00D27417"/>
    <w:rsid w:val="00D46811"/>
    <w:rsid w:val="00D4751F"/>
    <w:rsid w:val="00D51B11"/>
    <w:rsid w:val="00D736D8"/>
    <w:rsid w:val="00D748B1"/>
    <w:rsid w:val="00D8616A"/>
    <w:rsid w:val="00D90262"/>
    <w:rsid w:val="00D902D3"/>
    <w:rsid w:val="00D91147"/>
    <w:rsid w:val="00D95F5E"/>
    <w:rsid w:val="00DA15DA"/>
    <w:rsid w:val="00DA4467"/>
    <w:rsid w:val="00DC6261"/>
    <w:rsid w:val="00DE2FA9"/>
    <w:rsid w:val="00DE314F"/>
    <w:rsid w:val="00DE731D"/>
    <w:rsid w:val="00DF4F59"/>
    <w:rsid w:val="00DF568D"/>
    <w:rsid w:val="00DF60EA"/>
    <w:rsid w:val="00E043C1"/>
    <w:rsid w:val="00E23552"/>
    <w:rsid w:val="00E262F5"/>
    <w:rsid w:val="00E36279"/>
    <w:rsid w:val="00E410FC"/>
    <w:rsid w:val="00E41D1C"/>
    <w:rsid w:val="00E5098B"/>
    <w:rsid w:val="00E64032"/>
    <w:rsid w:val="00E660C9"/>
    <w:rsid w:val="00E6630A"/>
    <w:rsid w:val="00E740DC"/>
    <w:rsid w:val="00E80184"/>
    <w:rsid w:val="00E81D8E"/>
    <w:rsid w:val="00E84FF0"/>
    <w:rsid w:val="00E94E63"/>
    <w:rsid w:val="00EA2920"/>
    <w:rsid w:val="00EB0C06"/>
    <w:rsid w:val="00EB26CC"/>
    <w:rsid w:val="00EB7FB2"/>
    <w:rsid w:val="00EC2B61"/>
    <w:rsid w:val="00EC5AE4"/>
    <w:rsid w:val="00EE12C6"/>
    <w:rsid w:val="00EE4DB8"/>
    <w:rsid w:val="00EE5B75"/>
    <w:rsid w:val="00EE748C"/>
    <w:rsid w:val="00EE7BDA"/>
    <w:rsid w:val="00EF425B"/>
    <w:rsid w:val="00F05A76"/>
    <w:rsid w:val="00F07C11"/>
    <w:rsid w:val="00F10203"/>
    <w:rsid w:val="00F11115"/>
    <w:rsid w:val="00F113E8"/>
    <w:rsid w:val="00F2329E"/>
    <w:rsid w:val="00F401F5"/>
    <w:rsid w:val="00F41496"/>
    <w:rsid w:val="00F43576"/>
    <w:rsid w:val="00F53ED3"/>
    <w:rsid w:val="00F548B0"/>
    <w:rsid w:val="00F57DB4"/>
    <w:rsid w:val="00F6728F"/>
    <w:rsid w:val="00F730C2"/>
    <w:rsid w:val="00F84ED8"/>
    <w:rsid w:val="00F86073"/>
    <w:rsid w:val="00F93DC9"/>
    <w:rsid w:val="00F957F8"/>
    <w:rsid w:val="00FA12FE"/>
    <w:rsid w:val="00FA6BCB"/>
    <w:rsid w:val="00FB53B6"/>
    <w:rsid w:val="00FC0A40"/>
    <w:rsid w:val="00FC133D"/>
    <w:rsid w:val="00FC24CF"/>
    <w:rsid w:val="00FE5780"/>
    <w:rsid w:val="00FF0170"/>
    <w:rsid w:val="00FF51D4"/>
    <w:rsid w:val="00FF58B1"/>
    <w:rsid w:val="00FF5A75"/>
    <w:rsid w:val="00FF7E88"/>
    <w:rsid w:val="0F9E7A45"/>
    <w:rsid w:val="6D8A1947"/>
    <w:rsid w:val="7A9952D5"/>
    <w:rsid w:val="7CD6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C5327C9-78DB-4F8B-B660-43C853E3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54">
    <w:name w:val="rvps5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qFormat/>
  </w:style>
  <w:style w:type="paragraph" w:customStyle="1" w:styleId="rvps55">
    <w:name w:val="rvps5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6">
    <w:name w:val="rvps5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7">
    <w:name w:val="rvps5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qFormat/>
  </w:style>
  <w:style w:type="character" w:customStyle="1" w:styleId="rvts8">
    <w:name w:val="rvts8"/>
    <w:basedOn w:val="a0"/>
    <w:qFormat/>
  </w:style>
  <w:style w:type="paragraph" w:customStyle="1" w:styleId="rvps58">
    <w:name w:val="rvps5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">
    <w:name w:val="rvps5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">
    <w:name w:val="rvps6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">
    <w:name w:val="rvps6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2">
    <w:name w:val="rvps6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3">
    <w:name w:val="rvps6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4">
    <w:name w:val="rvps6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5">
    <w:name w:val="rvps6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Обычный7"/>
    <w:qFormat/>
    <w:rPr>
      <w:rFonts w:ascii="Times New Roman" w:eastAsia="Times New Roman" w:hAnsi="Times New Roman" w:cs="Times New Roman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a">
    <w:name w:val="Абзац списка Знак"/>
    <w:basedOn w:val="a0"/>
    <w:link w:val="a9"/>
    <w:uiPriority w:val="34"/>
    <w:qFormat/>
  </w:style>
  <w:style w:type="character" w:customStyle="1" w:styleId="textexposedshow">
    <w:name w:val="text_exposed_show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">
    <w:name w:val="Нормальний текст"/>
    <w:basedOn w:val="a"/>
    <w:qFormat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ShapkaDocumentu">
    <w:name w:val="Shapka Documentu"/>
    <w:basedOn w:val="a"/>
    <w:qFormat/>
    <w:pPr>
      <w:keepNext/>
      <w:keepLines/>
      <w:spacing w:after="240" w:line="240" w:lineRule="auto"/>
      <w:ind w:left="3969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c">
    <w:name w:val="Основний текст_"/>
    <w:basedOn w:val="a0"/>
    <w:link w:val="12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ий текст1"/>
    <w:basedOn w:val="a"/>
    <w:link w:val="ac"/>
    <w:qFormat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Інше_"/>
    <w:basedOn w:val="a0"/>
    <w:link w:val="ae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Інше"/>
    <w:basedOn w:val="a"/>
    <w:link w:val="ad"/>
    <w:qFormat/>
    <w:pPr>
      <w:widowControl w:val="0"/>
      <w:spacing w:after="0" w:line="25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C95EB-B7A1-4D49-9C4F-EE190A7F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2982</TotalTime>
  <Pages>8</Pages>
  <Words>1693</Words>
  <Characters>9656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</dc:creator>
  <cp:lastModifiedBy>Учетная запись Майкрософт</cp:lastModifiedBy>
  <cp:revision>586</cp:revision>
  <cp:lastPrinted>2025-09-17T07:29:00Z</cp:lastPrinted>
  <dcterms:created xsi:type="dcterms:W3CDTF">2019-07-05T13:08:00Z</dcterms:created>
  <dcterms:modified xsi:type="dcterms:W3CDTF">2025-09-17T12:46:00Z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65572233B5B445A8860C945F503C5A8D_13</vt:lpwstr>
  </property>
</Properties>
</file>