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F3FC5">
      <w:pPr>
        <w:spacing w:after="0" w:line="240" w:lineRule="auto"/>
        <w:ind w:firstLine="708"/>
        <w:jc w:val="center"/>
        <w:rPr>
          <w:b/>
          <w:sz w:val="20"/>
          <w:szCs w:val="20"/>
        </w:rPr>
      </w:pPr>
    </w:p>
    <w:p w14:paraId="3A6E1B98">
      <w:pPr>
        <w:spacing w:after="0" w:line="240" w:lineRule="auto"/>
        <w:ind w:firstLine="708"/>
        <w:jc w:val="center"/>
        <w:rPr>
          <w:b/>
          <w:sz w:val="20"/>
          <w:szCs w:val="20"/>
        </w:rPr>
      </w:pPr>
    </w:p>
    <w:p w14:paraId="2D256472">
      <w:pPr>
        <w:spacing w:after="0" w:line="240" w:lineRule="auto"/>
        <w:ind w:firstLine="708"/>
        <w:jc w:val="center"/>
        <w:rPr>
          <w:b/>
          <w:sz w:val="20"/>
          <w:szCs w:val="20"/>
        </w:rPr>
      </w:pPr>
    </w:p>
    <w:p w14:paraId="0E8B352B">
      <w:pPr>
        <w:spacing w:after="0" w:line="240" w:lineRule="auto"/>
        <w:jc w:val="center"/>
        <w:rPr>
          <w:b/>
          <w:sz w:val="20"/>
          <w:szCs w:val="20"/>
        </w:rPr>
      </w:pPr>
      <w:r>
        <w:rPr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-340995</wp:posOffset>
            </wp:positionV>
            <wp:extent cx="431800" cy="61214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837E9A">
      <w:pPr>
        <w:spacing w:after="0" w:line="240" w:lineRule="auto"/>
        <w:ind w:left="5664" w:firstLine="708"/>
        <w:jc w:val="center"/>
        <w:rPr>
          <w:rFonts w:eastAsia="Times New Roman"/>
          <w:sz w:val="24"/>
          <w:szCs w:val="24"/>
          <w:lang w:val="uk-UA" w:eastAsia="ru-RU"/>
        </w:rPr>
      </w:pPr>
    </w:p>
    <w:p w14:paraId="089C947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ВОРОНЬКІВСЬКА СІЛЬСЬКА РАДА</w:t>
      </w:r>
    </w:p>
    <w:p w14:paraId="79F86DB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БОРИСПІЛЬСЬКОГО РАЙОНУ</w:t>
      </w:r>
    </w:p>
    <w:p w14:paraId="4A97346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КИЇВСЬКОЇ ОБЛАСТІ</w:t>
      </w:r>
    </w:p>
    <w:p w14:paraId="25C1D1D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179C2C6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5D612D1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РІШЕННЯ</w:t>
      </w:r>
    </w:p>
    <w:p w14:paraId="740B768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76CE716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від  18 вересня  2025 року              с. Вороньків                                   № 283</w:t>
      </w:r>
    </w:p>
    <w:p w14:paraId="32C63C08">
      <w:pPr>
        <w:pStyle w:val="27"/>
        <w:tabs>
          <w:tab w:val="left" w:pos="567"/>
        </w:tabs>
        <w:jc w:val="both"/>
        <w:rPr>
          <w:b/>
          <w:color w:val="000000"/>
          <w:sz w:val="28"/>
          <w:lang w:val="uk-UA"/>
        </w:rPr>
      </w:pPr>
    </w:p>
    <w:p w14:paraId="4C2DE44F">
      <w:pPr>
        <w:pStyle w:val="27"/>
        <w:tabs>
          <w:tab w:val="left" w:pos="567"/>
        </w:tabs>
        <w:jc w:val="both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>Про затвердження Середньострокового плану пріоритетних публічних інвестицій Вороньківської територіальної громади на 2026-2028 роки</w:t>
      </w:r>
    </w:p>
    <w:p w14:paraId="380B57FE">
      <w:pPr>
        <w:pStyle w:val="27"/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5E91D778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Керуючись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  <w:t xml:space="preserve">статтями 40, 52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Закону України «Про місцеве самоврядування в Україні», Бюджетним кодексом України, постановами Кабінету Міністрів України від 28 лютого 2025 року №294 «Про затвердження Порядку розроблення та моніторингу реалізації середньострокового плану пріоритетних публічних інвестицій держави», №232 «Деякі питання розподілу публічних інвестицій» та №527  «Про реалізацію публічних інвестиційних проєктів», відповідно до листа Міністерства економіки, довкілля та сільського господарства України від 25.07.2025 № 3502-05/50224-06 щодо планування, підготовки та реалізації публічних інвестиційних проєктів і програм, </w:t>
      </w:r>
      <w:r>
        <w:rPr>
          <w:rFonts w:ascii="Times New Roman" w:hAnsi="Times New Roman" w:eastAsia="Times New Roman" w:cs="Times New Roman"/>
          <w:color w:val="000000"/>
          <w:sz w:val="28"/>
          <w:lang w:val="uk-UA" w:eastAsia="ru-RU"/>
        </w:rPr>
        <w:t>рішення виконавчого комітету Вороньківської сільської ради від 15.07.2025 №232 «Про створення Інвестиційної ради Вороньківської сільської територіальної громади» та  протоколу засідання Інвестиційної ради №1 від 1 вересня 2025 року      виконавчий комітет Вороньківської сільської ради</w:t>
      </w:r>
    </w:p>
    <w:p w14:paraId="39AAF657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4C814885">
      <w:pPr>
        <w:pStyle w:val="30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eastAsia="Times New Roman" w:cs="Times New Roman"/>
          <w:color w:val="000000"/>
          <w:sz w:val="28"/>
          <w:lang w:val="uk-UA"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Затвердити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ередньостроковий план пріоритетних публічних інвестицій Вороньківської територіальної громади на 2026-2028 роки (Додаток 1).</w:t>
      </w:r>
    </w:p>
    <w:p w14:paraId="370B21C3">
      <w:pPr>
        <w:pStyle w:val="30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eastAsia="Times New Roman" w:cs="Times New Roman"/>
          <w:color w:val="000000"/>
          <w:sz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Головним розпорядникам бюджетних коштів в т. ч. їх структурним  підрозділам, засновником яких є Вороньківська сільська рада Київської області,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забезпечити виконання вимог Порядку</w:t>
      </w:r>
      <w:r>
        <w:rPr>
          <w:rFonts w:ascii="Times New Roman" w:hAnsi="Times New Roman" w:eastAsia="Times New Roman" w:cs="Times New Roman"/>
          <w:color w:val="000000"/>
          <w:sz w:val="28"/>
          <w:lang w:val="uk-UA" w:eastAsia="ru-RU"/>
        </w:rPr>
        <w:t>.</w:t>
      </w:r>
    </w:p>
    <w:p w14:paraId="1C0A664A">
      <w:pPr>
        <w:pStyle w:val="30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eastAsia="Times New Roman" w:cs="Times New Roman"/>
          <w:color w:val="000000"/>
          <w:sz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Забезпечити оприлюднення цього рішення на сайті Вороньківської сільської ради.</w:t>
      </w:r>
    </w:p>
    <w:p w14:paraId="3AB86AE4">
      <w:pPr>
        <w:pStyle w:val="30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сільського голови з питань діяльності виконавчих органів ради Людмилу ПАСЬКО.</w:t>
      </w:r>
    </w:p>
    <w:p w14:paraId="4A942BD6">
      <w:pPr>
        <w:pStyle w:val="30"/>
        <w:shd w:val="clear" w:color="auto" w:fill="FFFFFF"/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87DB00">
      <w:pPr>
        <w:pStyle w:val="30"/>
        <w:shd w:val="clear" w:color="auto" w:fill="FFFFFF"/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B05C96">
      <w:pPr>
        <w:pStyle w:val="30"/>
        <w:shd w:val="clear" w:color="auto" w:fill="FFFFFF"/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2D8CAE">
      <w:pPr>
        <w:pStyle w:val="30"/>
        <w:shd w:val="clear" w:color="auto" w:fill="FFFFFF"/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596603">
      <w:pPr>
        <w:pStyle w:val="30"/>
        <w:shd w:val="clear" w:color="auto" w:fill="FFFFFF"/>
        <w:spacing w:after="0" w:line="240" w:lineRule="auto"/>
        <w:ind w:left="9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Сільський голова                                       Любов ЧЕШКО</w:t>
      </w:r>
    </w:p>
    <w:p w14:paraId="4FE97369">
      <w:pPr>
        <w:pStyle w:val="30"/>
        <w:shd w:val="clear" w:color="auto" w:fill="FFFFFF"/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8"/>
          <w:lang w:val="uk-UA" w:eastAsia="ru-RU"/>
        </w:rPr>
      </w:pPr>
    </w:p>
    <w:p w14:paraId="0023B186">
      <w:pPr>
        <w:keepNext/>
        <w:numPr>
          <w:ilvl w:val="2"/>
          <w:numId w:val="0"/>
        </w:numPr>
        <w:tabs>
          <w:tab w:val="left" w:pos="720"/>
        </w:tabs>
        <w:suppressAutoHyphens/>
        <w:spacing w:before="240" w:after="120" w:line="240" w:lineRule="auto"/>
        <w:ind w:left="567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Середньостроковий план пріоритетних публічних інвестицій Вороньківської   територіальної громади на 2026-2028 роки</w:t>
      </w:r>
    </w:p>
    <w:p w14:paraId="668B2D01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Середньостроковий план пріоритетних публічних інвестицій Вороньківської територіальної громади (далі  - Середньостроковий план) розроблено відповідно до Бюджетного кодексу України та Порядку розроблення і моніторингу реалізації середньострокового плану, затвердженого постановою Кабінету Міністрів України від 28 лютого 2025 року №294.</w:t>
      </w:r>
    </w:p>
    <w:p w14:paraId="7D6BAD5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  Середньостроковий план Вороньківської територіальної громади узгоджений із Середньостроковим планом пріоритетних публічних інвестицій держави на 2026 – 2028 роки, а також із Стратегією розвитку Вороньківської територіальної громади на 2024-2027 роки.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  Середньостроковий план формує основу для побудови ефективної та дієвої системи управління публічними інвестиціями, що забезпечує оптимізацію використання бюджетних ресурсів, підвищення прозорості у використанні коштів а також дозволяє зосередити  ресурси на найбільш пріорітетних для громади публічних інвестиційних проєктах.</w:t>
      </w:r>
    </w:p>
    <w:p w14:paraId="619F465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Середньостроковий</w:t>
      </w:r>
      <w:r>
        <w:rPr>
          <w:rFonts w:ascii="Times New Roman" w:hAnsi="Times New Roman" w:cs="Times New Roman"/>
          <w:color w:val="000000" w:themeColor="text1"/>
          <w:spacing w:val="-1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план</w:t>
      </w:r>
      <w:r>
        <w:rPr>
          <w:rFonts w:ascii="Times New Roman" w:hAnsi="Times New Roman" w:cs="Times New Roman"/>
          <w:color w:val="000000" w:themeColor="text1"/>
          <w:spacing w:val="-7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визначає:</w:t>
      </w:r>
    </w:p>
    <w:p w14:paraId="32D14CC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наскрізні</w:t>
      </w:r>
      <w:r>
        <w:rPr>
          <w:rFonts w:ascii="Times New Roman" w:hAnsi="Times New Roman" w:cs="Times New Roman"/>
          <w:color w:val="000000" w:themeColor="text1"/>
          <w:spacing w:val="-9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стратегічні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цілі</w:t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здійснення</w:t>
      </w:r>
      <w:r>
        <w:rPr>
          <w:rFonts w:ascii="Times New Roman" w:hAnsi="Times New Roman" w:cs="Times New Roman"/>
          <w:color w:val="000000" w:themeColor="text1"/>
          <w:spacing w:val="-7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публічних</w:t>
      </w:r>
      <w:r>
        <w:rPr>
          <w:rFonts w:ascii="Times New Roman" w:hAnsi="Times New Roman" w:cs="Times New Roman"/>
          <w:color w:val="000000" w:themeColor="text1"/>
          <w:spacing w:val="-9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інвестицій;</w:t>
      </w:r>
    </w:p>
    <w:p w14:paraId="1165762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пріоритетні</w:t>
      </w:r>
      <w:r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галузі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для</w:t>
      </w:r>
      <w:r>
        <w:rPr>
          <w:rFonts w:ascii="Times New Roman" w:hAnsi="Times New Roman" w:cs="Times New Roman"/>
          <w:color w:val="000000" w:themeColor="text1"/>
          <w:spacing w:val="-9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публічного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інвестування;</w:t>
      </w:r>
    </w:p>
    <w:p w14:paraId="7D6711A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основні напрями публічного інвестування, у тому числі за діючими проєктами та програмами, цільові показники цих напрямів в розрізі сфер державної політики, регіонів і відповідний орієнтовний розподіл коштів за рахунок різних джерел фінансування;</w:t>
      </w:r>
    </w:p>
    <w:p w14:paraId="3B281A2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  Сфера дії  Середньострокового плану включає публічні інвестиції для реалізації проєктів і програм Вороньківської територіальної громади у 2026-2028 роках, крім компенсацій за пошкоджене/зруйноване майно та грантів для розвитку бізнесу і приватних осіб, що не є публічними інвестиціями за визначенням Бюджетного кодексу України. </w:t>
      </w:r>
    </w:p>
    <w:p w14:paraId="263AE8B8">
      <w:pPr>
        <w:spacing w:after="160" w:line="259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Описова частина</w:t>
      </w:r>
    </w:p>
    <w:p w14:paraId="3CFE925E">
      <w:pPr>
        <w:widowControl w:val="0"/>
        <w:autoSpaceDE w:val="0"/>
        <w:autoSpaceDN w:val="0"/>
        <w:spacing w:before="316"/>
        <w:ind w:right="15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Середньостроковий план розроблено відділом економіки, інвестицій та публічних закупівель спільно з фінансовим відділом виконавчого комітету Вороньківської сільської ради відповідно до цілей і завдань, визначених документами стратегічного планування, у межах орієнтовного граничного сукупного обсягу публічних інвестицій  на середньостроковий період, доведеного фінансовим управлінням .</w:t>
      </w:r>
    </w:p>
    <w:p w14:paraId="0D41EA7B">
      <w:pPr>
        <w:widowControl w:val="0"/>
        <w:autoSpaceDE w:val="0"/>
        <w:autoSpaceDN w:val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Наскрізні</w:t>
      </w:r>
      <w:r>
        <w:rPr>
          <w:rFonts w:ascii="Times New Roman" w:hAnsi="Times New Roman" w:cs="Times New Roman"/>
          <w:i/>
          <w:color w:val="000000" w:themeColor="text1"/>
          <w:spacing w:val="-10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стратегічні</w:t>
      </w:r>
      <w:r>
        <w:rPr>
          <w:rFonts w:ascii="Times New Roman" w:hAnsi="Times New Roman" w:cs="Times New Roman"/>
          <w:i/>
          <w:color w:val="000000" w:themeColor="text1"/>
          <w:spacing w:val="-8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цілі</w:t>
      </w:r>
      <w:r>
        <w:rPr>
          <w:rFonts w:ascii="Times New Roman" w:hAnsi="Times New Roman" w:cs="Times New Roman"/>
          <w:i/>
          <w:color w:val="000000" w:themeColor="text1"/>
          <w:spacing w:val="-5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здійснення</w:t>
      </w:r>
      <w:r>
        <w:rPr>
          <w:rFonts w:ascii="Times New Roman" w:hAnsi="Times New Roman" w:cs="Times New Roman"/>
          <w:i/>
          <w:color w:val="000000" w:themeColor="text1"/>
          <w:spacing w:val="-7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публічних</w:t>
      </w:r>
      <w:r>
        <w:rPr>
          <w:rFonts w:ascii="Times New Roman" w:hAnsi="Times New Roman" w:cs="Times New Roman"/>
          <w:i/>
          <w:color w:val="000000" w:themeColor="text1"/>
          <w:spacing w:val="-6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інвестицій</w:t>
      </w:r>
    </w:p>
    <w:p w14:paraId="34CD2B5A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Наскрізними стратегічними цілями здійснення публічних інвестицій (далі – наскрізні стратегічні цілі)  є цілі, що мають міжгалузевий характер, відповідають національним або глобальним пріоритетам розвитку, для досягнення яких об’єднують зусилля органи влади та фізичні і юридичні особи, громадські об’єднання, інші суб’єкти , які можуть вплинути на процес досягнення цілей.   </w:t>
      </w:r>
    </w:p>
    <w:p w14:paraId="3E04FE27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На 2026-2028 роки наскрізними стратегічними цілями визначеними на рівні держави є енергоефективність, реагування на зміни клімату, гендерна рівність та безбар’єрність.</w:t>
      </w:r>
    </w:p>
    <w:p w14:paraId="7C6037DB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Наскрізні стратегічні цілі мають ключове значення для досягнення сталого розвитку та соціальної справедливості в Україні. Їх реалізація передбачає раціональне використання енергоресурсів, впровадження енергоефективних технологій, адаптацію інфраструктури до нових викликів та захисту навколишнього природного середовища, врахування принципів рівності, безбар’єрності, доступності для всіх категорій населення, включаючи осіб з інвалідністю, осіб з різними функціональними порушеннями а також людей похилого віку незалежно від їх статі та соціального статусу.</w:t>
      </w:r>
    </w:p>
    <w:p w14:paraId="31FC0590">
      <w:pPr>
        <w:widowControl w:val="0"/>
        <w:autoSpaceDE w:val="0"/>
        <w:autoSpaceDN w:val="0"/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484DA463">
      <w:pPr>
        <w:widowControl w:val="0"/>
        <w:autoSpaceDE w:val="0"/>
        <w:autoSpaceDN w:val="0"/>
        <w:spacing w:before="1"/>
        <w:ind w:right="156" w:firstLine="708"/>
        <w:jc w:val="both"/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Пріоритетні галузі для публічного інвестування:</w:t>
      </w:r>
    </w:p>
    <w:p w14:paraId="65A846CD">
      <w:pPr>
        <w:widowControl w:val="0"/>
        <w:autoSpaceDE w:val="0"/>
        <w:autoSpaceDN w:val="0"/>
        <w:spacing w:before="1"/>
        <w:ind w:right="156" w:firstLine="708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Вороньківська територіальна громада, зважаючи на Середньостроковий план пріоритетних публічних інвестицій держави, спрямовуватиме публічні інвестиції у такі галузі/напрямки:</w:t>
      </w:r>
    </w:p>
    <w:p w14:paraId="03B10257">
      <w:pPr>
        <w:widowControl w:val="0"/>
        <w:autoSpaceDE w:val="0"/>
        <w:autoSpaceDN w:val="0"/>
        <w:spacing w:before="1"/>
        <w:ind w:right="156" w:firstLine="708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Галузь: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Муніципальна інфраструктура та послуги – модернізація систем водопостачання та водовідведення, теплопостачання в населених пунктах, будівництво пожежного депо та та підвищення енергоефективності в громадських будівлях.</w:t>
      </w:r>
    </w:p>
    <w:p w14:paraId="562606BC">
      <w:pPr>
        <w:spacing w:before="1" w:line="259" w:lineRule="auto"/>
        <w:ind w:right="156" w:firstLine="708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Галузь: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Освіта і наука – модернізація закладів освіти, будівництво тареконструкція укриттів та протирадіаційних укриттів в закладах освіти, покращення їх інфраструктури, забезпечення якості, безпеки та доступності освіти.</w:t>
      </w:r>
    </w:p>
    <w:p w14:paraId="3FEC76F9">
      <w:pPr>
        <w:widowControl w:val="0"/>
        <w:autoSpaceDE w:val="0"/>
        <w:autoSpaceDN w:val="0"/>
        <w:spacing w:before="1"/>
        <w:ind w:right="156" w:firstLine="708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Галузь: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Охорона здоров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’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я – підвищення якості медичної освіти, покращення доступу до медичних послуг та оснащення закладів охорони здоров’я сучасним  медичним обладнанням.</w:t>
      </w:r>
    </w:p>
    <w:p w14:paraId="6D9D0D8A">
      <w:pPr>
        <w:spacing w:after="160" w:line="259" w:lineRule="auto"/>
        <w:ind w:right="15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Перелік галузей для публічного інвестування та основних напрямків для публічного інвестування наведено у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Додатку 1.</w:t>
      </w:r>
    </w:p>
    <w:p w14:paraId="3D1D543B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Фінансова</w:t>
      </w:r>
      <w:r>
        <w:rPr>
          <w:rFonts w:ascii="Times New Roman" w:hAnsi="Times New Roman" w:cs="Times New Roman"/>
          <w:b/>
          <w:i/>
          <w:color w:val="000000" w:themeColor="text1"/>
          <w:spacing w:val="-7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структура</w:t>
      </w:r>
      <w:r>
        <w:rPr>
          <w:rFonts w:ascii="Times New Roman" w:hAnsi="Times New Roman" w:cs="Times New Roman"/>
          <w:b/>
          <w:i/>
          <w:color w:val="000000" w:themeColor="text1"/>
          <w:spacing w:val="-10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публічних</w:t>
      </w:r>
      <w:r>
        <w:rPr>
          <w:rFonts w:ascii="Times New Roman" w:hAnsi="Times New Roman" w:cs="Times New Roman"/>
          <w:b/>
          <w:i/>
          <w:color w:val="000000" w:themeColor="text1"/>
          <w:spacing w:val="-9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pacing w:val="-2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інвестицій</w:t>
      </w:r>
    </w:p>
    <w:p w14:paraId="763BB346">
      <w:pPr>
        <w:widowControl w:val="0"/>
        <w:autoSpaceDE w:val="0"/>
        <w:autoSpaceDN w:val="0"/>
        <w:spacing w:before="251" w:line="242" w:lineRule="auto"/>
        <w:ind w:right="148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Обсяг публічних інвестицій на підготовку та реалізацію публічних інвестиційних проєктів та програм публічних інвестицій на 2026-2028 роки у розрізі джерел фінансового забезпечення та за роками становить:</w:t>
      </w:r>
    </w:p>
    <w:tbl>
      <w:tblPr>
        <w:tblStyle w:val="11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6"/>
        <w:gridCol w:w="2111"/>
        <w:gridCol w:w="1622"/>
        <w:gridCol w:w="1625"/>
        <w:gridCol w:w="1857"/>
      </w:tblGrid>
      <w:tr w14:paraId="0E32AC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6" w:type="dxa"/>
          </w:tcPr>
          <w:p w14:paraId="6B598C92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Показник</w:t>
            </w:r>
          </w:p>
        </w:tc>
        <w:tc>
          <w:tcPr>
            <w:tcW w:w="2111" w:type="dxa"/>
          </w:tcPr>
          <w:p w14:paraId="6572BEE3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2026 рік (прогноз)</w:t>
            </w:r>
          </w:p>
        </w:tc>
        <w:tc>
          <w:tcPr>
            <w:tcW w:w="1622" w:type="dxa"/>
          </w:tcPr>
          <w:p w14:paraId="7E12026C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2027 рік (прогноз)</w:t>
            </w:r>
          </w:p>
        </w:tc>
        <w:tc>
          <w:tcPr>
            <w:tcW w:w="1625" w:type="dxa"/>
          </w:tcPr>
          <w:p w14:paraId="13F3E206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2028 рік (прогноз)</w:t>
            </w:r>
          </w:p>
        </w:tc>
        <w:tc>
          <w:tcPr>
            <w:tcW w:w="1857" w:type="dxa"/>
          </w:tcPr>
          <w:p w14:paraId="10BC80A6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Разом за 2026-2028 роки (прогноз)</w:t>
            </w:r>
          </w:p>
        </w:tc>
      </w:tr>
      <w:tr w14:paraId="43A8AE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6" w:type="dxa"/>
          </w:tcPr>
          <w:p w14:paraId="62EC0434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2111" w:type="dxa"/>
          </w:tcPr>
          <w:p w14:paraId="136A35E1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10264525</w:t>
            </w:r>
          </w:p>
        </w:tc>
        <w:tc>
          <w:tcPr>
            <w:tcW w:w="1622" w:type="dxa"/>
          </w:tcPr>
          <w:p w14:paraId="6CA1BD4C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10500000</w:t>
            </w:r>
          </w:p>
        </w:tc>
        <w:tc>
          <w:tcPr>
            <w:tcW w:w="1625" w:type="dxa"/>
          </w:tcPr>
          <w:p w14:paraId="13E7EE2B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14000000</w:t>
            </w:r>
          </w:p>
        </w:tc>
        <w:tc>
          <w:tcPr>
            <w:tcW w:w="1857" w:type="dxa"/>
          </w:tcPr>
          <w:p w14:paraId="2D3C3ADC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34764525</w:t>
            </w:r>
          </w:p>
        </w:tc>
      </w:tr>
      <w:tr w14:paraId="5480F4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6" w:type="dxa"/>
          </w:tcPr>
          <w:p w14:paraId="5A0BA53A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Усього</w:t>
            </w:r>
          </w:p>
        </w:tc>
        <w:tc>
          <w:tcPr>
            <w:tcW w:w="2111" w:type="dxa"/>
          </w:tcPr>
          <w:p w14:paraId="0BCE89D9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10264525</w:t>
            </w:r>
          </w:p>
        </w:tc>
        <w:tc>
          <w:tcPr>
            <w:tcW w:w="1622" w:type="dxa"/>
          </w:tcPr>
          <w:p w14:paraId="0D8B1344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10500000</w:t>
            </w:r>
          </w:p>
        </w:tc>
        <w:tc>
          <w:tcPr>
            <w:tcW w:w="1625" w:type="dxa"/>
          </w:tcPr>
          <w:p w14:paraId="2B6ECB7B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14000000</w:t>
            </w:r>
          </w:p>
        </w:tc>
        <w:tc>
          <w:tcPr>
            <w:tcW w:w="1857" w:type="dxa"/>
          </w:tcPr>
          <w:p w14:paraId="64125C32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34764525</w:t>
            </w:r>
          </w:p>
        </w:tc>
      </w:tr>
    </w:tbl>
    <w:p w14:paraId="66674132">
      <w:pPr>
        <w:spacing w:after="160" w:line="259" w:lineRule="auto"/>
        <w:ind w:right="15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  </w:t>
      </w:r>
    </w:p>
    <w:p w14:paraId="6A2E644F">
      <w:pPr>
        <w:spacing w:after="160" w:line="259" w:lineRule="auto"/>
        <w:ind w:right="15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Фінансування  забезпечується як за рахунок залучених коштів інших джерел фінансування та бюджету територіальної громади. </w:t>
      </w:r>
    </w:p>
    <w:p w14:paraId="10CB0EBB">
      <w:pPr>
        <w:spacing w:after="160" w:line="259" w:lineRule="auto"/>
        <w:ind w:right="15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Розподіл орієнтовного граничного сукупного обсягу публічних інвестицій Вороньківської ТГ на 2026-2028 роки на галузі для публічного інвестування </w:t>
      </w:r>
    </w:p>
    <w:tbl>
      <w:tblPr>
        <w:tblStyle w:val="11"/>
        <w:tblW w:w="97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701"/>
        <w:gridCol w:w="1559"/>
        <w:gridCol w:w="1559"/>
        <w:gridCol w:w="2268"/>
      </w:tblGrid>
      <w:tr w14:paraId="7A0EAE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660" w:type="dxa"/>
          </w:tcPr>
          <w:p w14:paraId="5900E237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Галузь (сектор)</w:t>
            </w:r>
          </w:p>
        </w:tc>
        <w:tc>
          <w:tcPr>
            <w:tcW w:w="1701" w:type="dxa"/>
          </w:tcPr>
          <w:p w14:paraId="11F3405C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2026 рік</w:t>
            </w:r>
          </w:p>
        </w:tc>
        <w:tc>
          <w:tcPr>
            <w:tcW w:w="1559" w:type="dxa"/>
          </w:tcPr>
          <w:p w14:paraId="3BF8BDDF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2027 рік</w:t>
            </w:r>
          </w:p>
        </w:tc>
        <w:tc>
          <w:tcPr>
            <w:tcW w:w="1559" w:type="dxa"/>
          </w:tcPr>
          <w:p w14:paraId="5098F38B">
            <w:pPr>
              <w:widowControl w:val="0"/>
              <w:autoSpaceDE w:val="0"/>
              <w:autoSpaceDN w:val="0"/>
              <w:spacing w:before="251" w:after="0" w:line="242" w:lineRule="auto"/>
              <w:ind w:right="1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2028 рік</w:t>
            </w:r>
          </w:p>
        </w:tc>
        <w:tc>
          <w:tcPr>
            <w:tcW w:w="2268" w:type="dxa"/>
          </w:tcPr>
          <w:p w14:paraId="16C40C0B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Разом (тис.грн)</w:t>
            </w:r>
          </w:p>
        </w:tc>
      </w:tr>
      <w:tr w14:paraId="1A210F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21229C41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Освіта і наука</w:t>
            </w:r>
          </w:p>
        </w:tc>
        <w:tc>
          <w:tcPr>
            <w:tcW w:w="1701" w:type="dxa"/>
          </w:tcPr>
          <w:p w14:paraId="47D133DE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10264525</w:t>
            </w:r>
          </w:p>
        </w:tc>
        <w:tc>
          <w:tcPr>
            <w:tcW w:w="1559" w:type="dxa"/>
          </w:tcPr>
          <w:p w14:paraId="3FBFA5B6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10500000</w:t>
            </w:r>
          </w:p>
        </w:tc>
        <w:tc>
          <w:tcPr>
            <w:tcW w:w="1559" w:type="dxa"/>
          </w:tcPr>
          <w:p w14:paraId="36451DB2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14000000</w:t>
            </w:r>
          </w:p>
        </w:tc>
        <w:tc>
          <w:tcPr>
            <w:tcW w:w="2268" w:type="dxa"/>
          </w:tcPr>
          <w:p w14:paraId="149102B1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34764525</w:t>
            </w:r>
          </w:p>
        </w:tc>
      </w:tr>
      <w:tr w14:paraId="3B7913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39668451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Усього</w:t>
            </w:r>
          </w:p>
        </w:tc>
        <w:tc>
          <w:tcPr>
            <w:tcW w:w="1701" w:type="dxa"/>
          </w:tcPr>
          <w:p w14:paraId="2CEED791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10264525</w:t>
            </w:r>
          </w:p>
        </w:tc>
        <w:tc>
          <w:tcPr>
            <w:tcW w:w="1559" w:type="dxa"/>
          </w:tcPr>
          <w:p w14:paraId="61D09BBB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10500000</w:t>
            </w:r>
          </w:p>
        </w:tc>
        <w:tc>
          <w:tcPr>
            <w:tcW w:w="1559" w:type="dxa"/>
          </w:tcPr>
          <w:p w14:paraId="1AF34EC5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14000000</w:t>
            </w:r>
          </w:p>
        </w:tc>
        <w:tc>
          <w:tcPr>
            <w:tcW w:w="2268" w:type="dxa"/>
          </w:tcPr>
          <w:p w14:paraId="03219C62">
            <w:pPr>
              <w:spacing w:after="0" w:line="240" w:lineRule="auto"/>
              <w:ind w:right="15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34764525</w:t>
            </w:r>
          </w:p>
        </w:tc>
      </w:tr>
    </w:tbl>
    <w:p w14:paraId="52B679E9">
      <w:pPr>
        <w:spacing w:after="160" w:line="259" w:lineRule="auto"/>
        <w:ind w:right="156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Підсумки:</w:t>
      </w:r>
    </w:p>
    <w:p w14:paraId="563AAA90">
      <w:pPr>
        <w:widowControl w:val="0"/>
        <w:spacing w:before="1"/>
        <w:ind w:right="162"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Середньостроковий план є документом, що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формує основу для якісно нового підходу до управління публічними інвестиціями в громаді. </w:t>
      </w:r>
    </w:p>
    <w:p w14:paraId="23AE4A27">
      <w:pPr>
        <w:widowControl w:val="0"/>
        <w:spacing w:after="0" w:line="240" w:lineRule="auto"/>
        <w:ind w:right="152"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Визначення наскрізних стратегічних цілей, узгодження з наявними стратегічними документами, продовження та завершення розпочатих проєктів і програм, а також закріплення пріоритетних галузей (секторів) і основних напрямів публічного інвестування забезпечують спрямування ресурсів на реалізацію ключових пріоритетів розвитку громади. Це сприятиме ефективному використанню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як попередньо вкладених, так і поточних публічних інвестицій,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 також створить чітке розуміння пріоритетних сфер, що потребують фінансової підтримки у середньостроковому періоді.</w:t>
      </w:r>
    </w:p>
    <w:p w14:paraId="705F8CF6">
      <w:pPr>
        <w:widowControl w:val="0"/>
        <w:spacing w:after="0" w:line="240" w:lineRule="auto"/>
        <w:ind w:right="156" w:firstLine="851"/>
        <w:jc w:val="both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Визначення напрямів публічного інвестування відповідних галузей (секторів) для публічного інвестування має ключове значення для подальшої підготовки, оцінки проектів та програм, а також формування єдиного проектного портфеля публічних інвестицій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>Вороньківської територіальної громади.</w:t>
      </w:r>
    </w:p>
    <w:p w14:paraId="1CAFAE8F">
      <w:pPr>
        <w:widowControl w:val="0"/>
        <w:spacing w:after="0" w:line="240" w:lineRule="auto"/>
        <w:ind w:right="158"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Підготовка проектів та програм передбачає обов’язкове визначення напряму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публічного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інвестування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відповідній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галузі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(секторі),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яким пов’язаний проект чи програма, а також узгодження мети та цілей проекту з таким напрямом.</w:t>
      </w:r>
    </w:p>
    <w:p w14:paraId="1AC85AB9">
      <w:pPr>
        <w:widowControl w:val="0"/>
        <w:spacing w:after="0" w:line="240" w:lineRule="auto"/>
        <w:ind w:right="150"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Оцінка проектів та програм включає оцінку відповідності (скринінг), галузеву (секторальну) експертну оцінку та експертну оцінку, що передбачає аналіз ряду показників, пов’язаних із напрямами публічного інвестування відповідних галузей (секторів).</w:t>
      </w:r>
    </w:p>
    <w:p w14:paraId="134D3C95">
      <w:pPr>
        <w:widowControl w:val="0"/>
        <w:spacing w:after="0" w:line="240" w:lineRule="auto"/>
        <w:ind w:right="153"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Без визначення напрямів для публічного інвестування неможлива пріоритезація проектів,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які включені до галузевого (секторального) проектного портфеля. Пріоритезація проектів здійснюється в межах напряму відповідно до критеріїв пріоритезації.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> </w:t>
      </w:r>
    </w:p>
    <w:p w14:paraId="1519DDA6">
      <w:pPr>
        <w:widowControl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подальшому лише ті проекти та програми, що включені до галузевого (секторального) проектного портфеля та відповідають основним напрямам публічного інвестування, визначеним в Додатку 1 до середньострокового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плану, можуть бути включені в Єдиний проектний портфель публічних інвестицій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Вороньківської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територіальної громади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en-US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та, відповідно, зможуть отримати фінансування за рахунок коштів бюджету громади, державного бюджету та/або з наданням державної підтримки.</w:t>
      </w:r>
    </w:p>
    <w:p w14:paraId="0AE8DD67">
      <w:pPr>
        <w:spacing w:line="259" w:lineRule="auto"/>
        <w:ind w:right="15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6B0D92C">
      <w:pPr>
        <w:pStyle w:val="38"/>
        <w:spacing w:before="240" w:after="120"/>
        <w:ind w:left="0"/>
        <w:jc w:val="left"/>
        <w:rPr>
          <w:b/>
          <w:szCs w:val="28"/>
        </w:rPr>
        <w:sectPr>
          <w:pgSz w:w="11906" w:h="16838"/>
          <w:pgMar w:top="567" w:right="707" w:bottom="851" w:left="1701" w:header="708" w:footer="708" w:gutter="0"/>
          <w:cols w:space="708" w:num="1"/>
          <w:docGrid w:linePitch="360" w:charSpace="0"/>
        </w:sectPr>
      </w:pPr>
    </w:p>
    <w:p w14:paraId="2D6EBEA4">
      <w:pPr>
        <w:spacing w:line="259" w:lineRule="auto"/>
        <w:ind w:left="920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D50B1F0">
      <w:pPr>
        <w:spacing w:line="259" w:lineRule="auto"/>
        <w:ind w:left="99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Середньострокового плану пріоритетних публічних інвестицій Вороньківської територіальної громади  на 2026 -2028 роки</w:t>
      </w:r>
    </w:p>
    <w:p w14:paraId="0BC71B1C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067A942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207091509"/>
      <w:r>
        <w:rPr>
          <w:rFonts w:ascii="Times New Roman" w:hAnsi="Times New Roman" w:cs="Times New Roman"/>
          <w:b/>
          <w:sz w:val="28"/>
          <w:szCs w:val="28"/>
          <w:lang w:val="uk-UA"/>
        </w:rPr>
        <w:t>Основні напрямки публічного інвестування</w:t>
      </w:r>
    </w:p>
    <w:p w14:paraId="53D529A2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Галузь для публічного інвестування –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Освіта і наука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textWrapping"/>
      </w:r>
      <w:r>
        <w:rPr>
          <w:rFonts w:ascii="Times New Roman" w:hAnsi="Times New Roman" w:cs="Times New Roman"/>
          <w:sz w:val="28"/>
          <w:szCs w:val="28"/>
          <w:lang w:val="uk-UA"/>
        </w:rPr>
        <w:t>Структурний підрозділ, відповідальний  за галузь для публічного інвестування – Виконавчий комітет  Вороньківської сільської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br w:type="textWrapping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Граничний сукупний обсяг публічних інвестицій на середньостроковий період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145337,9 </w:t>
      </w:r>
      <w:r>
        <w:rPr>
          <w:rFonts w:ascii="Times New Roman" w:hAnsi="Times New Roman" w:cs="Times New Roman"/>
          <w:sz w:val="28"/>
          <w:szCs w:val="28"/>
          <w:lang w:val="uk-UA"/>
        </w:rPr>
        <w:t>тис. грн.</w:t>
      </w:r>
    </w:p>
    <w:p w14:paraId="33AB11FB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11"/>
        <w:tblW w:w="1541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552"/>
        <w:gridCol w:w="1701"/>
        <w:gridCol w:w="2268"/>
        <w:gridCol w:w="1159"/>
        <w:gridCol w:w="1138"/>
        <w:gridCol w:w="3089"/>
      </w:tblGrid>
      <w:tr w14:paraId="47719B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44DD93C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1" w:name="_Hlk207111939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Напрямок</w:t>
            </w:r>
          </w:p>
        </w:tc>
        <w:tc>
          <w:tcPr>
            <w:tcW w:w="2552" w:type="dxa"/>
          </w:tcPr>
          <w:p w14:paraId="037A87E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Діючі проекти/</w:t>
            </w:r>
          </w:p>
          <w:p w14:paraId="0EBD015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1701" w:type="dxa"/>
          </w:tcPr>
          <w:p w14:paraId="03E823B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Підсектор</w:t>
            </w:r>
          </w:p>
        </w:tc>
        <w:tc>
          <w:tcPr>
            <w:tcW w:w="2268" w:type="dxa"/>
          </w:tcPr>
          <w:p w14:paraId="7BAF128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Цільовий показник</w:t>
            </w:r>
          </w:p>
        </w:tc>
        <w:tc>
          <w:tcPr>
            <w:tcW w:w="1159" w:type="dxa"/>
          </w:tcPr>
          <w:p w14:paraId="06667FD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Базове значення</w:t>
            </w:r>
          </w:p>
        </w:tc>
        <w:tc>
          <w:tcPr>
            <w:tcW w:w="1138" w:type="dxa"/>
          </w:tcPr>
          <w:p w14:paraId="25440B6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Ціль 2028</w:t>
            </w:r>
          </w:p>
        </w:tc>
        <w:tc>
          <w:tcPr>
            <w:tcW w:w="3089" w:type="dxa"/>
          </w:tcPr>
          <w:p w14:paraId="3E75C77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Стратегія</w:t>
            </w:r>
          </w:p>
        </w:tc>
      </w:tr>
      <w:tr w14:paraId="32C7DA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8F8A4">
            <w:pPr>
              <w:spacing w:after="160" w:line="259" w:lineRule="auto"/>
              <w:ind w:right="1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Облаштування захисних споруд цивільного захисту (укриттів) у закладах загальної середньої освіти</w:t>
            </w:r>
          </w:p>
        </w:tc>
        <w:tc>
          <w:tcPr>
            <w:tcW w:w="2552" w:type="dxa"/>
          </w:tcPr>
          <w:p w14:paraId="77E7A85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Облаштування безпечних умов у закладах, що надають загальну середню освіту (облаштування укриттів)</w:t>
            </w:r>
          </w:p>
        </w:tc>
        <w:tc>
          <w:tcPr>
            <w:tcW w:w="1701" w:type="dxa"/>
          </w:tcPr>
          <w:p w14:paraId="0D31AF5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Шкільна освіта</w:t>
            </w:r>
          </w:p>
        </w:tc>
        <w:tc>
          <w:tcPr>
            <w:tcW w:w="2268" w:type="dxa"/>
          </w:tcPr>
          <w:p w14:paraId="6D3CC1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збудованих захисних споруд у закладах загальної середньої освіти</w:t>
            </w:r>
          </w:p>
        </w:tc>
        <w:tc>
          <w:tcPr>
            <w:tcW w:w="1159" w:type="dxa"/>
          </w:tcPr>
          <w:p w14:paraId="4EE4574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065816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5122F8A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5AA188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D3AAB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8" w:type="dxa"/>
          </w:tcPr>
          <w:p w14:paraId="76650A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486C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14:paraId="040D262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D76107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56242A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5A4CF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69D107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</w:tcPr>
          <w:p w14:paraId="228DBE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Стратегія розвитку Вороньківської територіальної громади на 2024-2027роки.</w:t>
            </w:r>
          </w:p>
        </w:tc>
      </w:tr>
      <w:tr w14:paraId="2D3A55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09F9A">
            <w:pPr>
              <w:spacing w:after="160" w:line="259" w:lineRule="auto"/>
              <w:ind w:right="156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Облаштування захисних споруд цивільного захисту (укриттів) у закладах загальної середньої освіти</w:t>
            </w:r>
          </w:p>
        </w:tc>
        <w:tc>
          <w:tcPr>
            <w:tcW w:w="2552" w:type="dxa"/>
          </w:tcPr>
          <w:p w14:paraId="6EB7BFEB">
            <w:pPr>
              <w:spacing w:after="160" w:line="259" w:lineRule="auto"/>
              <w:ind w:right="156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Облаштування безпечних умов у закладах, що надають загальну середню освіту (облаштування укриттів)</w:t>
            </w:r>
          </w:p>
        </w:tc>
        <w:tc>
          <w:tcPr>
            <w:tcW w:w="1701" w:type="dxa"/>
          </w:tcPr>
          <w:p w14:paraId="7E23A27D">
            <w:pPr>
              <w:spacing w:after="160" w:line="259" w:lineRule="auto"/>
              <w:ind w:right="156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Шкільна освіта</w:t>
            </w:r>
          </w:p>
          <w:p w14:paraId="1A4A86A5">
            <w:pPr>
              <w:spacing w:after="160" w:line="259" w:lineRule="auto"/>
              <w:ind w:right="156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381C2D8D">
            <w:pPr>
              <w:spacing w:after="160" w:line="259" w:lineRule="auto"/>
              <w:ind w:right="156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Кількість реконструйованих захисних споруд у закладах загальної середньої освіти</w:t>
            </w:r>
          </w:p>
        </w:tc>
        <w:tc>
          <w:tcPr>
            <w:tcW w:w="1159" w:type="dxa"/>
          </w:tcPr>
          <w:p w14:paraId="2C0C4A3F">
            <w:pPr>
              <w:spacing w:after="160" w:line="259" w:lineRule="auto"/>
              <w:ind w:right="156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0</w:t>
            </w:r>
          </w:p>
        </w:tc>
        <w:tc>
          <w:tcPr>
            <w:tcW w:w="1138" w:type="dxa"/>
          </w:tcPr>
          <w:p w14:paraId="6E892C6C">
            <w:pPr>
              <w:spacing w:after="160" w:line="259" w:lineRule="auto"/>
              <w:ind w:right="156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1</w:t>
            </w:r>
          </w:p>
        </w:tc>
        <w:tc>
          <w:tcPr>
            <w:tcW w:w="3089" w:type="dxa"/>
          </w:tcPr>
          <w:p w14:paraId="1F7A2DC3">
            <w:pPr>
              <w:spacing w:after="160" w:line="259" w:lineRule="auto"/>
              <w:ind w:right="156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Стратегія розвитку Вороньківської територіальної громади на 2024-2027роки.</w:t>
            </w:r>
          </w:p>
        </w:tc>
      </w:tr>
      <w:tr w14:paraId="52A71C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DF04398">
            <w:pPr>
              <w:spacing w:after="160" w:line="259" w:lineRule="auto"/>
              <w:ind w:right="156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Забезпечення доступу до якісного та безпечного харчування у закладах освіти шляхом розвитку сучасної інфраструктури їдалень (харчоблоків)</w:t>
            </w:r>
          </w:p>
        </w:tc>
        <w:tc>
          <w:tcPr>
            <w:tcW w:w="2552" w:type="dxa"/>
            <w:vMerge w:val="restart"/>
          </w:tcPr>
          <w:p w14:paraId="755DF642">
            <w:pPr>
              <w:spacing w:after="160" w:line="259" w:lineRule="auto"/>
              <w:ind w:right="156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Придбання обладнання, створення та модернізація (проведення реконструкції та капітального ремонту) їдалень (харчоблоків) закладів освіти</w:t>
            </w:r>
          </w:p>
        </w:tc>
        <w:tc>
          <w:tcPr>
            <w:tcW w:w="1701" w:type="dxa"/>
            <w:vMerge w:val="restart"/>
          </w:tcPr>
          <w:p w14:paraId="30BD2C3A">
            <w:pPr>
              <w:spacing w:after="160" w:line="259" w:lineRule="auto"/>
              <w:ind w:right="156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Шкільна освіта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14:paraId="6456766C">
            <w:pPr>
              <w:spacing w:after="160" w:line="259" w:lineRule="auto"/>
              <w:ind w:right="156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Кількість дітей які отримали доступ до якісного гарячого харчування у модернізованих їдальнях (харчоблоках) закладів освіти</w:t>
            </w:r>
          </w:p>
        </w:tc>
        <w:tc>
          <w:tcPr>
            <w:tcW w:w="1159" w:type="dxa"/>
            <w:tcBorders>
              <w:bottom w:val="single" w:color="auto" w:sz="4" w:space="0"/>
            </w:tcBorders>
          </w:tcPr>
          <w:p w14:paraId="640A06C4">
            <w:pPr>
              <w:spacing w:after="160" w:line="259" w:lineRule="auto"/>
              <w:ind w:right="156"/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uk-UA"/>
              </w:rPr>
              <w:t>320</w:t>
            </w:r>
          </w:p>
        </w:tc>
        <w:tc>
          <w:tcPr>
            <w:tcW w:w="1138" w:type="dxa"/>
            <w:tcBorders>
              <w:bottom w:val="single" w:color="auto" w:sz="4" w:space="0"/>
            </w:tcBorders>
          </w:tcPr>
          <w:p w14:paraId="6FB27EDE">
            <w:pPr>
              <w:spacing w:after="160" w:line="259" w:lineRule="auto"/>
              <w:ind w:right="156"/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uk-UA"/>
              </w:rPr>
              <w:t>400</w:t>
            </w:r>
            <w:bookmarkStart w:id="2" w:name="_GoBack"/>
            <w:bookmarkEnd w:id="2"/>
          </w:p>
        </w:tc>
        <w:tc>
          <w:tcPr>
            <w:tcW w:w="3089" w:type="dxa"/>
            <w:vMerge w:val="restart"/>
          </w:tcPr>
          <w:p w14:paraId="2DB9F98B">
            <w:pPr>
              <w:spacing w:after="160" w:line="259" w:lineRule="auto"/>
              <w:ind w:right="156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Стратегія розвитку Київської області на 2021-2027 роки</w:t>
            </w:r>
          </w:p>
        </w:tc>
      </w:tr>
      <w:tr w14:paraId="7A307F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3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DDDCD">
            <w:pPr>
              <w:spacing w:after="160" w:line="259" w:lineRule="auto"/>
              <w:ind w:right="156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Merge w:val="continue"/>
          </w:tcPr>
          <w:p w14:paraId="49B2FF21">
            <w:pPr>
              <w:spacing w:after="160" w:line="259" w:lineRule="auto"/>
              <w:ind w:right="156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 w:val="continue"/>
          </w:tcPr>
          <w:p w14:paraId="72F25FFD">
            <w:pPr>
              <w:spacing w:after="160" w:line="259" w:lineRule="auto"/>
              <w:ind w:right="156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color="auto" w:sz="4" w:space="0"/>
            </w:tcBorders>
          </w:tcPr>
          <w:p w14:paraId="5759664B">
            <w:pPr>
              <w:spacing w:after="160" w:line="259" w:lineRule="auto"/>
              <w:ind w:right="156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Кількість модернізованих їдалень (харчоблоків) у закладах освіти</w:t>
            </w:r>
          </w:p>
        </w:tc>
        <w:tc>
          <w:tcPr>
            <w:tcW w:w="1159" w:type="dxa"/>
            <w:tcBorders>
              <w:top w:val="single" w:color="auto" w:sz="4" w:space="0"/>
            </w:tcBorders>
          </w:tcPr>
          <w:p w14:paraId="1BB62EFA">
            <w:pPr>
              <w:spacing w:after="160" w:line="259" w:lineRule="auto"/>
              <w:ind w:right="156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0</w:t>
            </w:r>
          </w:p>
        </w:tc>
        <w:tc>
          <w:tcPr>
            <w:tcW w:w="1138" w:type="dxa"/>
            <w:tcBorders>
              <w:top w:val="single" w:color="auto" w:sz="4" w:space="0"/>
            </w:tcBorders>
          </w:tcPr>
          <w:p w14:paraId="3734FD98">
            <w:pPr>
              <w:spacing w:after="160" w:line="259" w:lineRule="auto"/>
              <w:ind w:right="156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1</w:t>
            </w:r>
          </w:p>
        </w:tc>
        <w:tc>
          <w:tcPr>
            <w:tcW w:w="3089" w:type="dxa"/>
            <w:vMerge w:val="continue"/>
          </w:tcPr>
          <w:p w14:paraId="06F182B8">
            <w:pPr>
              <w:spacing w:after="160" w:line="259" w:lineRule="auto"/>
              <w:ind w:right="156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</w:tc>
      </w:tr>
      <w:bookmarkEnd w:id="0"/>
      <w:bookmarkEnd w:id="1"/>
    </w:tbl>
    <w:p w14:paraId="41395DAB">
      <w:pPr>
        <w:spacing w:after="160" w:line="259" w:lineRule="auto"/>
        <w:ind w:right="156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14:paraId="541BB9A1">
      <w:pPr>
        <w:spacing w:line="259" w:lineRule="auto"/>
        <w:ind w:left="9204" w:firstLine="708"/>
        <w:jc w:val="both"/>
        <w:rPr>
          <w:bCs/>
          <w:szCs w:val="28"/>
        </w:rPr>
      </w:pPr>
    </w:p>
    <w:p w14:paraId="009B118C">
      <w:pPr>
        <w:spacing w:line="259" w:lineRule="auto"/>
        <w:ind w:left="9204" w:firstLine="708"/>
        <w:jc w:val="both"/>
        <w:rPr>
          <w:bCs/>
          <w:szCs w:val="28"/>
        </w:rPr>
      </w:pPr>
    </w:p>
    <w:p w14:paraId="1CC1A989">
      <w:pPr>
        <w:spacing w:line="259" w:lineRule="auto"/>
        <w:ind w:left="9204" w:firstLine="708"/>
        <w:jc w:val="both"/>
        <w:rPr>
          <w:bCs/>
          <w:szCs w:val="28"/>
        </w:rPr>
      </w:pPr>
    </w:p>
    <w:p w14:paraId="0BE269DC">
      <w:pPr>
        <w:spacing w:line="259" w:lineRule="auto"/>
        <w:ind w:left="9204" w:firstLine="708"/>
        <w:jc w:val="both"/>
        <w:rPr>
          <w:bCs/>
          <w:szCs w:val="28"/>
        </w:rPr>
      </w:pPr>
    </w:p>
    <w:p w14:paraId="18136B90">
      <w:pPr>
        <w:spacing w:line="259" w:lineRule="auto"/>
        <w:ind w:left="9204" w:firstLine="708"/>
        <w:jc w:val="both"/>
        <w:rPr>
          <w:bCs/>
          <w:szCs w:val="28"/>
        </w:rPr>
      </w:pPr>
    </w:p>
    <w:p w14:paraId="4987C7E3">
      <w:pPr>
        <w:spacing w:line="259" w:lineRule="auto"/>
        <w:ind w:left="920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518A3D">
      <w:pPr>
        <w:spacing w:line="259" w:lineRule="auto"/>
        <w:ind w:left="9204" w:firstLine="708"/>
        <w:jc w:val="both"/>
        <w:rPr>
          <w:bCs/>
          <w:szCs w:val="28"/>
        </w:rPr>
      </w:pPr>
    </w:p>
    <w:sectPr>
      <w:pgSz w:w="16838" w:h="11906" w:orient="landscape"/>
      <w:pgMar w:top="850" w:right="567" w:bottom="1701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3D5688"/>
    <w:multiLevelType w:val="multilevel"/>
    <w:tmpl w:val="043D5688"/>
    <w:lvl w:ilvl="0" w:tentative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80" w:hanging="360"/>
      </w:pPr>
    </w:lvl>
    <w:lvl w:ilvl="2" w:tentative="0">
      <w:start w:val="1"/>
      <w:numFmt w:val="lowerRoman"/>
      <w:lvlText w:val="%3."/>
      <w:lvlJc w:val="right"/>
      <w:pPr>
        <w:ind w:left="2400" w:hanging="180"/>
      </w:pPr>
    </w:lvl>
    <w:lvl w:ilvl="3" w:tentative="0">
      <w:start w:val="1"/>
      <w:numFmt w:val="decimal"/>
      <w:lvlText w:val="%4."/>
      <w:lvlJc w:val="left"/>
      <w:pPr>
        <w:ind w:left="3120" w:hanging="360"/>
      </w:pPr>
    </w:lvl>
    <w:lvl w:ilvl="4" w:tentative="0">
      <w:start w:val="1"/>
      <w:numFmt w:val="lowerLetter"/>
      <w:lvlText w:val="%5."/>
      <w:lvlJc w:val="left"/>
      <w:pPr>
        <w:ind w:left="3840" w:hanging="360"/>
      </w:pPr>
    </w:lvl>
    <w:lvl w:ilvl="5" w:tentative="0">
      <w:start w:val="1"/>
      <w:numFmt w:val="lowerRoman"/>
      <w:lvlText w:val="%6."/>
      <w:lvlJc w:val="right"/>
      <w:pPr>
        <w:ind w:left="4560" w:hanging="180"/>
      </w:pPr>
    </w:lvl>
    <w:lvl w:ilvl="6" w:tentative="0">
      <w:start w:val="1"/>
      <w:numFmt w:val="decimal"/>
      <w:lvlText w:val="%7."/>
      <w:lvlJc w:val="left"/>
      <w:pPr>
        <w:ind w:left="5280" w:hanging="360"/>
      </w:pPr>
    </w:lvl>
    <w:lvl w:ilvl="7" w:tentative="0">
      <w:start w:val="1"/>
      <w:numFmt w:val="lowerLetter"/>
      <w:lvlText w:val="%8."/>
      <w:lvlJc w:val="left"/>
      <w:pPr>
        <w:ind w:left="6000" w:hanging="360"/>
      </w:pPr>
    </w:lvl>
    <w:lvl w:ilvl="8" w:tentative="0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F32"/>
    <w:rsid w:val="00006411"/>
    <w:rsid w:val="00007C25"/>
    <w:rsid w:val="00016FE7"/>
    <w:rsid w:val="00024D34"/>
    <w:rsid w:val="00025106"/>
    <w:rsid w:val="000276A5"/>
    <w:rsid w:val="00040E8B"/>
    <w:rsid w:val="00047262"/>
    <w:rsid w:val="00067BAC"/>
    <w:rsid w:val="00071926"/>
    <w:rsid w:val="000726D6"/>
    <w:rsid w:val="000735DB"/>
    <w:rsid w:val="00082F03"/>
    <w:rsid w:val="000A0A2F"/>
    <w:rsid w:val="000B02B6"/>
    <w:rsid w:val="000C18B1"/>
    <w:rsid w:val="000D0D1A"/>
    <w:rsid w:val="000D7C5E"/>
    <w:rsid w:val="000E0582"/>
    <w:rsid w:val="000E2343"/>
    <w:rsid w:val="000E4533"/>
    <w:rsid w:val="000E491D"/>
    <w:rsid w:val="000F0FFE"/>
    <w:rsid w:val="000F1978"/>
    <w:rsid w:val="000F512C"/>
    <w:rsid w:val="00103CE5"/>
    <w:rsid w:val="00112BF9"/>
    <w:rsid w:val="00123D82"/>
    <w:rsid w:val="00131EF5"/>
    <w:rsid w:val="00134F12"/>
    <w:rsid w:val="00141C7D"/>
    <w:rsid w:val="00145731"/>
    <w:rsid w:val="00152D1B"/>
    <w:rsid w:val="00153E3C"/>
    <w:rsid w:val="00153FB3"/>
    <w:rsid w:val="00154875"/>
    <w:rsid w:val="00160D6E"/>
    <w:rsid w:val="001631D8"/>
    <w:rsid w:val="001748F7"/>
    <w:rsid w:val="0017584F"/>
    <w:rsid w:val="00182B63"/>
    <w:rsid w:val="0018375E"/>
    <w:rsid w:val="00184401"/>
    <w:rsid w:val="001A7F25"/>
    <w:rsid w:val="001B0FCD"/>
    <w:rsid w:val="001B2A40"/>
    <w:rsid w:val="001C4031"/>
    <w:rsid w:val="001C46D3"/>
    <w:rsid w:val="001D2845"/>
    <w:rsid w:val="001D29D2"/>
    <w:rsid w:val="001D50CB"/>
    <w:rsid w:val="001E0530"/>
    <w:rsid w:val="001F257E"/>
    <w:rsid w:val="001F360D"/>
    <w:rsid w:val="00202C0D"/>
    <w:rsid w:val="0020622C"/>
    <w:rsid w:val="00207765"/>
    <w:rsid w:val="0021421E"/>
    <w:rsid w:val="0021674C"/>
    <w:rsid w:val="00216BE9"/>
    <w:rsid w:val="002251D3"/>
    <w:rsid w:val="002276DE"/>
    <w:rsid w:val="00230625"/>
    <w:rsid w:val="00231717"/>
    <w:rsid w:val="0023259B"/>
    <w:rsid w:val="00242BDB"/>
    <w:rsid w:val="002526A3"/>
    <w:rsid w:val="00253326"/>
    <w:rsid w:val="00254532"/>
    <w:rsid w:val="00260982"/>
    <w:rsid w:val="0026759F"/>
    <w:rsid w:val="00270FA1"/>
    <w:rsid w:val="00272378"/>
    <w:rsid w:val="002728E6"/>
    <w:rsid w:val="002778F6"/>
    <w:rsid w:val="00283A0D"/>
    <w:rsid w:val="00290C58"/>
    <w:rsid w:val="002927F3"/>
    <w:rsid w:val="002A5F1D"/>
    <w:rsid w:val="002A6953"/>
    <w:rsid w:val="002B5965"/>
    <w:rsid w:val="002C6D0E"/>
    <w:rsid w:val="002C7D28"/>
    <w:rsid w:val="002D0B7D"/>
    <w:rsid w:val="002E0AC0"/>
    <w:rsid w:val="002E3974"/>
    <w:rsid w:val="002F0EE8"/>
    <w:rsid w:val="002F0FCF"/>
    <w:rsid w:val="002F2AC4"/>
    <w:rsid w:val="002F2E09"/>
    <w:rsid w:val="00304A6B"/>
    <w:rsid w:val="00305E8B"/>
    <w:rsid w:val="003116C1"/>
    <w:rsid w:val="0031720A"/>
    <w:rsid w:val="003271E9"/>
    <w:rsid w:val="003500CA"/>
    <w:rsid w:val="003531C1"/>
    <w:rsid w:val="00353FE5"/>
    <w:rsid w:val="0036117A"/>
    <w:rsid w:val="0036171D"/>
    <w:rsid w:val="00365B03"/>
    <w:rsid w:val="00366470"/>
    <w:rsid w:val="00367106"/>
    <w:rsid w:val="003761E6"/>
    <w:rsid w:val="00381ADE"/>
    <w:rsid w:val="00384146"/>
    <w:rsid w:val="00391C7F"/>
    <w:rsid w:val="00392159"/>
    <w:rsid w:val="00392D18"/>
    <w:rsid w:val="00394A56"/>
    <w:rsid w:val="00397BE6"/>
    <w:rsid w:val="003A1DC4"/>
    <w:rsid w:val="003A3134"/>
    <w:rsid w:val="003A50D5"/>
    <w:rsid w:val="003D1A53"/>
    <w:rsid w:val="003D1EFC"/>
    <w:rsid w:val="003D43F9"/>
    <w:rsid w:val="003F0CC8"/>
    <w:rsid w:val="003F5D91"/>
    <w:rsid w:val="004047CB"/>
    <w:rsid w:val="00406667"/>
    <w:rsid w:val="00411C0B"/>
    <w:rsid w:val="004174D3"/>
    <w:rsid w:val="00432982"/>
    <w:rsid w:val="00437075"/>
    <w:rsid w:val="0044300D"/>
    <w:rsid w:val="00467C6F"/>
    <w:rsid w:val="0047088A"/>
    <w:rsid w:val="00471081"/>
    <w:rsid w:val="0047205E"/>
    <w:rsid w:val="004753E3"/>
    <w:rsid w:val="0047735A"/>
    <w:rsid w:val="00480C41"/>
    <w:rsid w:val="004A0553"/>
    <w:rsid w:val="004A6DCB"/>
    <w:rsid w:val="004B2DE9"/>
    <w:rsid w:val="004B566A"/>
    <w:rsid w:val="004B6619"/>
    <w:rsid w:val="004E3236"/>
    <w:rsid w:val="004E7BE0"/>
    <w:rsid w:val="004F1161"/>
    <w:rsid w:val="004F279B"/>
    <w:rsid w:val="00500611"/>
    <w:rsid w:val="00501829"/>
    <w:rsid w:val="00511707"/>
    <w:rsid w:val="00513C9E"/>
    <w:rsid w:val="00514AFE"/>
    <w:rsid w:val="00515C68"/>
    <w:rsid w:val="00516644"/>
    <w:rsid w:val="005214D5"/>
    <w:rsid w:val="00522F32"/>
    <w:rsid w:val="00524DAF"/>
    <w:rsid w:val="005329BB"/>
    <w:rsid w:val="00533C77"/>
    <w:rsid w:val="005403D1"/>
    <w:rsid w:val="005435F1"/>
    <w:rsid w:val="00544CA1"/>
    <w:rsid w:val="005513A3"/>
    <w:rsid w:val="00554F8E"/>
    <w:rsid w:val="00556907"/>
    <w:rsid w:val="0056787E"/>
    <w:rsid w:val="005774B6"/>
    <w:rsid w:val="005849F3"/>
    <w:rsid w:val="00592B6C"/>
    <w:rsid w:val="005956B4"/>
    <w:rsid w:val="005A4C2B"/>
    <w:rsid w:val="005B05B6"/>
    <w:rsid w:val="005B08D4"/>
    <w:rsid w:val="005B1498"/>
    <w:rsid w:val="005B7CA9"/>
    <w:rsid w:val="005D7DEE"/>
    <w:rsid w:val="005E46C1"/>
    <w:rsid w:val="005E5535"/>
    <w:rsid w:val="005F1188"/>
    <w:rsid w:val="005F7D7E"/>
    <w:rsid w:val="006014E1"/>
    <w:rsid w:val="006149CA"/>
    <w:rsid w:val="0061616B"/>
    <w:rsid w:val="0062475E"/>
    <w:rsid w:val="006310AA"/>
    <w:rsid w:val="00633891"/>
    <w:rsid w:val="00633B23"/>
    <w:rsid w:val="00640EBD"/>
    <w:rsid w:val="00641B0D"/>
    <w:rsid w:val="00642024"/>
    <w:rsid w:val="00642DAF"/>
    <w:rsid w:val="006457E4"/>
    <w:rsid w:val="00650DB0"/>
    <w:rsid w:val="0065261A"/>
    <w:rsid w:val="00653879"/>
    <w:rsid w:val="00657B61"/>
    <w:rsid w:val="00660ECE"/>
    <w:rsid w:val="006614BB"/>
    <w:rsid w:val="0066271B"/>
    <w:rsid w:val="0066288A"/>
    <w:rsid w:val="00663F42"/>
    <w:rsid w:val="006726C3"/>
    <w:rsid w:val="00673BDF"/>
    <w:rsid w:val="00675C03"/>
    <w:rsid w:val="00681898"/>
    <w:rsid w:val="00682A49"/>
    <w:rsid w:val="006944DB"/>
    <w:rsid w:val="006A452F"/>
    <w:rsid w:val="006B10BA"/>
    <w:rsid w:val="006B2D83"/>
    <w:rsid w:val="006C4E8C"/>
    <w:rsid w:val="006D0374"/>
    <w:rsid w:val="006D352B"/>
    <w:rsid w:val="006D395E"/>
    <w:rsid w:val="006D72A8"/>
    <w:rsid w:val="006E463C"/>
    <w:rsid w:val="006E6EE8"/>
    <w:rsid w:val="006F5B10"/>
    <w:rsid w:val="00710E32"/>
    <w:rsid w:val="00713FD6"/>
    <w:rsid w:val="007205CD"/>
    <w:rsid w:val="00725AF7"/>
    <w:rsid w:val="00726C09"/>
    <w:rsid w:val="00730EF6"/>
    <w:rsid w:val="00733AE3"/>
    <w:rsid w:val="007439C1"/>
    <w:rsid w:val="00746269"/>
    <w:rsid w:val="0074683D"/>
    <w:rsid w:val="00754BB9"/>
    <w:rsid w:val="00761021"/>
    <w:rsid w:val="00763060"/>
    <w:rsid w:val="00767AC9"/>
    <w:rsid w:val="00770FBB"/>
    <w:rsid w:val="0077416C"/>
    <w:rsid w:val="00777FCC"/>
    <w:rsid w:val="00780668"/>
    <w:rsid w:val="007844E1"/>
    <w:rsid w:val="007A3DB4"/>
    <w:rsid w:val="007A7408"/>
    <w:rsid w:val="007A7676"/>
    <w:rsid w:val="007C0FFC"/>
    <w:rsid w:val="007C1C89"/>
    <w:rsid w:val="007C324A"/>
    <w:rsid w:val="007C4BFE"/>
    <w:rsid w:val="007D2A91"/>
    <w:rsid w:val="007D4E97"/>
    <w:rsid w:val="007E064B"/>
    <w:rsid w:val="007E1FC5"/>
    <w:rsid w:val="007E5CDC"/>
    <w:rsid w:val="007F22D9"/>
    <w:rsid w:val="007F7C6A"/>
    <w:rsid w:val="0080122B"/>
    <w:rsid w:val="00804F2E"/>
    <w:rsid w:val="00811E54"/>
    <w:rsid w:val="00814F58"/>
    <w:rsid w:val="008230AE"/>
    <w:rsid w:val="0082475A"/>
    <w:rsid w:val="00825B16"/>
    <w:rsid w:val="0083083E"/>
    <w:rsid w:val="00832A87"/>
    <w:rsid w:val="00832AFB"/>
    <w:rsid w:val="00833996"/>
    <w:rsid w:val="00833AEE"/>
    <w:rsid w:val="00834C0C"/>
    <w:rsid w:val="0084540B"/>
    <w:rsid w:val="00845761"/>
    <w:rsid w:val="00857CD2"/>
    <w:rsid w:val="0086125E"/>
    <w:rsid w:val="00865FFA"/>
    <w:rsid w:val="00880243"/>
    <w:rsid w:val="00881855"/>
    <w:rsid w:val="00882AAE"/>
    <w:rsid w:val="00882B84"/>
    <w:rsid w:val="00883DC3"/>
    <w:rsid w:val="00886208"/>
    <w:rsid w:val="00896DB1"/>
    <w:rsid w:val="008A3E7F"/>
    <w:rsid w:val="008B1E56"/>
    <w:rsid w:val="008B3076"/>
    <w:rsid w:val="008B6AB4"/>
    <w:rsid w:val="008B75B7"/>
    <w:rsid w:val="008B7D2B"/>
    <w:rsid w:val="008C0479"/>
    <w:rsid w:val="008C59FA"/>
    <w:rsid w:val="008D1ADF"/>
    <w:rsid w:val="008D4C9A"/>
    <w:rsid w:val="008D5360"/>
    <w:rsid w:val="008D66B6"/>
    <w:rsid w:val="008E4CC3"/>
    <w:rsid w:val="008E7652"/>
    <w:rsid w:val="008F0680"/>
    <w:rsid w:val="008F482C"/>
    <w:rsid w:val="00900C4D"/>
    <w:rsid w:val="00911E8C"/>
    <w:rsid w:val="009156A5"/>
    <w:rsid w:val="00916D32"/>
    <w:rsid w:val="00922D79"/>
    <w:rsid w:val="009272D0"/>
    <w:rsid w:val="009310E0"/>
    <w:rsid w:val="00941D7B"/>
    <w:rsid w:val="009436DC"/>
    <w:rsid w:val="00943991"/>
    <w:rsid w:val="00943E9D"/>
    <w:rsid w:val="00953162"/>
    <w:rsid w:val="00954BD4"/>
    <w:rsid w:val="00955418"/>
    <w:rsid w:val="00955866"/>
    <w:rsid w:val="009621D6"/>
    <w:rsid w:val="00962298"/>
    <w:rsid w:val="00963ECF"/>
    <w:rsid w:val="00964C59"/>
    <w:rsid w:val="00971C2C"/>
    <w:rsid w:val="00984227"/>
    <w:rsid w:val="00993061"/>
    <w:rsid w:val="009A1865"/>
    <w:rsid w:val="009A3031"/>
    <w:rsid w:val="009A7015"/>
    <w:rsid w:val="009B47C9"/>
    <w:rsid w:val="009C0468"/>
    <w:rsid w:val="009D5969"/>
    <w:rsid w:val="009E51AE"/>
    <w:rsid w:val="009E663D"/>
    <w:rsid w:val="009F138E"/>
    <w:rsid w:val="00A07F9D"/>
    <w:rsid w:val="00A10F9C"/>
    <w:rsid w:val="00A12458"/>
    <w:rsid w:val="00A12F42"/>
    <w:rsid w:val="00A2106D"/>
    <w:rsid w:val="00A21369"/>
    <w:rsid w:val="00A34757"/>
    <w:rsid w:val="00A450FE"/>
    <w:rsid w:val="00A45383"/>
    <w:rsid w:val="00A5288E"/>
    <w:rsid w:val="00A52E00"/>
    <w:rsid w:val="00A54203"/>
    <w:rsid w:val="00A63D5E"/>
    <w:rsid w:val="00A6799D"/>
    <w:rsid w:val="00A71D58"/>
    <w:rsid w:val="00A752B6"/>
    <w:rsid w:val="00A83721"/>
    <w:rsid w:val="00A844FF"/>
    <w:rsid w:val="00A849EA"/>
    <w:rsid w:val="00A84E5B"/>
    <w:rsid w:val="00A94457"/>
    <w:rsid w:val="00A9611C"/>
    <w:rsid w:val="00AA1CE0"/>
    <w:rsid w:val="00AA1D67"/>
    <w:rsid w:val="00AA3412"/>
    <w:rsid w:val="00AB0A54"/>
    <w:rsid w:val="00AB1326"/>
    <w:rsid w:val="00AC3DDF"/>
    <w:rsid w:val="00AD42E9"/>
    <w:rsid w:val="00AF2073"/>
    <w:rsid w:val="00AF5D14"/>
    <w:rsid w:val="00B0219E"/>
    <w:rsid w:val="00B0505F"/>
    <w:rsid w:val="00B05A0F"/>
    <w:rsid w:val="00B074BD"/>
    <w:rsid w:val="00B11258"/>
    <w:rsid w:val="00B20BE9"/>
    <w:rsid w:val="00B26A89"/>
    <w:rsid w:val="00B33055"/>
    <w:rsid w:val="00B35032"/>
    <w:rsid w:val="00B37FEB"/>
    <w:rsid w:val="00B41067"/>
    <w:rsid w:val="00B42B00"/>
    <w:rsid w:val="00B46BDA"/>
    <w:rsid w:val="00B55DBE"/>
    <w:rsid w:val="00B629F0"/>
    <w:rsid w:val="00B6506D"/>
    <w:rsid w:val="00B72033"/>
    <w:rsid w:val="00B72715"/>
    <w:rsid w:val="00B77FEB"/>
    <w:rsid w:val="00B87B5C"/>
    <w:rsid w:val="00B9777E"/>
    <w:rsid w:val="00BA0F56"/>
    <w:rsid w:val="00BA18CD"/>
    <w:rsid w:val="00BA38DF"/>
    <w:rsid w:val="00BA3F1C"/>
    <w:rsid w:val="00BB1AD6"/>
    <w:rsid w:val="00BB71F8"/>
    <w:rsid w:val="00BC41CE"/>
    <w:rsid w:val="00BC52C3"/>
    <w:rsid w:val="00BD247A"/>
    <w:rsid w:val="00BD4D9A"/>
    <w:rsid w:val="00BD5CA7"/>
    <w:rsid w:val="00BD7C70"/>
    <w:rsid w:val="00BE5A9C"/>
    <w:rsid w:val="00BE64E8"/>
    <w:rsid w:val="00BE7060"/>
    <w:rsid w:val="00BF6C7B"/>
    <w:rsid w:val="00BF6E7C"/>
    <w:rsid w:val="00C07156"/>
    <w:rsid w:val="00C07B4D"/>
    <w:rsid w:val="00C106E6"/>
    <w:rsid w:val="00C27215"/>
    <w:rsid w:val="00C30349"/>
    <w:rsid w:val="00C31524"/>
    <w:rsid w:val="00C367D9"/>
    <w:rsid w:val="00C369E3"/>
    <w:rsid w:val="00C42AA3"/>
    <w:rsid w:val="00C45181"/>
    <w:rsid w:val="00C63301"/>
    <w:rsid w:val="00C65D12"/>
    <w:rsid w:val="00C65D67"/>
    <w:rsid w:val="00C7680A"/>
    <w:rsid w:val="00C92163"/>
    <w:rsid w:val="00C96FA2"/>
    <w:rsid w:val="00CA5829"/>
    <w:rsid w:val="00CB5A79"/>
    <w:rsid w:val="00CC109C"/>
    <w:rsid w:val="00CC2E42"/>
    <w:rsid w:val="00CC6416"/>
    <w:rsid w:val="00CD1CEB"/>
    <w:rsid w:val="00CD693E"/>
    <w:rsid w:val="00CE0CC5"/>
    <w:rsid w:val="00CF1586"/>
    <w:rsid w:val="00CF4BB3"/>
    <w:rsid w:val="00D023E0"/>
    <w:rsid w:val="00D06FB3"/>
    <w:rsid w:val="00D077B3"/>
    <w:rsid w:val="00D10AEF"/>
    <w:rsid w:val="00D27417"/>
    <w:rsid w:val="00D465C4"/>
    <w:rsid w:val="00D46811"/>
    <w:rsid w:val="00D4751F"/>
    <w:rsid w:val="00D51B11"/>
    <w:rsid w:val="00D736D8"/>
    <w:rsid w:val="00D748B1"/>
    <w:rsid w:val="00D8616A"/>
    <w:rsid w:val="00D90262"/>
    <w:rsid w:val="00D902D3"/>
    <w:rsid w:val="00D91147"/>
    <w:rsid w:val="00D95F5E"/>
    <w:rsid w:val="00DA15DA"/>
    <w:rsid w:val="00DA4467"/>
    <w:rsid w:val="00DC6261"/>
    <w:rsid w:val="00DE2FA9"/>
    <w:rsid w:val="00DE314F"/>
    <w:rsid w:val="00DE731D"/>
    <w:rsid w:val="00DF4F59"/>
    <w:rsid w:val="00DF568D"/>
    <w:rsid w:val="00DF60EA"/>
    <w:rsid w:val="00E043C1"/>
    <w:rsid w:val="00E23552"/>
    <w:rsid w:val="00E262F5"/>
    <w:rsid w:val="00E36279"/>
    <w:rsid w:val="00E410FC"/>
    <w:rsid w:val="00E41D1C"/>
    <w:rsid w:val="00E5098B"/>
    <w:rsid w:val="00E64032"/>
    <w:rsid w:val="00E660C9"/>
    <w:rsid w:val="00E6630A"/>
    <w:rsid w:val="00E740DC"/>
    <w:rsid w:val="00E80184"/>
    <w:rsid w:val="00E81D8E"/>
    <w:rsid w:val="00E84FF0"/>
    <w:rsid w:val="00E94E63"/>
    <w:rsid w:val="00EA2920"/>
    <w:rsid w:val="00EB0C06"/>
    <w:rsid w:val="00EB26CC"/>
    <w:rsid w:val="00EB7FB2"/>
    <w:rsid w:val="00EC2B61"/>
    <w:rsid w:val="00EC5AE4"/>
    <w:rsid w:val="00EE12C6"/>
    <w:rsid w:val="00EE4DB8"/>
    <w:rsid w:val="00EE5B75"/>
    <w:rsid w:val="00EE748C"/>
    <w:rsid w:val="00EE7BDA"/>
    <w:rsid w:val="00EF425B"/>
    <w:rsid w:val="00F05A76"/>
    <w:rsid w:val="00F07C11"/>
    <w:rsid w:val="00F10203"/>
    <w:rsid w:val="00F11115"/>
    <w:rsid w:val="00F113E8"/>
    <w:rsid w:val="00F2329E"/>
    <w:rsid w:val="00F401F5"/>
    <w:rsid w:val="00F41496"/>
    <w:rsid w:val="00F53ED3"/>
    <w:rsid w:val="00F548B0"/>
    <w:rsid w:val="00F57DB4"/>
    <w:rsid w:val="00F6728F"/>
    <w:rsid w:val="00F730C2"/>
    <w:rsid w:val="00F84ED8"/>
    <w:rsid w:val="00F86073"/>
    <w:rsid w:val="00F93DC9"/>
    <w:rsid w:val="00F957F8"/>
    <w:rsid w:val="00FA12FE"/>
    <w:rsid w:val="00FA6BCB"/>
    <w:rsid w:val="00FB53B6"/>
    <w:rsid w:val="00FC0A40"/>
    <w:rsid w:val="00FC133D"/>
    <w:rsid w:val="00FC24CF"/>
    <w:rsid w:val="00FE5780"/>
    <w:rsid w:val="00FF0170"/>
    <w:rsid w:val="00FF51D4"/>
    <w:rsid w:val="00FF58B1"/>
    <w:rsid w:val="00FF5A75"/>
    <w:rsid w:val="00FF7E88"/>
    <w:rsid w:val="1A3E7F7D"/>
    <w:rsid w:val="1C6A2AD2"/>
    <w:rsid w:val="56FE7AA7"/>
    <w:rsid w:val="66C1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35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link w:val="31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">
    <w:name w:val="Strong"/>
    <w:basedOn w:val="5"/>
    <w:qFormat/>
    <w:uiPriority w:val="22"/>
    <w:rPr>
      <w:b/>
      <w:bCs/>
    </w:rPr>
  </w:style>
  <w:style w:type="table" w:styleId="11">
    <w:name w:val="Table Grid"/>
    <w:basedOn w:val="6"/>
    <w:qFormat/>
    <w:uiPriority w:val="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12">
    <w:name w:val="rvps5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rvts7"/>
    <w:basedOn w:val="5"/>
    <w:qFormat/>
    <w:uiPriority w:val="0"/>
  </w:style>
  <w:style w:type="paragraph" w:customStyle="1" w:styleId="14">
    <w:name w:val="rvps5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5">
    <w:name w:val="rvps5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rvps5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7">
    <w:name w:val="rvts11"/>
    <w:basedOn w:val="5"/>
    <w:qFormat/>
    <w:uiPriority w:val="0"/>
  </w:style>
  <w:style w:type="character" w:customStyle="1" w:styleId="18">
    <w:name w:val="rvts8"/>
    <w:basedOn w:val="5"/>
    <w:qFormat/>
    <w:uiPriority w:val="0"/>
  </w:style>
  <w:style w:type="paragraph" w:customStyle="1" w:styleId="19">
    <w:name w:val="rvps5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0">
    <w:name w:val="rvps5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1">
    <w:name w:val="rvps6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2">
    <w:name w:val="rvps6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3">
    <w:name w:val="rvps6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">
    <w:name w:val="rvps6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">
    <w:name w:val="rvps6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6">
    <w:name w:val="rvps6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">
    <w:name w:val="Обычный7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customStyle="1" w:styleId="28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9">
    <w:name w:val="Текст выноски Знак"/>
    <w:basedOn w:val="5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30">
    <w:name w:val="List Paragraph"/>
    <w:basedOn w:val="1"/>
    <w:link w:val="32"/>
    <w:qFormat/>
    <w:uiPriority w:val="34"/>
    <w:pPr>
      <w:ind w:left="720"/>
      <w:contextualSpacing/>
    </w:pPr>
  </w:style>
  <w:style w:type="character" w:customStyle="1" w:styleId="31">
    <w:name w:val="Заголовок 3 Знак"/>
    <w:basedOn w:val="5"/>
    <w:link w:val="4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32">
    <w:name w:val="Абзац списка Знак"/>
    <w:basedOn w:val="5"/>
    <w:link w:val="30"/>
    <w:qFormat/>
    <w:uiPriority w:val="34"/>
  </w:style>
  <w:style w:type="character" w:customStyle="1" w:styleId="33">
    <w:name w:val="text_exposed_show"/>
    <w:basedOn w:val="5"/>
    <w:qFormat/>
    <w:uiPriority w:val="0"/>
  </w:style>
  <w:style w:type="character" w:customStyle="1" w:styleId="34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35">
    <w:name w:val="Заголовок 2 Знак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customStyle="1" w:styleId="36">
    <w:name w:val="rvps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customStyle="1" w:styleId="37">
    <w:name w:val="Нормальний текст"/>
    <w:basedOn w:val="1"/>
    <w:qFormat/>
    <w:uiPriority w:val="0"/>
    <w:pPr>
      <w:spacing w:before="120" w:after="0" w:line="240" w:lineRule="auto"/>
      <w:ind w:firstLine="567"/>
    </w:pPr>
    <w:rPr>
      <w:rFonts w:ascii="Times New Roman" w:hAnsi="Times New Roman" w:eastAsia="Times New Roman" w:cs="Times New Roman"/>
      <w:sz w:val="28"/>
      <w:szCs w:val="20"/>
      <w:lang w:val="uk-UA" w:eastAsia="uk-UA"/>
    </w:rPr>
  </w:style>
  <w:style w:type="paragraph" w:customStyle="1" w:styleId="38">
    <w:name w:val="Shapka Documentu"/>
    <w:basedOn w:val="1"/>
    <w:qFormat/>
    <w:uiPriority w:val="0"/>
    <w:pPr>
      <w:keepNext/>
      <w:keepLines/>
      <w:spacing w:after="240" w:line="240" w:lineRule="auto"/>
      <w:ind w:left="3969"/>
      <w:jc w:val="center"/>
    </w:pPr>
    <w:rPr>
      <w:rFonts w:ascii="Times New Roman" w:hAnsi="Times New Roman" w:eastAsia="Times New Roman" w:cs="Times New Roman"/>
      <w:sz w:val="28"/>
      <w:szCs w:val="20"/>
      <w:lang w:val="uk-UA" w:eastAsia="uk-UA"/>
    </w:rPr>
  </w:style>
  <w:style w:type="character" w:customStyle="1" w:styleId="3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0">
    <w:name w:val="Сетка таблицы1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1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uk-UA"/>
    </w:rPr>
  </w:style>
  <w:style w:type="character" w:customStyle="1" w:styleId="42">
    <w:name w:val="Основний текст_"/>
    <w:basedOn w:val="5"/>
    <w:link w:val="43"/>
    <w:qFormat/>
    <w:locked/>
    <w:uiPriority w:val="0"/>
    <w:rPr>
      <w:rFonts w:ascii="Times New Roman" w:hAnsi="Times New Roman" w:eastAsia="Times New Roman" w:cs="Times New Roman"/>
      <w:sz w:val="28"/>
      <w:szCs w:val="28"/>
    </w:rPr>
  </w:style>
  <w:style w:type="paragraph" w:customStyle="1" w:styleId="43">
    <w:name w:val="Основний текст1"/>
    <w:basedOn w:val="1"/>
    <w:link w:val="42"/>
    <w:qFormat/>
    <w:uiPriority w:val="0"/>
    <w:pPr>
      <w:widowControl w:val="0"/>
      <w:spacing w:after="0" w:line="240" w:lineRule="auto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44">
    <w:name w:val="Інше_"/>
    <w:basedOn w:val="5"/>
    <w:link w:val="45"/>
    <w:qFormat/>
    <w:locked/>
    <w:uiPriority w:val="0"/>
    <w:rPr>
      <w:rFonts w:ascii="Times New Roman" w:hAnsi="Times New Roman" w:eastAsia="Times New Roman" w:cs="Times New Roman"/>
      <w:sz w:val="28"/>
      <w:szCs w:val="28"/>
    </w:rPr>
  </w:style>
  <w:style w:type="paragraph" w:customStyle="1" w:styleId="45">
    <w:name w:val="Інше"/>
    <w:basedOn w:val="1"/>
    <w:link w:val="44"/>
    <w:qFormat/>
    <w:uiPriority w:val="0"/>
    <w:pPr>
      <w:widowControl w:val="0"/>
      <w:spacing w:after="0" w:line="256" w:lineRule="auto"/>
    </w:pPr>
    <w:rPr>
      <w:rFonts w:ascii="Times New Roman" w:hAnsi="Times New Roman" w:eastAsia="Times New Roman" w:cs="Times New Roman"/>
      <w:sz w:val="28"/>
      <w:szCs w:val="28"/>
    </w:rPr>
  </w:style>
  <w:style w:type="paragraph" w:customStyle="1" w:styleId="4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4261F-1D24-413E-AB20-F131EC6F7C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8</Pages>
  <Words>1754</Words>
  <Characters>10000</Characters>
  <Lines>83</Lines>
  <Paragraphs>23</Paragraphs>
  <TotalTime>24</TotalTime>
  <ScaleCrop>false</ScaleCrop>
  <LinksUpToDate>false</LinksUpToDate>
  <CharactersWithSpaces>11731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2026-02-16T14:04:00Z</dcterms:created>
  <dc:creator>volod</dc:creator>
  <cp:lastModifiedBy>Галина Бунчук</cp:lastModifiedBy>
  <cp:lastPrinted>2026-02-16T14:32:00Z</cp:lastPrinted>
  <dcterms:modified xsi:type="dcterms:W3CDTF">2026-02-17T07:41:39Z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02974D9FF43A44EF890E5D3DE7F31D7A_13</vt:lpwstr>
  </property>
</Properties>
</file>