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D52" w:rsidRPr="004112F6" w:rsidRDefault="001D0D52" w:rsidP="001D0D52">
      <w:pPr>
        <w:rPr>
          <w:rFonts w:eastAsia="Calibri" w:cs="Times New Roman"/>
          <w:b/>
          <w:sz w:val="22"/>
          <w:lang w:val="uk-UA" w:eastAsia="ru-RU"/>
        </w:rPr>
      </w:pPr>
      <w:bookmarkStart w:id="0" w:name="_Hlk95397881"/>
    </w:p>
    <w:p w:rsidR="001D0D52" w:rsidRPr="004112F6" w:rsidRDefault="001D0D52" w:rsidP="001D0D52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4112F6">
        <w:rPr>
          <w:rFonts w:eastAsia="Calibri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01377AA" wp14:editId="55E271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D52" w:rsidRPr="004112F6" w:rsidRDefault="001D0D52" w:rsidP="001D0D5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112F6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1D0D52" w:rsidRPr="004112F6" w:rsidRDefault="001D0D52" w:rsidP="001D0D5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4112F6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1D0D52" w:rsidRPr="004112F6" w:rsidRDefault="001D0D52" w:rsidP="001D0D5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1D0D52" w:rsidRPr="004112F6" w:rsidRDefault="001D0D52" w:rsidP="001D0D5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12F6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  <w:r w:rsidRPr="004112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4112F6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4112F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1D0D52" w:rsidRPr="004112F6" w:rsidRDefault="001D0D52" w:rsidP="001D0D52">
      <w:pPr>
        <w:rPr>
          <w:rFonts w:eastAsia="Calibri" w:cs="Times New Roman"/>
          <w:sz w:val="24"/>
          <w:szCs w:val="24"/>
          <w:lang w:val="uk-UA" w:eastAsia="ru-RU"/>
        </w:rPr>
      </w:pPr>
    </w:p>
    <w:p w:rsidR="001D0D52" w:rsidRPr="004112F6" w:rsidRDefault="001D0D52" w:rsidP="001D0D52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21.02.2022</w:t>
      </w:r>
      <w:r w:rsidRPr="004112F6">
        <w:rPr>
          <w:rFonts w:eastAsia="Calibri" w:cs="Times New Roman"/>
          <w:sz w:val="24"/>
          <w:szCs w:val="24"/>
          <w:lang w:val="uk-UA" w:eastAsia="ru-RU"/>
        </w:rPr>
        <w:t xml:space="preserve"> року                  № </w:t>
      </w:r>
      <w:r>
        <w:rPr>
          <w:rFonts w:eastAsia="Calibri" w:cs="Times New Roman"/>
          <w:sz w:val="24"/>
          <w:szCs w:val="24"/>
          <w:lang w:val="uk-UA" w:eastAsia="ru-RU"/>
        </w:rPr>
        <w:t>1632</w:t>
      </w:r>
      <w:r w:rsidRPr="004112F6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4112F6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4112F6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4112F6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4112F6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1D0D52" w:rsidRPr="0066675E" w:rsidRDefault="001D0D52" w:rsidP="001D0D52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4112F6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  <w:r w:rsidRPr="0066675E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1D0D52" w:rsidRPr="0066675E" w:rsidRDefault="001D0D52" w:rsidP="001D0D52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Про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затвердження технічної документації із землеустрою щодо встановлення (відновлення) меж земельних ділянок в натурі (на місцевості), з правом передачі в оренду нерозподілених (невитребуваних) земельних часток (паїв) ТОВ «ФАЕТОН УНК»</w:t>
      </w:r>
    </w:p>
    <w:p w:rsidR="001D0D52" w:rsidRPr="00177795" w:rsidRDefault="001D0D52" w:rsidP="001D0D52">
      <w:pPr>
        <w:shd w:val="clear" w:color="auto" w:fill="FFFFFF"/>
        <w:rPr>
          <w:rFonts w:eastAsia="Times New Roman" w:cs="Times New Roman"/>
          <w:sz w:val="24"/>
          <w:szCs w:val="24"/>
          <w:lang w:val="uk-UA" w:eastAsia="ru-RU"/>
        </w:rPr>
      </w:pPr>
      <w:r w:rsidRPr="00177795">
        <w:rPr>
          <w:rFonts w:eastAsia="Times New Roman" w:cs="Times New Roman"/>
          <w:sz w:val="24"/>
          <w:szCs w:val="24"/>
          <w:lang w:eastAsia="ru-RU"/>
        </w:rPr>
        <w:t> </w:t>
      </w:r>
    </w:p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77795">
        <w:rPr>
          <w:rFonts w:eastAsia="Times New Roman" w:cs="Times New Roman"/>
          <w:sz w:val="24"/>
          <w:szCs w:val="24"/>
          <w:lang w:eastAsia="ru-RU"/>
        </w:rPr>
        <w:t> </w:t>
      </w:r>
      <w:r w:rsidRPr="00177795">
        <w:rPr>
          <w:rFonts w:eastAsia="Times New Roman" w:cs="Times New Roman"/>
          <w:sz w:val="24"/>
          <w:szCs w:val="24"/>
          <w:lang w:val="uk-UA" w:eastAsia="ru-RU"/>
        </w:rPr>
        <w:tab/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Розглянувши клопотання голови ТОВ «ФАЕТОН УНК» про затвердження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технічної документації із землеустрою щодо встановлення (відновлення) меж земельних ділянок в натурі (на місцевості) з правом передачі в оренду нерозподілених (невитребуваних) земельних часток (паїв) загальною площею 7,1026 га для ведення товарного сільськогосподарського виробництва (01.01) на території Райгородської сільської ради (колишньої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Юрківецької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сільської ради) Гайсинського (колишнього Немирівського) району, Вінницької області, відповідно до статті 26 Закону України «Про місцеве самоврядування в Україні», керуючись статтями 12, </w:t>
      </w:r>
      <w:r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79-1,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125, 126</w:t>
      </w:r>
      <w:r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,186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Земельного кодексу України, статтею 13 Закону України «Про порядок виділення в натурі (на місцевості) земельних ділянок власникам земельних часток (паїв)», Закону України «Про землеустрій»,</w:t>
      </w:r>
      <w:r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ст.6, ст.14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Закон</w:t>
      </w:r>
      <w:r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у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України «Про оренду землі», </w:t>
      </w:r>
      <w:proofErr w:type="spellStart"/>
      <w:r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статтей</w:t>
      </w:r>
      <w:proofErr w:type="spellEnd"/>
      <w:r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19, 55 Закону України «Про землеустрій»,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враховуючи рекомендації постійної комісії з </w:t>
      </w:r>
      <w:r w:rsidRPr="00177795">
        <w:rPr>
          <w:rFonts w:eastAsia="Times New Roman" w:cs="Times New Roman"/>
          <w:sz w:val="24"/>
          <w:szCs w:val="24"/>
          <w:lang w:val="uk-UA"/>
        </w:rPr>
        <w:t>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сільська рада</w:t>
      </w:r>
    </w:p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77795">
        <w:rPr>
          <w:rFonts w:eastAsia="Times New Roman" w:cs="Times New Roman"/>
          <w:sz w:val="24"/>
          <w:szCs w:val="24"/>
          <w:lang w:eastAsia="ru-RU"/>
        </w:rPr>
        <w:t> </w:t>
      </w:r>
    </w:p>
    <w:p w:rsidR="001D0D52" w:rsidRPr="00177795" w:rsidRDefault="001D0D52" w:rsidP="001D0D52">
      <w:pPr>
        <w:shd w:val="clear" w:color="auto" w:fill="FFFFFF"/>
        <w:ind w:left="2832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ВИРІШИЛА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:</w:t>
      </w:r>
    </w:p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795">
        <w:rPr>
          <w:rFonts w:eastAsia="Times New Roman" w:cs="Times New Roman"/>
          <w:sz w:val="24"/>
          <w:szCs w:val="24"/>
          <w:lang w:eastAsia="ru-RU"/>
        </w:rPr>
        <w:t> 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Затвердити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технічну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документацію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землеустрою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щодо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встановлення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відновлення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меж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в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натурі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(на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місцевості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нерозподілених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невитребуваних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часток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(паю)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загальною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площею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7,1026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ведення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товарного сільськогосподарського виробництва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(01.0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) на території 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Райгородської сільської ради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колишньої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Юрківецької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сільської ради)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Гайсинського (колишнього Немирівського)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району,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Вінницької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області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Передати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оренду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ТОВ «ФАЕТОН УНК»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ділянки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нерозподілені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невитребувані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частки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паїв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загально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площею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7,1026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га до моменту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отримання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власником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спадкоємцем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відповідних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документів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право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власності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нерухоме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майно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ділянку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), але не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більше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7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на території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Райгородської сільської ради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колишньої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Юрківецької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сільської ради)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Гайсинського (колишнього Немирівського)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району,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Вінницької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області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згідно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додатку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Встановити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термін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договорів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7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років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Встановити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орендну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плату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за згодою сторін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користування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земельними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ділянками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розмірі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3% від нормативно-грошової оцінки землі перші 4 (чотири) роки та 8500 (вісім тисяч п’ятсот) гривень за 1 га, але не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12%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нормативної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грошової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оцінки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у послідуючі роки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Зобов’язати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сторони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заключити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договори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протягом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30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календарних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днів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прийняття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даного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Доручити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сільському голові Михайленко Віктору Миколайовичу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установленому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законом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порядку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 чинного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законодавства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забезпечити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підписання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договорів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ТОВ «ФАЕТОН УНК»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ТОВ «ФАЕТОН УНК»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здійснити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державну реєстрацію права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оренди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ділянок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загальною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площею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7,1026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га для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ведення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товарного сільськогосподарського виробництва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(01.0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нерозподілених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невитребуваних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земельних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часток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паїв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на території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Райгородської сільської ради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колишньої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Юрківецької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сільської ради)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Гайсинського (колишнього Немирівського)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району, 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Вінницької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області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до Закону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України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«Про державну реєстрацію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речових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прав на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нерухоме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майно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обтяжень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</w:p>
    <w:p w:rsidR="001D0D52" w:rsidRPr="00177795" w:rsidRDefault="001D0D52" w:rsidP="001D0D52">
      <w:pPr>
        <w:numPr>
          <w:ilvl w:val="0"/>
          <w:numId w:val="1"/>
        </w:numPr>
        <w:shd w:val="clear" w:color="auto" w:fill="FFFFFF"/>
        <w:ind w:left="567" w:right="2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Контроль за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виконанням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цього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рішення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покласти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постійну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комісію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proofErr w:type="spellStart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питань</w:t>
      </w:r>
      <w:proofErr w:type="spellEnd"/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з </w:t>
      </w:r>
      <w:r w:rsidRPr="00177795">
        <w:rPr>
          <w:rFonts w:eastAsia="Times New Roman" w:cs="Times New Roman"/>
          <w:sz w:val="24"/>
          <w:szCs w:val="24"/>
          <w:lang w:val="uk-UA"/>
        </w:rPr>
        <w:t>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795">
        <w:rPr>
          <w:rFonts w:eastAsia="Times New Roman" w:cs="Times New Roman"/>
          <w:sz w:val="24"/>
          <w:szCs w:val="24"/>
          <w:lang w:eastAsia="ru-RU"/>
        </w:rPr>
        <w:t> </w:t>
      </w:r>
    </w:p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795">
        <w:rPr>
          <w:rFonts w:eastAsia="Times New Roman" w:cs="Times New Roman"/>
          <w:sz w:val="24"/>
          <w:szCs w:val="24"/>
          <w:lang w:eastAsia="ru-RU"/>
        </w:rPr>
        <w:t> </w:t>
      </w:r>
    </w:p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                             Сільський голова</w:t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ab/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ab/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ab/>
      </w:r>
      <w:r w:rsidRPr="00177795">
        <w:rPr>
          <w:rFonts w:eastAsia="Times New Roman" w:cs="Times New Roman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ab/>
        <w:t>Віктор МИХАЙЛЕНКО</w:t>
      </w:r>
    </w:p>
    <w:bookmarkEnd w:id="0"/>
    <w:p w:rsidR="001D0D52" w:rsidRPr="00177795" w:rsidRDefault="001D0D52" w:rsidP="001D0D52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795">
        <w:rPr>
          <w:rFonts w:eastAsia="Times New Roman" w:cs="Times New Roman"/>
          <w:sz w:val="24"/>
          <w:szCs w:val="24"/>
          <w:lang w:eastAsia="ru-RU"/>
        </w:rPr>
        <w:t> </w:t>
      </w:r>
    </w:p>
    <w:p w:rsidR="001D0D52" w:rsidRDefault="001D0D52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/>
    <w:p w:rsidR="007F03B5" w:rsidRDefault="007F03B5" w:rsidP="007F03B5">
      <w:pPr>
        <w:shd w:val="clear" w:color="auto" w:fill="FFFFFF"/>
        <w:jc w:val="right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7F03B5" w:rsidRPr="00995504" w:rsidRDefault="007F03B5" w:rsidP="007F03B5">
      <w:pPr>
        <w:shd w:val="clear" w:color="auto" w:fill="FFFFFF"/>
        <w:jc w:val="right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1" w:name="_Hlk95398024"/>
      <w:proofErr w:type="spellStart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Додаток</w:t>
      </w:r>
      <w:proofErr w:type="spellEnd"/>
    </w:p>
    <w:p w:rsidR="007F03B5" w:rsidRPr="00995504" w:rsidRDefault="007F03B5" w:rsidP="007F03B5">
      <w:pPr>
        <w:shd w:val="clear" w:color="auto" w:fill="FFFFFF"/>
        <w:jc w:val="righ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до </w:t>
      </w:r>
      <w:proofErr w:type="spellStart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рішення</w:t>
      </w:r>
      <w:proofErr w:type="spellEnd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28</w:t>
      </w:r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сесії 8 </w:t>
      </w:r>
      <w:proofErr w:type="spellStart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скликання</w:t>
      </w:r>
      <w:proofErr w:type="spellEnd"/>
    </w:p>
    <w:p w:rsidR="007F03B5" w:rsidRPr="00995504" w:rsidRDefault="007F03B5" w:rsidP="007F03B5">
      <w:pPr>
        <w:shd w:val="clear" w:color="auto" w:fill="FFFFFF"/>
        <w:jc w:val="right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Райгородської сільської</w:t>
      </w:r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ради</w:t>
      </w:r>
    </w:p>
    <w:p w:rsidR="007F03B5" w:rsidRPr="003450EB" w:rsidRDefault="007F03B5" w:rsidP="007F03B5">
      <w:pPr>
        <w:shd w:val="clear" w:color="auto" w:fill="FFFFFF"/>
        <w:jc w:val="right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21.02.2022 </w:t>
      </w:r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р. № 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1632</w:t>
      </w:r>
    </w:p>
    <w:p w:rsidR="007F03B5" w:rsidRPr="005B3636" w:rsidRDefault="007F03B5" w:rsidP="007F03B5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5B3636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СПИСОК</w:t>
      </w:r>
    </w:p>
    <w:p w:rsidR="007F03B5" w:rsidRPr="005B3636" w:rsidRDefault="007F03B5" w:rsidP="007F03B5">
      <w:pPr>
        <w:shd w:val="clear" w:color="auto" w:fill="FFFFFF"/>
        <w:jc w:val="center"/>
        <w:rPr>
          <w:rFonts w:eastAsia="Times New Roman" w:cs="Times New Roman"/>
          <w:color w:val="333333"/>
          <w:sz w:val="24"/>
          <w:szCs w:val="24"/>
          <w:lang w:val="uk-UA" w:eastAsia="ru-RU"/>
        </w:rPr>
      </w:pPr>
      <w:r w:rsidRPr="005B3636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lang w:val="uk-UA" w:eastAsia="ru-RU"/>
        </w:rPr>
        <w:t>ділянок, які передається в оренду</w:t>
      </w:r>
      <w:r w:rsidRPr="00995504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5B3636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 для ведення </w:t>
      </w:r>
      <w:r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lang w:val="uk-UA" w:eastAsia="ru-RU"/>
        </w:rPr>
        <w:t>товарного сільськогосподарського виробництва</w:t>
      </w:r>
      <w:r w:rsidRPr="005B3636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 на підставі виготовленої </w:t>
      </w:r>
      <w:r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      </w:t>
      </w:r>
      <w:r w:rsidRPr="005B3636">
        <w:rPr>
          <w:rFonts w:eastAsia="Times New Roman" w:cs="Times New Roman"/>
          <w:color w:val="333333"/>
          <w:sz w:val="24"/>
          <w:szCs w:val="24"/>
          <w:u w:val="single"/>
          <w:bdr w:val="none" w:sz="0" w:space="0" w:color="auto" w:frame="1"/>
          <w:lang w:val="uk-UA" w:eastAsia="ru-RU"/>
        </w:rPr>
        <w:t xml:space="preserve"> документації із землеустрою щодо встановлення (відновлення) меж земельної ділянки в натурі (на місцевості)</w:t>
      </w:r>
    </w:p>
    <w:tbl>
      <w:tblPr>
        <w:tblW w:w="10802" w:type="dxa"/>
        <w:tblInd w:w="-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276"/>
        <w:gridCol w:w="1701"/>
        <w:gridCol w:w="2410"/>
        <w:gridCol w:w="1276"/>
        <w:gridCol w:w="850"/>
        <w:gridCol w:w="1701"/>
        <w:gridCol w:w="1134"/>
      </w:tblGrid>
      <w:tr w:rsidR="007F03B5" w:rsidRPr="003375CE" w:rsidTr="007F03B5">
        <w:trPr>
          <w:trHeight w:val="867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ind w:left="-80" w:righ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3375CE" w:rsidRDefault="007F03B5" w:rsidP="00A74878">
            <w:pPr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          </w:t>
            </w:r>
          </w:p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юридичної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особи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ind w:left="-103" w:right="-14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документації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із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землеустрою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ind w:left="-110" w:right="-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Кадастровий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номер   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земельної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ділянки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Default="007F03B5" w:rsidP="00A74878">
            <w:pPr>
              <w:ind w:left="-103" w:right="-149"/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Площа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       </w:t>
            </w:r>
          </w:p>
          <w:p w:rsidR="007F03B5" w:rsidRDefault="007F03B5" w:rsidP="00A74878">
            <w:pPr>
              <w:jc w:val="center"/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земельної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  </w:t>
            </w:r>
          </w:p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ділянки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, га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ind w:right="-109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Номер  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з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емель</w:t>
            </w:r>
            <w:proofErr w:type="spellEnd"/>
            <w:proofErr w:type="gramEnd"/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-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ної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ділянки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  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згідно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плану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адреса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Цільове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призначення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земельної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ділянк</w:t>
            </w:r>
            <w:bookmarkStart w:id="2" w:name="_GoBack"/>
            <w:bookmarkEnd w:id="2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и</w:t>
            </w:r>
            <w:proofErr w:type="spellEnd"/>
          </w:p>
        </w:tc>
      </w:tr>
      <w:tr w:rsidR="007F03B5" w:rsidRPr="003375CE" w:rsidTr="007F03B5">
        <w:trPr>
          <w:trHeight w:val="357"/>
        </w:trPr>
        <w:tc>
          <w:tcPr>
            <w:tcW w:w="3431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1.</w:t>
            </w:r>
          </w:p>
          <w:p w:rsidR="007F03B5" w:rsidRPr="00995504" w:rsidRDefault="007F03B5" w:rsidP="00A74878">
            <w:pPr>
              <w:ind w:left="-159" w:right="-14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375CE">
              <w:rPr>
                <w:rFonts w:eastAsia="Times New Roman" w:cs="Times New Roman"/>
                <w:color w:val="333333"/>
                <w:sz w:val="22"/>
                <w:bdr w:val="none" w:sz="0" w:space="0" w:color="auto" w:frame="1"/>
                <w:shd w:val="clear" w:color="auto" w:fill="FFFFFF"/>
                <w:lang w:val="uk-UA" w:eastAsia="ru-RU"/>
              </w:rPr>
              <w:t>ТОВ «ФАЕТОН УНК»</w:t>
            </w:r>
          </w:p>
          <w:p w:rsidR="007F03B5" w:rsidRPr="00995504" w:rsidRDefault="007F03B5" w:rsidP="00A7487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Технічна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документація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із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землеустрою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щодо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встановлення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відновлення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) меж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земельних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ділянок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натурі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(на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місцевості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62491C" w:rsidRDefault="007F03B5" w:rsidP="00A74878">
            <w:pPr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0523089200:02:001:397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6400E3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1,1838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3215DB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494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Вінницька</w:t>
            </w: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обл., 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Гайсинський (бувший Немирівський)</w:t>
            </w: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р-н., 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 xml:space="preserve">Райгородська (бувша </w:t>
            </w:r>
            <w:proofErr w:type="spellStart"/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Юрковецька</w:t>
            </w:r>
            <w:proofErr w:type="spellEnd"/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) сільська рада</w:t>
            </w: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, за    межами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населених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пунктів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ведення</w:t>
            </w:r>
            <w:proofErr w:type="spellEnd"/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товарного сільськогосподарського виробництва</w:t>
            </w: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 xml:space="preserve"> (01.0</w:t>
            </w:r>
            <w:r>
              <w:rPr>
                <w:rFonts w:eastAsia="Times New Roman" w:cs="Times New Roman"/>
                <w:sz w:val="22"/>
                <w:bdr w:val="none" w:sz="0" w:space="0" w:color="auto" w:frame="1"/>
                <w:lang w:val="uk-UA" w:eastAsia="ru-RU"/>
              </w:rPr>
              <w:t>1</w:t>
            </w:r>
            <w:r w:rsidRPr="00995504">
              <w:rPr>
                <w:rFonts w:eastAsia="Times New Roman" w:cs="Times New Roman"/>
                <w:sz w:val="22"/>
                <w:bdr w:val="none" w:sz="0" w:space="0" w:color="auto" w:frame="1"/>
                <w:lang w:eastAsia="ru-RU"/>
              </w:rPr>
              <w:t>)</w:t>
            </w:r>
          </w:p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995504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7F03B5" w:rsidRPr="003375CE" w:rsidTr="007F03B5">
        <w:trPr>
          <w:trHeight w:val="421"/>
        </w:trPr>
        <w:tc>
          <w:tcPr>
            <w:tcW w:w="343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F3EE0">
              <w:rPr>
                <w:rFonts w:eastAsia="Times New Roman" w:cs="Times New Roman"/>
                <w:sz w:val="22"/>
                <w:lang w:val="uk-UA" w:eastAsia="ru-RU"/>
              </w:rPr>
              <w:t>0523089200:02:001: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6400E3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1,1837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3215DB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475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03B5" w:rsidRPr="003375CE" w:rsidTr="007F03B5">
        <w:trPr>
          <w:trHeight w:val="441"/>
        </w:trPr>
        <w:tc>
          <w:tcPr>
            <w:tcW w:w="343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F3EE0">
              <w:rPr>
                <w:rFonts w:eastAsia="Times New Roman" w:cs="Times New Roman"/>
                <w:sz w:val="22"/>
                <w:lang w:val="uk-UA" w:eastAsia="ru-RU"/>
              </w:rPr>
              <w:t>0523089200:02:001: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6400E3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1,1837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3215DB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473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03B5" w:rsidRPr="003375CE" w:rsidTr="007F03B5">
        <w:trPr>
          <w:trHeight w:val="419"/>
        </w:trPr>
        <w:tc>
          <w:tcPr>
            <w:tcW w:w="343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F3EE0">
              <w:rPr>
                <w:rFonts w:eastAsia="Times New Roman" w:cs="Times New Roman"/>
                <w:sz w:val="22"/>
                <w:lang w:val="uk-UA" w:eastAsia="ru-RU"/>
              </w:rPr>
              <w:t>0523089200:02:001: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6400E3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1,1838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3215DB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479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03B5" w:rsidRPr="003375CE" w:rsidTr="007F03B5">
        <w:trPr>
          <w:trHeight w:val="411"/>
        </w:trPr>
        <w:tc>
          <w:tcPr>
            <w:tcW w:w="343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F3EE0">
              <w:rPr>
                <w:rFonts w:eastAsia="Times New Roman" w:cs="Times New Roman"/>
                <w:sz w:val="22"/>
                <w:lang w:val="uk-UA" w:eastAsia="ru-RU"/>
              </w:rPr>
              <w:t>0523089200:02:001: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6400E3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1,1838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3215DB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474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03B5" w:rsidRPr="003375CE" w:rsidTr="007F03B5">
        <w:trPr>
          <w:trHeight w:val="417"/>
        </w:trPr>
        <w:tc>
          <w:tcPr>
            <w:tcW w:w="343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  <w:r w:rsidRPr="00DF3EE0">
              <w:rPr>
                <w:rFonts w:eastAsia="Times New Roman" w:cs="Times New Roman"/>
                <w:sz w:val="22"/>
                <w:lang w:val="uk-UA" w:eastAsia="ru-RU"/>
              </w:rPr>
              <w:t>0523089200:02:001: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6400E3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1,1838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3215DB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472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03B5" w:rsidRPr="003375CE" w:rsidTr="007F03B5">
        <w:trPr>
          <w:trHeight w:val="423"/>
        </w:trPr>
        <w:tc>
          <w:tcPr>
            <w:tcW w:w="343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8B398F" w:rsidRDefault="007F03B5" w:rsidP="00A74878">
            <w:pPr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ВСЬОГО: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8646F6" w:rsidRDefault="007F03B5" w:rsidP="00A74878">
            <w:pPr>
              <w:jc w:val="center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 xml:space="preserve">7,1026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F03B5" w:rsidRPr="003375CE" w:rsidTr="007F03B5">
        <w:trPr>
          <w:trHeight w:val="37"/>
        </w:trPr>
        <w:tc>
          <w:tcPr>
            <w:tcW w:w="343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3B5" w:rsidRPr="00995504" w:rsidRDefault="007F03B5" w:rsidP="00A7487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03B5" w:rsidRPr="00995504" w:rsidRDefault="007F03B5" w:rsidP="00A74878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F03B5" w:rsidRPr="00995504" w:rsidRDefault="007F03B5" w:rsidP="007F03B5">
      <w:pPr>
        <w:shd w:val="clear" w:color="auto" w:fill="FFFFFF"/>
        <w:rPr>
          <w:rFonts w:eastAsia="Times New Roman" w:cs="Times New Roman"/>
          <w:color w:val="333333"/>
          <w:sz w:val="22"/>
          <w:lang w:eastAsia="ru-RU"/>
        </w:rPr>
      </w:pPr>
      <w:r w:rsidRPr="00995504">
        <w:rPr>
          <w:rFonts w:eastAsia="Times New Roman" w:cs="Times New Roman"/>
          <w:color w:val="333333"/>
          <w:sz w:val="22"/>
          <w:lang w:eastAsia="ru-RU"/>
        </w:rPr>
        <w:t> </w:t>
      </w:r>
    </w:p>
    <w:p w:rsidR="007F03B5" w:rsidRDefault="007F03B5" w:rsidP="007F03B5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</w:t>
      </w:r>
    </w:p>
    <w:p w:rsidR="007F03B5" w:rsidRDefault="007F03B5" w:rsidP="007F03B5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 xml:space="preserve">                   </w:t>
      </w:r>
      <w:proofErr w:type="spellStart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Секретар</w:t>
      </w:r>
      <w:proofErr w:type="spellEnd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</w:t>
      </w:r>
      <w:proofErr w:type="spellStart"/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ільської</w:t>
      </w:r>
      <w:proofErr w:type="spellEnd"/>
      <w:r w:rsidRPr="00995504"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ради                                       </w:t>
      </w:r>
      <w:r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Інна МЕНЮК</w:t>
      </w:r>
    </w:p>
    <w:p w:rsidR="007F03B5" w:rsidRDefault="007F03B5" w:rsidP="007F03B5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F03B5" w:rsidRDefault="007F03B5" w:rsidP="007F03B5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p w:rsidR="007F03B5" w:rsidRDefault="007F03B5" w:rsidP="007F03B5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bookmarkEnd w:id="1"/>
    <w:p w:rsidR="007F03B5" w:rsidRDefault="007F03B5" w:rsidP="007F03B5">
      <w:pPr>
        <w:shd w:val="clear" w:color="auto" w:fill="FFFFFF"/>
        <w:rPr>
          <w:rFonts w:eastAsia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</w:pPr>
    </w:p>
    <w:sectPr w:rsidR="007F03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1CF1"/>
    <w:multiLevelType w:val="multilevel"/>
    <w:tmpl w:val="0B12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52"/>
    <w:rsid w:val="001D0D52"/>
    <w:rsid w:val="007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0902"/>
  <w15:chartTrackingRefBased/>
  <w15:docId w15:val="{CCF2C8A5-FB8D-489A-924F-E4A58B33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52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3384</Words>
  <Characters>1929</Characters>
  <Application>Microsoft Office Word</Application>
  <DocSecurity>0</DocSecurity>
  <Lines>16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2</cp:revision>
  <dcterms:created xsi:type="dcterms:W3CDTF">2022-04-12T11:06:00Z</dcterms:created>
  <dcterms:modified xsi:type="dcterms:W3CDTF">2022-04-12T11:07:00Z</dcterms:modified>
</cp:coreProperties>
</file>