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BE" w:rsidRPr="00952473" w:rsidRDefault="002E5FBE" w:rsidP="002E5FBE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BE" w:rsidRPr="00172251" w:rsidRDefault="002E5FBE" w:rsidP="002E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2E5FBE" w:rsidRPr="00172251" w:rsidRDefault="002E5FBE" w:rsidP="002E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2E5FBE" w:rsidRPr="00172251" w:rsidRDefault="002E5FBE" w:rsidP="002E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2E5FBE" w:rsidRPr="00172251" w:rsidRDefault="002E5FBE" w:rsidP="002E5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2E5FBE" w:rsidRPr="00952473" w:rsidRDefault="002E5FBE" w:rsidP="002E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817F9" w:rsidRPr="002E2E41" w:rsidRDefault="002817F9" w:rsidP="00281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09</w:t>
      </w:r>
      <w:r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березня  2023 року                      с. </w:t>
      </w:r>
      <w:proofErr w:type="spellStart"/>
      <w:r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№29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/8</w:t>
      </w:r>
    </w:p>
    <w:p w:rsidR="002817F9" w:rsidRPr="002E2E41" w:rsidRDefault="002817F9" w:rsidP="002817F9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F9" w:rsidRPr="002E2E41" w:rsidRDefault="002817F9" w:rsidP="002817F9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E2E4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Положення </w:t>
      </w:r>
      <w:r w:rsidRPr="002E2E41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Pr="002E2E41">
        <w:rPr>
          <w:rFonts w:ascii="Times New Roman" w:hAnsi="Times New Roman" w:cs="Times New Roman"/>
          <w:b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F9" w:rsidRPr="002E2E41" w:rsidRDefault="002817F9" w:rsidP="00135B71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2E41">
        <w:rPr>
          <w:sz w:val="28"/>
          <w:szCs w:val="28"/>
          <w:lang w:val="uk-UA" w:bidi="uk-UA"/>
        </w:rPr>
        <w:t xml:space="preserve">Відповідно до статті 26 Закону України «Про місцеве самоврядування в Україні», статей 2,18 ЗУ «Про державне прогнозування та розроблення програм економічного і соціального розвитку України», </w:t>
      </w:r>
      <w:r w:rsidRPr="002E2E41">
        <w:rPr>
          <w:sz w:val="28"/>
          <w:szCs w:val="28"/>
          <w:lang w:val="uk-UA"/>
        </w:rPr>
        <w:t>з метою створення стимулюючих умов для підтримки обдарованих та активних учнів та стимулювання їх до успішного навчання, до</w:t>
      </w:r>
      <w:r w:rsidRPr="002E2E41">
        <w:rPr>
          <w:color w:val="000000"/>
          <w:sz w:val="28"/>
          <w:szCs w:val="28"/>
          <w:lang w:val="uk-UA"/>
        </w:rPr>
        <w:t xml:space="preserve"> участі у </w:t>
      </w:r>
      <w:r w:rsidRPr="002E2E41">
        <w:rPr>
          <w:color w:val="000000"/>
          <w:sz w:val="28"/>
          <w:szCs w:val="28"/>
          <w:shd w:val="clear" w:color="auto" w:fill="FFFFFF"/>
          <w:lang w:val="uk-UA"/>
        </w:rPr>
        <w:t>інтелектуальних та спортивних турнірах, конкурсах, олімпіадах, змаганнях, тощо,</w:t>
      </w:r>
      <w:r w:rsidRPr="002E2E41">
        <w:rPr>
          <w:sz w:val="28"/>
          <w:szCs w:val="28"/>
          <w:lang w:val="uk-UA"/>
        </w:rPr>
        <w:t xml:space="preserve"> </w:t>
      </w:r>
      <w:r w:rsidRPr="002E2E41">
        <w:rPr>
          <w:sz w:val="28"/>
          <w:szCs w:val="28"/>
          <w:lang w:val="uk-UA" w:bidi="uk-UA"/>
        </w:rPr>
        <w:t>враховуючи погодження виконавчого комітету ради від 14 лютого 2023 року № 2/7</w:t>
      </w:r>
      <w:r w:rsidRPr="002E2E41">
        <w:rPr>
          <w:sz w:val="28"/>
          <w:szCs w:val="28"/>
          <w:shd w:val="clear" w:color="auto" w:fill="FFFFFF"/>
          <w:lang w:val="uk-UA"/>
        </w:rPr>
        <w:t xml:space="preserve"> та рішення постійних комісій, </w:t>
      </w:r>
      <w:r w:rsidRPr="002E2E41">
        <w:rPr>
          <w:lang w:val="uk-UA"/>
        </w:rPr>
        <w:t xml:space="preserve"> </w:t>
      </w:r>
      <w:proofErr w:type="spellStart"/>
      <w:r w:rsidRPr="002E2E41">
        <w:rPr>
          <w:sz w:val="28"/>
          <w:szCs w:val="28"/>
          <w:lang w:val="uk-UA" w:bidi="uk-UA"/>
        </w:rPr>
        <w:t>Вишнівська</w:t>
      </w:r>
      <w:proofErr w:type="spellEnd"/>
      <w:r w:rsidRPr="002E2E41">
        <w:rPr>
          <w:sz w:val="28"/>
          <w:szCs w:val="28"/>
          <w:lang w:val="uk-UA" w:bidi="uk-UA"/>
        </w:rPr>
        <w:t xml:space="preserve">  сільська рада</w:t>
      </w:r>
    </w:p>
    <w:p w:rsidR="002817F9" w:rsidRPr="002E2E41" w:rsidRDefault="002817F9" w:rsidP="00135B71">
      <w:pPr>
        <w:shd w:val="clear" w:color="auto" w:fill="FFFFFF"/>
        <w:tabs>
          <w:tab w:val="left" w:pos="426"/>
        </w:tabs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2E2E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7F9" w:rsidRPr="002E2E41" w:rsidRDefault="002817F9" w:rsidP="00135B71">
      <w:pPr>
        <w:pStyle w:val="rvps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2817F9" w:rsidRPr="002E2E41" w:rsidRDefault="002817F9" w:rsidP="00135B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E2E41">
        <w:rPr>
          <w:rFonts w:ascii="Times New Roman" w:hAnsi="Times New Roman" w:cs="Times New Roman"/>
          <w:bCs/>
          <w:sz w:val="28"/>
          <w:szCs w:val="28"/>
        </w:rPr>
        <w:t xml:space="preserve">Затвердити Положення </w:t>
      </w:r>
      <w:r w:rsidRPr="002E2E4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E2E41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  <w:r w:rsidRPr="002E2E41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:rsidR="002817F9" w:rsidRPr="002E2E41" w:rsidRDefault="002817F9" w:rsidP="00135B7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851"/>
          <w:tab w:val="left" w:pos="123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 Відділу фінансів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ради при внесенні змін до бюджету територіальної громади на 2023 рік передбачити кошти на реалізацію Положення в межах наявних фінансових можливостей.</w:t>
      </w:r>
    </w:p>
    <w:p w:rsidR="002817F9" w:rsidRPr="002E2E41" w:rsidRDefault="002817F9" w:rsidP="00135B7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41">
        <w:rPr>
          <w:rFonts w:ascii="Times New Roman" w:hAnsi="Times New Roman" w:cs="Times New Roman"/>
          <w:sz w:val="28"/>
          <w:szCs w:val="28"/>
        </w:rPr>
        <w:t>Вважати  таким, що втратило чинність</w:t>
      </w:r>
      <w:r w:rsidR="00D253CC">
        <w:rPr>
          <w:rFonts w:ascii="Times New Roman" w:hAnsi="Times New Roman" w:cs="Times New Roman"/>
          <w:sz w:val="28"/>
          <w:szCs w:val="28"/>
        </w:rPr>
        <w:t>,</w:t>
      </w:r>
      <w:r w:rsidRPr="002E2E41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2E2E4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сесії </w:t>
      </w:r>
      <w:proofErr w:type="spellStart"/>
      <w:r w:rsidRPr="002E2E41">
        <w:rPr>
          <w:rFonts w:ascii="Times New Roman" w:eastAsia="Andale Sans UI" w:hAnsi="Times New Roman" w:cs="Times New Roman"/>
          <w:kern w:val="1"/>
          <w:sz w:val="28"/>
          <w:szCs w:val="28"/>
        </w:rPr>
        <w:t>Вишнівської</w:t>
      </w:r>
      <w:proofErr w:type="spellEnd"/>
      <w:r w:rsidRPr="002E2E4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сільської ради від 21.12.2017 №28/2017-11 «</w:t>
      </w:r>
      <w:r w:rsidRPr="002E2E4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Положення про іменні стипендії </w:t>
      </w:r>
      <w:proofErr w:type="spellStart"/>
      <w:r w:rsidRPr="002E2E4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Вишнівської</w:t>
      </w:r>
      <w:proofErr w:type="spellEnd"/>
      <w:r w:rsidRPr="002E2E4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сільської ради для обдарованих дітей»</w:t>
      </w:r>
      <w:r w:rsidRPr="002E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F9" w:rsidRPr="002E2E41" w:rsidRDefault="002817F9" w:rsidP="00135B7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фінансів, бюджету та соціально-економічного розвитку, комісію з питань освіти, культури, молоді, фізкультури і спорту та проектної діяльності та гуманітарний ві</w:t>
      </w:r>
      <w:r>
        <w:rPr>
          <w:rFonts w:ascii="Times New Roman" w:hAnsi="Times New Roman" w:cs="Times New Roman"/>
          <w:sz w:val="28"/>
          <w:szCs w:val="28"/>
        </w:rPr>
        <w:t xml:space="preserve">дділ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2E2E41">
        <w:rPr>
          <w:rFonts w:ascii="Times New Roman" w:hAnsi="Times New Roman" w:cs="Times New Roman"/>
          <w:sz w:val="28"/>
          <w:szCs w:val="28"/>
        </w:rPr>
        <w:t>.</w:t>
      </w:r>
    </w:p>
    <w:p w:rsidR="002817F9" w:rsidRPr="002E2E41" w:rsidRDefault="002817F9" w:rsidP="002817F9">
      <w:pPr>
        <w:pStyle w:val="a3"/>
        <w:tabs>
          <w:tab w:val="left" w:pos="0"/>
          <w:tab w:val="left" w:pos="993"/>
          <w:tab w:val="left" w:pos="1440"/>
          <w:tab w:val="left" w:pos="234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7F9" w:rsidRPr="002E2E41" w:rsidRDefault="002817F9" w:rsidP="002817F9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7F9" w:rsidRPr="002E2E41" w:rsidRDefault="002817F9" w:rsidP="002817F9">
      <w:pPr>
        <w:tabs>
          <w:tab w:val="left" w:pos="1440"/>
          <w:tab w:val="left" w:pos="2340"/>
        </w:tabs>
        <w:spacing w:after="0" w:line="240" w:lineRule="auto"/>
        <w:rPr>
          <w:rFonts w:ascii="Times New Roman" w:hAnsi="Times New Roman" w:cs="Times New Roman"/>
        </w:rPr>
      </w:pPr>
      <w:r w:rsidRPr="002E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  голова                                                              Віктор СУЩИК</w:t>
      </w:r>
    </w:p>
    <w:p w:rsidR="002817F9" w:rsidRPr="002E2E41" w:rsidRDefault="002817F9" w:rsidP="002817F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135B71" w:rsidRDefault="00135B71" w:rsidP="002817F9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  <w:lang w:val="uk-UA"/>
        </w:rPr>
      </w:pPr>
    </w:p>
    <w:p w:rsidR="00135B71" w:rsidRDefault="00135B71" w:rsidP="002817F9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  <w:lang w:val="uk-UA"/>
        </w:rPr>
      </w:pPr>
    </w:p>
    <w:p w:rsidR="002817F9" w:rsidRPr="00C02840" w:rsidRDefault="002817F9" w:rsidP="002817F9">
      <w:pPr>
        <w:pStyle w:val="a4"/>
        <w:spacing w:before="0" w:beforeAutospacing="0" w:after="0" w:afterAutospacing="0"/>
        <w:ind w:left="5664"/>
        <w:jc w:val="right"/>
        <w:rPr>
          <w:sz w:val="22"/>
          <w:szCs w:val="22"/>
          <w:lang w:val="uk-UA"/>
        </w:rPr>
      </w:pPr>
      <w:r w:rsidRPr="002E2E41">
        <w:rPr>
          <w:sz w:val="28"/>
          <w:szCs w:val="28"/>
          <w:lang w:val="uk-UA"/>
        </w:rPr>
        <w:lastRenderedPageBreak/>
        <w:t xml:space="preserve">    </w:t>
      </w:r>
      <w:r w:rsidRPr="00C02840">
        <w:rPr>
          <w:sz w:val="22"/>
          <w:szCs w:val="22"/>
          <w:lang w:val="uk-UA"/>
        </w:rPr>
        <w:t>Затверджено</w:t>
      </w:r>
    </w:p>
    <w:p w:rsidR="002817F9" w:rsidRPr="00C02840" w:rsidRDefault="002817F9" w:rsidP="002817F9">
      <w:pPr>
        <w:pStyle w:val="a4"/>
        <w:spacing w:before="0" w:beforeAutospacing="0" w:after="0" w:afterAutospacing="0"/>
        <w:ind w:left="5664"/>
        <w:jc w:val="right"/>
        <w:rPr>
          <w:sz w:val="22"/>
          <w:szCs w:val="22"/>
          <w:lang w:val="uk-UA"/>
        </w:rPr>
      </w:pPr>
      <w:r w:rsidRPr="00C02840">
        <w:rPr>
          <w:sz w:val="22"/>
          <w:szCs w:val="22"/>
          <w:lang w:val="uk-UA"/>
        </w:rPr>
        <w:t>рішення</w:t>
      </w:r>
      <w:r w:rsidRPr="00C02840">
        <w:rPr>
          <w:color w:val="000000"/>
          <w:sz w:val="22"/>
          <w:szCs w:val="22"/>
          <w:lang w:val="uk-UA"/>
        </w:rPr>
        <w:t xml:space="preserve"> сільської ради</w:t>
      </w:r>
    </w:p>
    <w:p w:rsidR="002817F9" w:rsidRPr="00C02840" w:rsidRDefault="002817F9" w:rsidP="002817F9">
      <w:pPr>
        <w:pStyle w:val="a4"/>
        <w:spacing w:before="0" w:beforeAutospacing="0" w:after="0" w:afterAutospacing="0"/>
        <w:ind w:left="5664"/>
        <w:jc w:val="right"/>
        <w:rPr>
          <w:sz w:val="22"/>
          <w:szCs w:val="22"/>
          <w:lang w:val="uk-UA"/>
        </w:rPr>
      </w:pPr>
      <w:r w:rsidRPr="00C02840">
        <w:rPr>
          <w:sz w:val="22"/>
          <w:szCs w:val="22"/>
          <w:lang w:val="uk-UA"/>
        </w:rPr>
        <w:t xml:space="preserve">від 09.03.2023 № 29/8   </w:t>
      </w:r>
    </w:p>
    <w:p w:rsidR="002817F9" w:rsidRPr="002E2E41" w:rsidRDefault="002817F9" w:rsidP="002817F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E2E4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E2E4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E2E41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:rsidR="002817F9" w:rsidRPr="002E2E41" w:rsidRDefault="002817F9" w:rsidP="0028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E2E41">
        <w:rPr>
          <w:rFonts w:ascii="Times New Roman" w:hAnsi="Times New Roman" w:cs="Times New Roman"/>
          <w:b/>
          <w:sz w:val="28"/>
          <w:szCs w:val="28"/>
        </w:rPr>
        <w:t>.Загальні положення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1">
        <w:rPr>
          <w:rFonts w:ascii="Times New Roman" w:hAnsi="Times New Roman" w:cs="Times New Roman"/>
          <w:sz w:val="28"/>
          <w:szCs w:val="28"/>
        </w:rPr>
        <w:t xml:space="preserve">Положення про призначення та виплату одноразової грошової винагороди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ради переможцям районних, обласних та всеукраїнських і міжнародних заходів затверджуєтьс</w:t>
      </w:r>
      <w:r>
        <w:rPr>
          <w:rFonts w:ascii="Times New Roman" w:hAnsi="Times New Roman" w:cs="Times New Roman"/>
          <w:sz w:val="28"/>
          <w:szCs w:val="28"/>
        </w:rPr>
        <w:t>я з метою підтримки обдарованих</w:t>
      </w:r>
      <w:r w:rsidRPr="002E2E41">
        <w:rPr>
          <w:rFonts w:ascii="Times New Roman" w:hAnsi="Times New Roman" w:cs="Times New Roman"/>
          <w:sz w:val="28"/>
          <w:szCs w:val="28"/>
        </w:rPr>
        <w:t xml:space="preserve"> та активних учнів</w:t>
      </w:r>
      <w:r>
        <w:rPr>
          <w:rFonts w:ascii="Times New Roman" w:hAnsi="Times New Roman" w:cs="Times New Roman"/>
          <w:sz w:val="28"/>
          <w:szCs w:val="28"/>
        </w:rPr>
        <w:t xml:space="preserve"> закладів освіти</w:t>
      </w:r>
      <w:r w:rsidRPr="002E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ради та стимулювання їх до успішного навчання і участі в різноманітних заходах різних рівнів (далі - Положення). </w:t>
      </w:r>
    </w:p>
    <w:p w:rsidR="002817F9" w:rsidRDefault="002817F9" w:rsidP="00281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1.2.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>Засновником</w:t>
      </w:r>
      <w:r w:rsidRPr="002E2E4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 Положення </w:t>
      </w:r>
      <w:r w:rsidRPr="002E2E41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 призначення виплати одноразової грошової винагороди учням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 w:rsidRPr="002E2E41">
        <w:rPr>
          <w:rFonts w:ascii="Times New Roman" w:hAnsi="Times New Roman" w:cs="Times New Roman"/>
          <w:color w:val="333333"/>
          <w:sz w:val="28"/>
          <w:szCs w:val="28"/>
        </w:rPr>
        <w:t>Вишнівська</w:t>
      </w:r>
      <w:proofErr w:type="spellEnd"/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 сільська рада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Виявлення і підтримка обдарованих дітей та учнівської молоді, сприяння розвитку їх таланту, духовно-емоційних і розумових здібностей </w:t>
      </w:r>
      <w:r w:rsidR="003517EE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17EE">
        <w:rPr>
          <w:rFonts w:ascii="Times New Roman" w:hAnsi="Times New Roman" w:cs="Times New Roman"/>
          <w:color w:val="333333"/>
          <w:sz w:val="28"/>
          <w:szCs w:val="28"/>
        </w:rPr>
        <w:t xml:space="preserve">одне із ключових завдань  закладів освіти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сільської ради.  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2E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2E4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2. Порядок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виплати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розмі</w:t>
      </w:r>
      <w:proofErr w:type="gram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одноразової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грошової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винагороди</w:t>
      </w:r>
      <w:proofErr w:type="spellEnd"/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D7A7F">
        <w:rPr>
          <w:color w:val="333333"/>
          <w:sz w:val="28"/>
          <w:szCs w:val="28"/>
          <w:lang w:val="uk-UA"/>
        </w:rPr>
        <w:t>2.1.</w:t>
      </w:r>
      <w:r w:rsidRPr="00ED7A7F">
        <w:rPr>
          <w:sz w:val="28"/>
          <w:szCs w:val="28"/>
          <w:lang w:val="uk-UA"/>
        </w:rPr>
        <w:t>Одноразова грошова винагорода учням – це фінансова підтримка, що надається з метою заохочення дітей та молоді шкільного віку до участі у науковій, культурній, творчій, спортивній, громадській діяльності та реалізації проектів, забезпеченні економічних і соціальних гарантій самореалізації особистості.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та патріота малої Батьківщини та рідної Укра</w:t>
      </w:r>
      <w:r w:rsidRPr="002E2E41">
        <w:rPr>
          <w:sz w:val="28"/>
          <w:szCs w:val="28"/>
          <w:lang w:val="uk-UA"/>
        </w:rPr>
        <w:t>ї</w:t>
      </w:r>
      <w:r w:rsidRPr="00ED7A7F">
        <w:rPr>
          <w:sz w:val="28"/>
          <w:szCs w:val="28"/>
          <w:lang w:val="uk-UA"/>
        </w:rPr>
        <w:t>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2817F9" w:rsidRDefault="002817F9" w:rsidP="002817F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 xml:space="preserve">2.2. Виплата грошової винагороди учням, які стали переможцями і призерами Всеукраїнських предметних олімпіад різних рівнів та конкурсах: 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>національно-патріотичного, туристично-краєзнавчого, художньо-естетичного, спортивного та мистецького спрямування, здійснюється одноразово з метою відзначення результативності учасників.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</w:rPr>
        <w:t>2</w:t>
      </w:r>
      <w:r w:rsidRPr="002E2E41">
        <w:rPr>
          <w:color w:val="333333"/>
          <w:sz w:val="28"/>
          <w:szCs w:val="28"/>
          <w:lang w:val="uk-UA"/>
        </w:rPr>
        <w:t>.3</w:t>
      </w:r>
      <w:r w:rsidRPr="002E2E41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2E2E41">
        <w:rPr>
          <w:color w:val="333333"/>
          <w:sz w:val="28"/>
          <w:szCs w:val="28"/>
        </w:rPr>
        <w:t>Розмі</w:t>
      </w:r>
      <w:proofErr w:type="gramStart"/>
      <w:r w:rsidRPr="002E2E41">
        <w:rPr>
          <w:color w:val="333333"/>
          <w:sz w:val="28"/>
          <w:szCs w:val="28"/>
        </w:rPr>
        <w:t>р</w:t>
      </w:r>
      <w:proofErr w:type="spellEnd"/>
      <w:proofErr w:type="gramEnd"/>
      <w:r w:rsidRPr="002E2E41">
        <w:rPr>
          <w:color w:val="333333"/>
          <w:sz w:val="28"/>
          <w:szCs w:val="28"/>
        </w:rPr>
        <w:t xml:space="preserve"> </w:t>
      </w:r>
      <w:r w:rsidRPr="002E2E41">
        <w:rPr>
          <w:color w:val="333333"/>
          <w:sz w:val="28"/>
          <w:szCs w:val="28"/>
          <w:lang w:val="uk-UA"/>
        </w:rPr>
        <w:t>виплати обраховується сумарно, якщо учень отримав призові місця в кількох номінаціях.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2.4. </w:t>
      </w:r>
      <w:r w:rsidRPr="002E2E41">
        <w:rPr>
          <w:color w:val="333333"/>
          <w:sz w:val="28"/>
          <w:szCs w:val="28"/>
          <w:lang w:val="uk-UA"/>
        </w:rPr>
        <w:t xml:space="preserve">Виплата грошової винагороди здійснюється в межах бюджетних асигнувань з бюджету </w:t>
      </w:r>
      <w:proofErr w:type="spellStart"/>
      <w:r w:rsidRPr="002E2E41">
        <w:rPr>
          <w:color w:val="333333"/>
          <w:sz w:val="28"/>
          <w:szCs w:val="28"/>
          <w:lang w:val="uk-UA"/>
        </w:rPr>
        <w:t>Вишнівської</w:t>
      </w:r>
      <w:proofErr w:type="spellEnd"/>
      <w:r w:rsidRPr="002E2E41">
        <w:rPr>
          <w:color w:val="333333"/>
          <w:sz w:val="28"/>
          <w:szCs w:val="28"/>
          <w:lang w:val="uk-UA"/>
        </w:rPr>
        <w:t xml:space="preserve"> сільської ради. 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</w:rPr>
        <w:t xml:space="preserve">2.5. 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proofErr w:type="gramStart"/>
      <w:r w:rsidRPr="002E2E41">
        <w:rPr>
          <w:color w:val="333333"/>
          <w:sz w:val="28"/>
          <w:szCs w:val="28"/>
        </w:rPr>
        <w:t>П</w:t>
      </w:r>
      <w:proofErr w:type="gramEnd"/>
      <w:r w:rsidRPr="002E2E41">
        <w:rPr>
          <w:color w:val="333333"/>
          <w:sz w:val="28"/>
          <w:szCs w:val="28"/>
        </w:rPr>
        <w:t>ідставою</w:t>
      </w:r>
      <w:proofErr w:type="spellEnd"/>
      <w:r w:rsidRPr="002E2E41">
        <w:rPr>
          <w:color w:val="333333"/>
          <w:sz w:val="28"/>
          <w:szCs w:val="28"/>
        </w:rPr>
        <w:t xml:space="preserve"> для </w:t>
      </w:r>
      <w:proofErr w:type="spellStart"/>
      <w:r w:rsidRPr="002E2E41">
        <w:rPr>
          <w:color w:val="333333"/>
          <w:sz w:val="28"/>
          <w:szCs w:val="28"/>
        </w:rPr>
        <w:t>виплати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грошової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винагороди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є</w:t>
      </w:r>
      <w:proofErr w:type="spellEnd"/>
      <w:r>
        <w:rPr>
          <w:color w:val="333333"/>
          <w:sz w:val="28"/>
          <w:szCs w:val="28"/>
          <w:lang w:val="uk-UA"/>
        </w:rPr>
        <w:t xml:space="preserve"> подання гуманітарного відділу та </w:t>
      </w:r>
      <w:r w:rsidRPr="002E2E41">
        <w:rPr>
          <w:color w:val="333333"/>
          <w:sz w:val="28"/>
          <w:szCs w:val="28"/>
        </w:rPr>
        <w:t xml:space="preserve"> </w:t>
      </w:r>
      <w:r w:rsidRPr="002E2E41">
        <w:rPr>
          <w:color w:val="333333"/>
          <w:sz w:val="28"/>
          <w:szCs w:val="28"/>
          <w:lang w:val="uk-UA"/>
        </w:rPr>
        <w:t xml:space="preserve"> розпорядження сільського голови.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2.6.</w:t>
      </w: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2E2E41">
        <w:rPr>
          <w:color w:val="333333"/>
          <w:sz w:val="28"/>
          <w:szCs w:val="28"/>
        </w:rPr>
        <w:t>Кошти</w:t>
      </w:r>
      <w:proofErr w:type="spellEnd"/>
      <w:r w:rsidRPr="002E2E41">
        <w:rPr>
          <w:color w:val="333333"/>
          <w:sz w:val="28"/>
          <w:szCs w:val="28"/>
        </w:rPr>
        <w:t xml:space="preserve"> для </w:t>
      </w:r>
      <w:proofErr w:type="spellStart"/>
      <w:r w:rsidRPr="002E2E41">
        <w:rPr>
          <w:color w:val="333333"/>
          <w:sz w:val="28"/>
          <w:szCs w:val="28"/>
        </w:rPr>
        <w:t>виплати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одноразової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грошової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винагороди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передбачаються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щорічно</w:t>
      </w:r>
      <w:proofErr w:type="spellEnd"/>
      <w:r w:rsidRPr="002E2E41">
        <w:rPr>
          <w:color w:val="333333"/>
          <w:sz w:val="28"/>
          <w:szCs w:val="28"/>
          <w:lang w:val="uk-UA"/>
        </w:rPr>
        <w:t xml:space="preserve"> відповідно до </w:t>
      </w:r>
      <w:proofErr w:type="spellStart"/>
      <w:r w:rsidRPr="002E2E41">
        <w:rPr>
          <w:color w:val="333333"/>
          <w:sz w:val="28"/>
          <w:szCs w:val="28"/>
        </w:rPr>
        <w:t>Програм</w:t>
      </w:r>
      <w:proofErr w:type="spellEnd"/>
      <w:r w:rsidRPr="002E2E41">
        <w:rPr>
          <w:color w:val="333333"/>
          <w:sz w:val="28"/>
          <w:szCs w:val="28"/>
          <w:lang w:val="uk-UA"/>
        </w:rPr>
        <w:t>и розвитку освіти.</w:t>
      </w:r>
      <w:r w:rsidRPr="002E2E41">
        <w:rPr>
          <w:color w:val="333333"/>
          <w:sz w:val="28"/>
          <w:szCs w:val="28"/>
        </w:rPr>
        <w:t xml:space="preserve"> </w:t>
      </w:r>
      <w:r w:rsidRPr="002E2E41">
        <w:rPr>
          <w:color w:val="333333"/>
          <w:sz w:val="28"/>
          <w:szCs w:val="28"/>
          <w:lang w:val="uk-UA"/>
        </w:rPr>
        <w:t xml:space="preserve"> </w:t>
      </w:r>
    </w:p>
    <w:p w:rsidR="00172948" w:rsidRDefault="00172948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3.</w:t>
      </w:r>
      <w:r w:rsidRPr="002E2E41">
        <w:rPr>
          <w:color w:val="333333"/>
          <w:sz w:val="28"/>
          <w:szCs w:val="28"/>
        </w:rPr>
        <w:t> 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Номінації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2E2E4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для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обдарованих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дітей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учнівської</w:t>
      </w:r>
      <w:proofErr w:type="spellEnd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молоді</w:t>
      </w:r>
      <w:proofErr w:type="spellEnd"/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</w:rPr>
        <w:lastRenderedPageBreak/>
        <w:t>3.1.</w:t>
      </w:r>
      <w:r w:rsidRPr="002E2E41">
        <w:rPr>
          <w:sz w:val="28"/>
          <w:szCs w:val="28"/>
          <w:lang w:val="uk-UA"/>
        </w:rPr>
        <w:t xml:space="preserve">Одноразова грошова винагорода </w:t>
      </w:r>
      <w:r w:rsidRPr="002E2E41">
        <w:rPr>
          <w:color w:val="333333"/>
          <w:sz w:val="28"/>
          <w:szCs w:val="28"/>
          <w:lang w:val="uk-UA"/>
        </w:rPr>
        <w:t xml:space="preserve"> призначається учням закладів  загальної середньої освіти, які стали переможцями та призерами олімпіад, інтелектуальних, мистецьких, творчих, спортивних конкурсних заходів, конкурсів Малої академії наук, тощо, районного, обласного, всеукраїнського та міжнародного </w:t>
      </w:r>
      <w:proofErr w:type="gramStart"/>
      <w:r w:rsidRPr="002E2E41">
        <w:rPr>
          <w:color w:val="333333"/>
          <w:sz w:val="28"/>
          <w:szCs w:val="28"/>
          <w:lang w:val="uk-UA"/>
        </w:rPr>
        <w:t>р</w:t>
      </w:r>
      <w:proofErr w:type="gramEnd"/>
      <w:r w:rsidRPr="002E2E41">
        <w:rPr>
          <w:color w:val="333333"/>
          <w:sz w:val="28"/>
          <w:szCs w:val="28"/>
          <w:lang w:val="uk-UA"/>
        </w:rPr>
        <w:t>івнів і визначаються згідно номінацій, визначених у додатках 1 та 2 до цього Положення, а саме  переможцям олімпіад, конкурсів-захистів МАН, турнірів, конкурсів учнівської творчості, спортивних та туристичних змагань, медалістам та командам.</w:t>
      </w:r>
    </w:p>
    <w:p w:rsidR="002817F9" w:rsidRDefault="002817F9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2E2E4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4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Прийом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документі</w:t>
      </w:r>
      <w:proofErr w:type="gram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bCs/>
          <w:color w:val="333333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333333"/>
          <w:sz w:val="28"/>
          <w:szCs w:val="28"/>
        </w:rPr>
        <w:t>.1.</w:t>
      </w:r>
      <w:r w:rsidRPr="002E2E41">
        <w:rPr>
          <w:color w:val="333333"/>
          <w:sz w:val="28"/>
          <w:szCs w:val="28"/>
        </w:rPr>
        <w:t xml:space="preserve">Документи </w:t>
      </w:r>
      <w:proofErr w:type="spellStart"/>
      <w:r w:rsidRPr="002E2E41">
        <w:rPr>
          <w:color w:val="333333"/>
          <w:sz w:val="28"/>
          <w:szCs w:val="28"/>
        </w:rPr>
        <w:t>і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матеріали</w:t>
      </w:r>
      <w:proofErr w:type="spellEnd"/>
      <w:r w:rsidRPr="002E2E41">
        <w:rPr>
          <w:color w:val="333333"/>
          <w:sz w:val="28"/>
          <w:szCs w:val="28"/>
        </w:rPr>
        <w:t xml:space="preserve"> </w:t>
      </w:r>
      <w:r w:rsidRPr="002E2E41">
        <w:rPr>
          <w:color w:val="333333"/>
          <w:sz w:val="28"/>
          <w:szCs w:val="28"/>
          <w:lang w:val="uk-UA"/>
        </w:rPr>
        <w:t>переможців</w:t>
      </w:r>
      <w:r w:rsidRPr="002E2E41">
        <w:rPr>
          <w:color w:val="333333"/>
          <w:sz w:val="28"/>
          <w:szCs w:val="28"/>
        </w:rPr>
        <w:t xml:space="preserve"> </w:t>
      </w:r>
      <w:proofErr w:type="spellStart"/>
      <w:r w:rsidRPr="002E2E41">
        <w:rPr>
          <w:color w:val="333333"/>
          <w:sz w:val="28"/>
          <w:szCs w:val="28"/>
        </w:rPr>
        <w:t>подаються</w:t>
      </w:r>
      <w:proofErr w:type="spellEnd"/>
      <w:r w:rsidRPr="002E2E41">
        <w:rPr>
          <w:color w:val="333333"/>
          <w:sz w:val="28"/>
          <w:szCs w:val="28"/>
        </w:rPr>
        <w:t xml:space="preserve"> до</w:t>
      </w:r>
      <w:r w:rsidRPr="002E2E41">
        <w:rPr>
          <w:color w:val="333333"/>
          <w:sz w:val="28"/>
          <w:szCs w:val="28"/>
          <w:lang w:val="uk-UA"/>
        </w:rPr>
        <w:t xml:space="preserve"> гуманітарного відділу </w:t>
      </w:r>
      <w:proofErr w:type="spellStart"/>
      <w:r w:rsidRPr="002E2E41">
        <w:rPr>
          <w:color w:val="333333"/>
          <w:sz w:val="28"/>
          <w:szCs w:val="28"/>
          <w:lang w:val="uk-UA"/>
        </w:rPr>
        <w:t>Вишнівської</w:t>
      </w:r>
      <w:proofErr w:type="spellEnd"/>
      <w:r w:rsidRPr="002E2E41">
        <w:rPr>
          <w:color w:val="333333"/>
          <w:sz w:val="28"/>
          <w:szCs w:val="28"/>
          <w:lang w:val="uk-UA"/>
        </w:rPr>
        <w:t xml:space="preserve"> сільської ради до 1 травня щорічно (додаток 3 Положення)</w:t>
      </w:r>
      <w:r w:rsidRPr="002E2E41">
        <w:rPr>
          <w:color w:val="333333"/>
          <w:sz w:val="28"/>
          <w:szCs w:val="28"/>
        </w:rPr>
        <w:t>.</w:t>
      </w:r>
      <w:r w:rsidRPr="002E2E41">
        <w:rPr>
          <w:color w:val="333333"/>
          <w:sz w:val="28"/>
          <w:szCs w:val="28"/>
          <w:lang w:val="uk-UA"/>
        </w:rPr>
        <w:t xml:space="preserve"> 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 xml:space="preserve">4.2. Гуманітарний </w:t>
      </w:r>
      <w:r>
        <w:rPr>
          <w:color w:val="333333"/>
          <w:sz w:val="28"/>
          <w:szCs w:val="28"/>
          <w:lang w:val="uk-UA"/>
        </w:rPr>
        <w:t xml:space="preserve"> відділ</w:t>
      </w:r>
      <w:r w:rsidRPr="002E2E41">
        <w:rPr>
          <w:color w:val="333333"/>
          <w:sz w:val="28"/>
          <w:szCs w:val="28"/>
          <w:lang w:val="uk-UA"/>
        </w:rPr>
        <w:t xml:space="preserve"> як організаційний осередок: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 xml:space="preserve">- інформує заклади освіти </w:t>
      </w:r>
      <w:r>
        <w:rPr>
          <w:color w:val="333333"/>
          <w:sz w:val="28"/>
          <w:szCs w:val="28"/>
          <w:lang w:val="uk-UA"/>
        </w:rPr>
        <w:t xml:space="preserve"> та </w:t>
      </w:r>
      <w:proofErr w:type="spellStart"/>
      <w:r>
        <w:rPr>
          <w:color w:val="333333"/>
          <w:sz w:val="28"/>
          <w:szCs w:val="28"/>
          <w:lang w:val="uk-UA"/>
        </w:rPr>
        <w:t>КЗ</w:t>
      </w:r>
      <w:proofErr w:type="spellEnd"/>
      <w:r>
        <w:rPr>
          <w:color w:val="333333"/>
          <w:sz w:val="28"/>
          <w:szCs w:val="28"/>
          <w:lang w:val="uk-UA"/>
        </w:rPr>
        <w:t xml:space="preserve"> «Центр КМЕВС» </w:t>
      </w:r>
      <w:r w:rsidRPr="002E2E41">
        <w:rPr>
          <w:color w:val="333333"/>
          <w:sz w:val="28"/>
          <w:szCs w:val="28"/>
          <w:lang w:val="uk-UA"/>
        </w:rPr>
        <w:t>про порядок і терміни подання документів і матеріалів на переможців районних, обласних, всеукраїнських та міжнародних заходів тощо;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>- здійснює облік переможців;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E2E41">
        <w:rPr>
          <w:color w:val="333333"/>
          <w:sz w:val="28"/>
          <w:szCs w:val="28"/>
          <w:lang w:val="uk-UA"/>
        </w:rPr>
        <w:t>4.3.</w:t>
      </w:r>
      <w:r w:rsidRPr="002E2E41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2E2E41">
        <w:rPr>
          <w:color w:val="333333"/>
          <w:sz w:val="28"/>
          <w:szCs w:val="28"/>
          <w:lang w:val="uk-UA"/>
        </w:rPr>
        <w:t xml:space="preserve">До організаційного осередку керівники закладів освіти </w:t>
      </w:r>
      <w:r>
        <w:rPr>
          <w:color w:val="333333"/>
          <w:sz w:val="28"/>
          <w:szCs w:val="28"/>
          <w:lang w:val="uk-UA"/>
        </w:rPr>
        <w:t xml:space="preserve">та директор Центру </w:t>
      </w:r>
      <w:r w:rsidRPr="002E2E41">
        <w:rPr>
          <w:color w:val="333333"/>
          <w:sz w:val="28"/>
          <w:szCs w:val="28"/>
          <w:lang w:val="uk-UA"/>
        </w:rPr>
        <w:t xml:space="preserve">подають клопотання на ім’я сільського голови від закладу, завірене підписом керівника та печаткою, про учнів – переможців та інші документи, передбачені Порядком використання коштів (додаток 3). </w:t>
      </w:r>
      <w:r w:rsidRPr="002E2E41">
        <w:rPr>
          <w:color w:val="333333"/>
          <w:sz w:val="28"/>
          <w:szCs w:val="28"/>
        </w:rPr>
        <w:t> 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2E2E4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5. Заключні положення</w:t>
      </w:r>
    </w:p>
    <w:p w:rsidR="002817F9" w:rsidRPr="002E2E41" w:rsidRDefault="002817F9" w:rsidP="002817F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5.1.</w:t>
      </w:r>
      <w:r w:rsidRPr="002E2E41">
        <w:rPr>
          <w:color w:val="333333"/>
          <w:sz w:val="28"/>
          <w:szCs w:val="28"/>
          <w:lang w:val="uk-UA"/>
        </w:rPr>
        <w:t xml:space="preserve">Вручення сертифікатів з вказаною сумою коштів   відбувається публічно за участі представників громадськості під час проведення свята Останнього дзвоника, випускного вечора </w:t>
      </w:r>
      <w:r>
        <w:rPr>
          <w:color w:val="333333"/>
          <w:sz w:val="28"/>
          <w:szCs w:val="28"/>
          <w:lang w:val="uk-UA"/>
        </w:rPr>
        <w:t xml:space="preserve"> в закладах освіти</w:t>
      </w:r>
      <w:r w:rsidRPr="002E2E41">
        <w:rPr>
          <w:color w:val="333333"/>
          <w:sz w:val="28"/>
          <w:szCs w:val="28"/>
          <w:lang w:val="uk-UA"/>
        </w:rPr>
        <w:t xml:space="preserve"> із висвітленням у засобах масової інформації, сайтах, тощо.</w:t>
      </w:r>
    </w:p>
    <w:p w:rsidR="002817F9" w:rsidRDefault="002817F9" w:rsidP="002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817F9" w:rsidRPr="00172948" w:rsidRDefault="002817F9" w:rsidP="002817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lastRenderedPageBreak/>
        <w:t>Додаток 1                                                                                                                                 до рішення сільської ради                                                                                                                                       від 09.03.2023 №29/8</w:t>
      </w: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jc w:val="right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b/>
          <w:i/>
          <w:sz w:val="28"/>
          <w:szCs w:val="28"/>
          <w:lang w:val="uk-UA"/>
        </w:rPr>
      </w:pPr>
    </w:p>
    <w:p w:rsidR="002817F9" w:rsidRPr="00737C0B" w:rsidRDefault="002817F9" w:rsidP="002817F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E41">
        <w:rPr>
          <w:rFonts w:ascii="Times New Roman" w:hAnsi="Times New Roman" w:cs="Times New Roman"/>
          <w:b/>
          <w:i/>
          <w:sz w:val="28"/>
          <w:szCs w:val="28"/>
        </w:rPr>
        <w:t xml:space="preserve">Розмір одноразової грошової допомоги медалістам та учням 9 класу, що отримали свідоцтво з відзнакою </w:t>
      </w: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jc w:val="center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tbl>
      <w:tblPr>
        <w:tblStyle w:val="a8"/>
        <w:tblpPr w:leftFromText="180" w:rightFromText="180" w:vertAnchor="text" w:horzAnchor="margin" w:tblpYSpec="bottom"/>
        <w:tblW w:w="0" w:type="auto"/>
        <w:tblLook w:val="04A0"/>
      </w:tblPr>
      <w:tblGrid>
        <w:gridCol w:w="1935"/>
        <w:gridCol w:w="2426"/>
        <w:gridCol w:w="5103"/>
      </w:tblGrid>
      <w:tr w:rsidR="002817F9" w:rsidRPr="002E2E41" w:rsidTr="003517EE">
        <w:trPr>
          <w:trHeight w:val="495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Учні 11 класу</w:t>
            </w:r>
          </w:p>
          <w:p w:rsidR="002817F9" w:rsidRPr="002E2E41" w:rsidRDefault="002817F9" w:rsidP="003517E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Учні 9 класу</w:t>
            </w:r>
          </w:p>
          <w:p w:rsidR="002817F9" w:rsidRPr="002E2E41" w:rsidRDefault="002817F9" w:rsidP="003517E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2817F9" w:rsidRPr="002E2E41" w:rsidTr="003517EE">
        <w:trPr>
          <w:trHeight w:val="465"/>
        </w:trPr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after="0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Золота медаль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Срібна медаль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 xml:space="preserve">               Свідоцтво з відзнакою</w:t>
            </w:r>
          </w:p>
        </w:tc>
      </w:tr>
      <w:tr w:rsidR="002817F9" w:rsidRPr="002E2E41" w:rsidTr="003517EE">
        <w:tc>
          <w:tcPr>
            <w:tcW w:w="1935" w:type="dxa"/>
            <w:tcBorders>
              <w:right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5103" w:type="dxa"/>
          </w:tcPr>
          <w:p w:rsidR="002817F9" w:rsidRPr="002E2E41" w:rsidRDefault="002817F9" w:rsidP="003517E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E2E41">
              <w:rPr>
                <w:sz w:val="28"/>
                <w:szCs w:val="28"/>
                <w:lang w:val="uk-UA"/>
              </w:rPr>
              <w:t>2000</w:t>
            </w:r>
          </w:p>
        </w:tc>
      </w:tr>
    </w:tbl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2817F9" w:rsidRPr="002E2E41" w:rsidSect="005015D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817F9" w:rsidRPr="00172948" w:rsidRDefault="002817F9" w:rsidP="002817F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2817F9" w:rsidRPr="00172948" w:rsidRDefault="002817F9" w:rsidP="002817F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до рішення сільської ради </w:t>
      </w:r>
    </w:p>
    <w:p w:rsidR="002817F9" w:rsidRPr="00172948" w:rsidRDefault="002817F9" w:rsidP="002817F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від 09.03.2023 №29/8</w:t>
      </w:r>
    </w:p>
    <w:p w:rsidR="002817F9" w:rsidRPr="002E2E41" w:rsidRDefault="002817F9" w:rsidP="002817F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17F9" w:rsidRPr="002E2E41" w:rsidRDefault="002817F9" w:rsidP="002817F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Розмір грошової допомоги</w:t>
      </w:r>
    </w:p>
    <w:p w:rsidR="002817F9" w:rsidRPr="002E2E41" w:rsidRDefault="002817F9" w:rsidP="002817F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2E41">
        <w:rPr>
          <w:rFonts w:ascii="Times New Roman" w:hAnsi="Times New Roman" w:cs="Times New Roman"/>
          <w:sz w:val="28"/>
          <w:szCs w:val="28"/>
        </w:rPr>
        <w:t>переможцям районних, обласних та всеукраїнських і міжнародних заходів з метою підтримки обдарованих учнів</w:t>
      </w:r>
    </w:p>
    <w:p w:rsidR="002817F9" w:rsidRPr="002E2E41" w:rsidRDefault="002817F9" w:rsidP="002817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page" w:tblpX="693" w:tblpY="4186"/>
        <w:tblW w:w="15559" w:type="dxa"/>
        <w:tblLayout w:type="fixed"/>
        <w:tblLook w:val="04A0"/>
      </w:tblPr>
      <w:tblGrid>
        <w:gridCol w:w="567"/>
        <w:gridCol w:w="567"/>
        <w:gridCol w:w="709"/>
        <w:gridCol w:w="708"/>
        <w:gridCol w:w="743"/>
        <w:gridCol w:w="709"/>
        <w:gridCol w:w="850"/>
        <w:gridCol w:w="851"/>
        <w:gridCol w:w="567"/>
        <w:gridCol w:w="567"/>
        <w:gridCol w:w="850"/>
        <w:gridCol w:w="709"/>
        <w:gridCol w:w="567"/>
        <w:gridCol w:w="567"/>
        <w:gridCol w:w="709"/>
        <w:gridCol w:w="641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2817F9" w:rsidRPr="002E2E41" w:rsidTr="001A453A">
        <w:trPr>
          <w:trHeight w:val="1130"/>
        </w:trPr>
        <w:tc>
          <w:tcPr>
            <w:tcW w:w="2551" w:type="dxa"/>
            <w:gridSpan w:val="4"/>
            <w:vAlign w:val="center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</w:rPr>
            </w:pP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</w:rPr>
            </w:pP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Олімпіади</w:t>
            </w: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</w:rPr>
            </w:pP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Конкурс-захист МАН</w:t>
            </w:r>
          </w:p>
        </w:tc>
        <w:tc>
          <w:tcPr>
            <w:tcW w:w="2693" w:type="dxa"/>
            <w:gridSpan w:val="4"/>
            <w:vAlign w:val="center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Турніри</w:t>
            </w:r>
          </w:p>
        </w:tc>
        <w:tc>
          <w:tcPr>
            <w:tcW w:w="2484" w:type="dxa"/>
            <w:gridSpan w:val="4"/>
            <w:vAlign w:val="center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Конкурси учнівської творчості</w:t>
            </w:r>
          </w:p>
        </w:tc>
        <w:tc>
          <w:tcPr>
            <w:tcW w:w="2410" w:type="dxa"/>
            <w:gridSpan w:val="4"/>
            <w:vAlign w:val="center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Спортивні та туристські змагання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F9" w:rsidRPr="002E2E41" w:rsidRDefault="002817F9" w:rsidP="001A4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Командні перемоги</w:t>
            </w:r>
          </w:p>
        </w:tc>
      </w:tr>
      <w:tr w:rsidR="002817F9" w:rsidRPr="002E2E41" w:rsidTr="001A453A">
        <w:trPr>
          <w:cantSplit/>
          <w:trHeight w:val="156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b/>
              </w:rPr>
              <w:t>міжнародні</w:t>
            </w:r>
          </w:p>
        </w:tc>
      </w:tr>
      <w:tr w:rsidR="002817F9" w:rsidRPr="002E2E41" w:rsidTr="001A453A">
        <w:trPr>
          <w:cantSplit/>
          <w:trHeight w:val="1423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641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  <w:lang w:val="en-US"/>
              </w:rPr>
              <w:t xml:space="preserve">I-III  </w:t>
            </w:r>
            <w:proofErr w:type="spellStart"/>
            <w:r w:rsidRPr="002E2E41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</w:tr>
      <w:tr w:rsidR="002817F9" w:rsidRPr="002E2E41" w:rsidTr="001A453A">
        <w:trPr>
          <w:cantSplit/>
          <w:trHeight w:val="196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1000 - 700 - 500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1000 – 700 -  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1000 - 700 - 500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17F9" w:rsidRPr="002E2E41" w:rsidRDefault="002817F9" w:rsidP="001A453A">
            <w:pPr>
              <w:ind w:left="113" w:right="113"/>
              <w:rPr>
                <w:rFonts w:ascii="Times New Roman" w:hAnsi="Times New Roman" w:cs="Times New Roman"/>
              </w:rPr>
            </w:pPr>
            <w:r w:rsidRPr="002E2E41">
              <w:rPr>
                <w:rFonts w:ascii="Times New Roman" w:hAnsi="Times New Roman" w:cs="Times New Roman"/>
              </w:rPr>
              <w:t>5000 - 4000- 3000</w:t>
            </w:r>
          </w:p>
        </w:tc>
      </w:tr>
    </w:tbl>
    <w:p w:rsidR="002817F9" w:rsidRPr="002E2E41" w:rsidRDefault="002817F9" w:rsidP="002817F9">
      <w:pPr>
        <w:spacing w:after="0"/>
        <w:rPr>
          <w:rFonts w:ascii="Times New Roman" w:hAnsi="Times New Roman" w:cs="Times New Roman"/>
          <w:sz w:val="28"/>
          <w:szCs w:val="28"/>
        </w:rPr>
        <w:sectPr w:rsidR="002817F9" w:rsidRPr="002E2E41" w:rsidSect="003517E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817F9" w:rsidRPr="00172948" w:rsidRDefault="002817F9" w:rsidP="002817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:rsidR="002817F9" w:rsidRPr="00172948" w:rsidRDefault="002817F9" w:rsidP="002817F9">
      <w:pPr>
        <w:spacing w:after="0"/>
        <w:ind w:left="5765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>до рішення сільської ради</w:t>
      </w:r>
    </w:p>
    <w:p w:rsidR="002817F9" w:rsidRPr="00172948" w:rsidRDefault="002817F9" w:rsidP="002817F9">
      <w:pPr>
        <w:spacing w:after="0"/>
        <w:ind w:left="5765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29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2948">
        <w:rPr>
          <w:rFonts w:ascii="Times New Roman" w:hAnsi="Times New Roman" w:cs="Times New Roman"/>
          <w:sz w:val="24"/>
          <w:szCs w:val="24"/>
        </w:rPr>
        <w:t xml:space="preserve"> від 09.03.2023  № 29/8     </w:t>
      </w:r>
    </w:p>
    <w:p w:rsidR="002817F9" w:rsidRPr="002E2E41" w:rsidRDefault="002817F9" w:rsidP="002817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17F9" w:rsidRDefault="002817F9" w:rsidP="002817F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b/>
          <w:sz w:val="28"/>
          <w:szCs w:val="28"/>
        </w:rPr>
        <w:t xml:space="preserve">Інформаційний лист </w:t>
      </w:r>
    </w:p>
    <w:p w:rsidR="002817F9" w:rsidRPr="002E2E41" w:rsidRDefault="002817F9" w:rsidP="002817F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b/>
          <w:sz w:val="28"/>
          <w:szCs w:val="28"/>
        </w:rPr>
        <w:t>переможця (</w:t>
      </w:r>
      <w:proofErr w:type="spellStart"/>
      <w:r w:rsidRPr="002E2E41">
        <w:rPr>
          <w:rFonts w:ascii="Times New Roman" w:hAnsi="Times New Roman" w:cs="Times New Roman"/>
          <w:b/>
          <w:sz w:val="28"/>
          <w:szCs w:val="28"/>
        </w:rPr>
        <w:t>номінанта</w:t>
      </w:r>
      <w:proofErr w:type="spellEnd"/>
      <w:r w:rsidRPr="002E2E41">
        <w:rPr>
          <w:rFonts w:ascii="Times New Roman" w:hAnsi="Times New Roman" w:cs="Times New Roman"/>
          <w:b/>
          <w:sz w:val="28"/>
          <w:szCs w:val="28"/>
        </w:rPr>
        <w:t>) районних, обласних та всеукраїнських і міжнародних заходів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851"/>
        <w:gridCol w:w="1134"/>
        <w:gridCol w:w="1701"/>
        <w:gridCol w:w="1560"/>
        <w:gridCol w:w="1275"/>
        <w:gridCol w:w="1276"/>
        <w:gridCol w:w="1701"/>
      </w:tblGrid>
      <w:tr w:rsidR="002817F9" w:rsidRPr="002E2E41" w:rsidTr="003517EE">
        <w:tc>
          <w:tcPr>
            <w:tcW w:w="39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</w:p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</w:p>
        </w:tc>
        <w:tc>
          <w:tcPr>
            <w:tcW w:w="1134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170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>Зайняте місце</w:t>
            </w:r>
          </w:p>
        </w:tc>
        <w:tc>
          <w:tcPr>
            <w:tcW w:w="1276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 xml:space="preserve"> ПІБ керівника, вчителя</w:t>
            </w:r>
          </w:p>
        </w:tc>
        <w:tc>
          <w:tcPr>
            <w:tcW w:w="170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4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Контактний телефон </w:t>
            </w:r>
          </w:p>
        </w:tc>
      </w:tr>
      <w:tr w:rsidR="002817F9" w:rsidRPr="002E2E41" w:rsidTr="003517EE">
        <w:tc>
          <w:tcPr>
            <w:tcW w:w="39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17F9" w:rsidRPr="002E2E41" w:rsidRDefault="002817F9" w:rsidP="00351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2E2E41" w:rsidRDefault="002817F9" w:rsidP="002817F9">
      <w:pPr>
        <w:pStyle w:val="a4"/>
        <w:spacing w:before="0" w:beforeAutospacing="0" w:after="0" w:afterAutospacing="0"/>
        <w:ind w:left="5664"/>
        <w:rPr>
          <w:sz w:val="28"/>
          <w:szCs w:val="28"/>
          <w:lang w:val="uk-UA"/>
        </w:rPr>
      </w:pPr>
    </w:p>
    <w:p w:rsidR="002817F9" w:rsidRPr="00172948" w:rsidRDefault="002817F9" w:rsidP="00281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72948">
        <w:rPr>
          <w:rFonts w:ascii="Times New Roman" w:hAnsi="Times New Roman" w:cs="Times New Roman"/>
          <w:sz w:val="24"/>
          <w:szCs w:val="24"/>
        </w:rPr>
        <w:t>Додаток 4</w:t>
      </w:r>
    </w:p>
    <w:p w:rsidR="002817F9" w:rsidRPr="00172948" w:rsidRDefault="002817F9" w:rsidP="002817F9">
      <w:pPr>
        <w:spacing w:after="0" w:line="240" w:lineRule="auto"/>
        <w:ind w:left="5765"/>
        <w:jc w:val="right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>до рішення сільської ради</w:t>
      </w:r>
    </w:p>
    <w:p w:rsidR="002817F9" w:rsidRPr="00172948" w:rsidRDefault="002817F9" w:rsidP="002817F9">
      <w:pPr>
        <w:spacing w:after="0" w:line="240" w:lineRule="auto"/>
        <w:ind w:left="5765"/>
        <w:rPr>
          <w:rFonts w:ascii="Times New Roman" w:hAnsi="Times New Roman" w:cs="Times New Roman"/>
          <w:sz w:val="24"/>
          <w:szCs w:val="24"/>
        </w:rPr>
      </w:pPr>
      <w:r w:rsidRPr="001729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9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2948">
        <w:rPr>
          <w:rFonts w:ascii="Times New Roman" w:hAnsi="Times New Roman" w:cs="Times New Roman"/>
          <w:sz w:val="24"/>
          <w:szCs w:val="24"/>
        </w:rPr>
        <w:t xml:space="preserve">  від 09.03.2023  № 29/8     </w:t>
      </w:r>
    </w:p>
    <w:p w:rsidR="002817F9" w:rsidRPr="002E2E41" w:rsidRDefault="002817F9" w:rsidP="002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17F9" w:rsidRPr="00195421" w:rsidRDefault="002817F9" w:rsidP="002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21">
        <w:rPr>
          <w:rFonts w:ascii="Times New Roman" w:hAnsi="Times New Roman" w:cs="Times New Roman"/>
          <w:b/>
          <w:sz w:val="28"/>
          <w:szCs w:val="28"/>
        </w:rPr>
        <w:t xml:space="preserve">використання коштів сільського бюджету на фінансування Положення </w:t>
      </w:r>
      <w:r w:rsidRPr="00195421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Pr="00195421">
        <w:rPr>
          <w:rFonts w:ascii="Times New Roman" w:hAnsi="Times New Roman" w:cs="Times New Roman"/>
          <w:b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:rsidR="002817F9" w:rsidRDefault="002817F9" w:rsidP="0028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7F9" w:rsidRPr="00583547" w:rsidRDefault="002817F9" w:rsidP="0028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47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:rsidR="002817F9" w:rsidRPr="002E2E41" w:rsidRDefault="002817F9" w:rsidP="002817F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1.1.Порядок надання і використання коштів сільського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2E2E41">
        <w:rPr>
          <w:rFonts w:ascii="Times New Roman" w:hAnsi="Times New Roman" w:cs="Times New Roman"/>
          <w:sz w:val="28"/>
          <w:szCs w:val="28"/>
        </w:rPr>
        <w:t xml:space="preserve">на фінансування Положення </w:t>
      </w:r>
      <w:r w:rsidRPr="002E2E4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E2E41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  <w:r w:rsidRPr="002E2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E41">
        <w:rPr>
          <w:rFonts w:ascii="Times New Roman" w:hAnsi="Times New Roman" w:cs="Times New Roman"/>
          <w:sz w:val="28"/>
          <w:szCs w:val="28"/>
        </w:rPr>
        <w:t xml:space="preserve"> розроблено на виконання Програми розвитку освіти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ради (далі - Програма), статті 91 Бюджетного кодексу України, та з метою створення стимулюючих умов для підтримки обдарованих та активних учнів, стимулювання їх до успішного навчання та  забезпечення їх участі у змаганнях, олімпіадах, спортивних змаганнях, конкурсах, тощо. 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1.2.Порядок визначає і регулює механізм використання коштів бюджету  сільської ради на фінансування заходів Програми.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1.3.Головним розпорядником коштів бюджету сільської ради, які виділяються на реалізацію </w:t>
      </w:r>
      <w:r>
        <w:rPr>
          <w:rFonts w:ascii="Times New Roman" w:hAnsi="Times New Roman" w:cs="Times New Roman"/>
          <w:sz w:val="28"/>
          <w:szCs w:val="28"/>
        </w:rPr>
        <w:t xml:space="preserve">заходів, передбачених Програмою </w:t>
      </w:r>
      <w:r w:rsidRPr="002E2E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сільська рада</w:t>
      </w:r>
      <w:r w:rsidRPr="002E2E41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817F9" w:rsidRDefault="002817F9" w:rsidP="002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F9" w:rsidRPr="002E2E41" w:rsidRDefault="002817F9" w:rsidP="002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b/>
          <w:sz w:val="28"/>
          <w:szCs w:val="28"/>
        </w:rPr>
        <w:t>2. Напрями спрямування коштів сільського бюджету</w:t>
      </w:r>
    </w:p>
    <w:p w:rsidR="002817F9" w:rsidRPr="002E2E41" w:rsidRDefault="002817F9" w:rsidP="00281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E41">
        <w:rPr>
          <w:rFonts w:ascii="Times New Roman" w:hAnsi="Times New Roman" w:cs="Times New Roman"/>
          <w:sz w:val="28"/>
          <w:szCs w:val="28"/>
        </w:rPr>
        <w:t>2.1.Відповідно до Поряд</w:t>
      </w:r>
      <w:r>
        <w:rPr>
          <w:rFonts w:ascii="Times New Roman" w:hAnsi="Times New Roman" w:cs="Times New Roman"/>
          <w:sz w:val="28"/>
          <w:szCs w:val="28"/>
        </w:rPr>
        <w:t>ку бюджетні кошти спрямовуються</w:t>
      </w:r>
      <w:r w:rsidRPr="002E2E41">
        <w:rPr>
          <w:rFonts w:ascii="Times New Roman" w:hAnsi="Times New Roman" w:cs="Times New Roman"/>
          <w:sz w:val="28"/>
          <w:szCs w:val="28"/>
        </w:rPr>
        <w:t xml:space="preserve"> на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надання одноразової грошової виплати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підтримки  обдарованих  та активних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закладів освіти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</w:t>
      </w:r>
      <w:proofErr w:type="spellEnd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ради, стимулювання їх до успішного навчання, участі у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інтелектуальних та спортивних турнірах різного рівня, конкурсах, олімпіадах, змаганнях тощо шляхом перерахування коштів на карткові рахунки учнів або батьків згідно представлених реквізитів. </w:t>
      </w:r>
    </w:p>
    <w:p w:rsidR="002817F9" w:rsidRPr="002E2E41" w:rsidRDefault="002817F9" w:rsidP="002817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2.2.Одноразова г</w:t>
      </w:r>
      <w:r w:rsidRPr="002E2E41">
        <w:rPr>
          <w:rFonts w:ascii="Times New Roman" w:hAnsi="Times New Roman" w:cs="Times New Roman"/>
          <w:sz w:val="28"/>
          <w:szCs w:val="28"/>
        </w:rPr>
        <w:t xml:space="preserve">рошова допомога  запроваджується з метою стимулювання учнів до успішного навчання.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Розмір фінансової підтримки (грошової винагороди) визначається сумарно за зайняті призові місця,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передбачені додатками 1-3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сесії сільської ради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E41">
        <w:rPr>
          <w:rFonts w:ascii="Times New Roman" w:hAnsi="Times New Roman" w:cs="Times New Roman"/>
          <w:sz w:val="28"/>
          <w:szCs w:val="28"/>
        </w:rPr>
        <w:t>2.3.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призначення грошової виплати гуманітарному відділу </w:t>
      </w:r>
      <w:proofErr w:type="spellStart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Вишнівської</w:t>
      </w:r>
      <w:proofErr w:type="spellEnd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 </w:t>
      </w:r>
      <w:r w:rsidRPr="002E2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 1 травня поточного року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клопотання та інфор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маційні листи переможців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  на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ім’я 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сільського голови. Дана інформація є підставою і використовується для узагальнення і виділення коштів та для підготовки сторінки на сайті </w:t>
      </w:r>
      <w:proofErr w:type="spellStart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Вишнівської</w:t>
      </w:r>
      <w:proofErr w:type="spellEnd"/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сільської територіальної громади про учнів – переможців та педагогічних працівників, які сприяли цьому. </w:t>
      </w:r>
    </w:p>
    <w:p w:rsidR="002817F9" w:rsidRPr="002E2E41" w:rsidRDefault="002817F9" w:rsidP="002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2.3.1.Учень, якому буде надана одноразова грошова виплата, отримує її на  відкритий у фінансовій установі України картковий рахунок його, або його батьків/уповноваженої особи після вручення </w:t>
      </w:r>
      <w:r w:rsidRPr="002E2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відповідного сертифіката за </w:t>
      </w:r>
      <w:r w:rsidRPr="002E2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підписом сільського голови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загальношкільному або іншому заході </w:t>
      </w:r>
      <w:r w:rsidRPr="002E2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 раз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завершенню навчального року.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       Кошти спрямовуються на підставі розпорядження сільського голови на карткові рахунки у банку в національній валюті України після прийняття рішення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Вишнівською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сільською радою щодо виділення цих коштів. 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2.</w:t>
      </w:r>
      <w:r w:rsidRPr="002E2E4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E2E41">
        <w:rPr>
          <w:rFonts w:ascii="Times New Roman" w:hAnsi="Times New Roman" w:cs="Times New Roman"/>
          <w:sz w:val="28"/>
          <w:szCs w:val="28"/>
        </w:rPr>
        <w:t xml:space="preserve">.2.Для отримання одноразової грошової виплати переможцям </w:t>
      </w:r>
      <w:r>
        <w:rPr>
          <w:rFonts w:ascii="Times New Roman" w:hAnsi="Times New Roman" w:cs="Times New Roman"/>
          <w:sz w:val="28"/>
          <w:szCs w:val="28"/>
        </w:rPr>
        <w:t xml:space="preserve"> керівники </w:t>
      </w:r>
      <w:r w:rsidRPr="002E2E41">
        <w:rPr>
          <w:rFonts w:ascii="Times New Roman" w:hAnsi="Times New Roman" w:cs="Times New Roman"/>
          <w:sz w:val="28"/>
          <w:szCs w:val="28"/>
        </w:rPr>
        <w:t xml:space="preserve">заклади освіти подають наступні документи гуманітарному відділу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ради: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-    клопотання дирекції закладу про відзначення учнів;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- згоду на збір та обробку персональних даних переможця, або його уповноваженої особи (батьків)</w:t>
      </w:r>
      <w:r w:rsidRPr="002E2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E2E41">
        <w:rPr>
          <w:rFonts w:ascii="Times New Roman" w:hAnsi="Times New Roman" w:cs="Times New Roman"/>
          <w:sz w:val="28"/>
          <w:szCs w:val="28"/>
        </w:rPr>
        <w:t xml:space="preserve"> власника карткового рахунку;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-    довідку з банку про номер карткового рахунку </w:t>
      </w:r>
      <w:r w:rsidRPr="002E2E41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2E2E41">
        <w:rPr>
          <w:rFonts w:ascii="Times New Roman" w:hAnsi="Times New Roman" w:cs="Times New Roman"/>
          <w:sz w:val="28"/>
          <w:szCs w:val="28"/>
        </w:rPr>
        <w:t xml:space="preserve"> (</w:t>
      </w:r>
      <w:r w:rsidRPr="002E2E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2E2E41">
        <w:rPr>
          <w:rFonts w:ascii="Times New Roman" w:hAnsi="Times New Roman" w:cs="Times New Roman"/>
          <w:sz w:val="28"/>
          <w:szCs w:val="28"/>
        </w:rPr>
        <w:t>…………………..);</w:t>
      </w:r>
    </w:p>
    <w:p w:rsidR="002817F9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- копію паспорта та копія ідентифікаційного номера переможця або одного з батьків/уповноваженої особи;</w:t>
      </w:r>
    </w:p>
    <w:p w:rsidR="002817F9" w:rsidRPr="002E2E41" w:rsidRDefault="002817F9" w:rsidP="002817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      Фінансування видатків, затверджених на реалізацію заходів Положення здійснюється відповідно до річного та помісячного розпису асигнувань  бюджету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громади. 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2.4.Видатки на реалізацію заходів Положення здійснюються відповідно до Порядку казначейського обслуговування місцевих бюджетів за видатками,  від 12 09.2012 року № 938.</w:t>
      </w:r>
    </w:p>
    <w:p w:rsidR="002817F9" w:rsidRPr="002E2E41" w:rsidRDefault="002817F9" w:rsidP="002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b/>
          <w:sz w:val="28"/>
          <w:szCs w:val="28"/>
        </w:rPr>
        <w:t>3. Відповідальність, звітність і контроль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3.1.Складання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Положення в установленому законодавством порядку.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>3.2.За нецільове та неефективне використання коштів бюджету сільської ради, невідповідність їх плановим призначенням, наступає відповідальність, передбачена чинним законодавством України.</w:t>
      </w:r>
    </w:p>
    <w:p w:rsidR="002817F9" w:rsidRPr="002E2E41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3.3.Контроль за цільовим використанням коштів бюджету </w:t>
      </w:r>
      <w:proofErr w:type="spellStart"/>
      <w:r w:rsidRPr="002E2E4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E2E41">
        <w:rPr>
          <w:rFonts w:ascii="Times New Roman" w:hAnsi="Times New Roman" w:cs="Times New Roman"/>
          <w:sz w:val="28"/>
          <w:szCs w:val="28"/>
        </w:rPr>
        <w:t xml:space="preserve"> сільської  ради, згідно з цим Порядком, здійснює головний розпорядник коштів.</w:t>
      </w:r>
    </w:p>
    <w:p w:rsidR="002817F9" w:rsidRDefault="002817F9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8ED" w:rsidRPr="002E2E41" w:rsidRDefault="00FB68ED" w:rsidP="0028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948" w:rsidRDefault="002817F9" w:rsidP="00FB6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41">
        <w:rPr>
          <w:rFonts w:ascii="Times New Roman" w:hAnsi="Times New Roman" w:cs="Times New Roman"/>
          <w:sz w:val="28"/>
          <w:szCs w:val="28"/>
        </w:rPr>
        <w:t xml:space="preserve"> </w:t>
      </w:r>
      <w:r w:rsidRPr="002817F9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2817F9" w:rsidRPr="002817F9" w:rsidRDefault="002817F9" w:rsidP="00FB68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17F9">
        <w:rPr>
          <w:rFonts w:ascii="Times New Roman" w:hAnsi="Times New Roman" w:cs="Times New Roman"/>
          <w:b/>
          <w:sz w:val="28"/>
          <w:szCs w:val="28"/>
        </w:rPr>
        <w:t xml:space="preserve">гуманітарного відділу                </w:t>
      </w:r>
      <w:r w:rsidR="001729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17F9">
        <w:rPr>
          <w:rFonts w:ascii="Times New Roman" w:hAnsi="Times New Roman" w:cs="Times New Roman"/>
          <w:b/>
          <w:sz w:val="28"/>
          <w:szCs w:val="28"/>
        </w:rPr>
        <w:t xml:space="preserve">                              Олена ПАСАМАН</w:t>
      </w:r>
    </w:p>
    <w:p w:rsidR="00DF7FA0" w:rsidRPr="002817F9" w:rsidRDefault="00DF7FA0" w:rsidP="002817F9">
      <w:pPr>
        <w:rPr>
          <w:szCs w:val="28"/>
        </w:rPr>
      </w:pPr>
    </w:p>
    <w:sectPr w:rsidR="00DF7FA0" w:rsidRPr="002817F9" w:rsidSect="00501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12B"/>
    <w:multiLevelType w:val="multilevel"/>
    <w:tmpl w:val="9F6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43819"/>
    <w:multiLevelType w:val="hybridMultilevel"/>
    <w:tmpl w:val="5964B862"/>
    <w:lvl w:ilvl="0" w:tplc="A6104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B1E50"/>
    <w:multiLevelType w:val="hybridMultilevel"/>
    <w:tmpl w:val="4920A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D33106"/>
    <w:multiLevelType w:val="hybridMultilevel"/>
    <w:tmpl w:val="86B4489E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726D"/>
    <w:rsid w:val="00135B71"/>
    <w:rsid w:val="00172948"/>
    <w:rsid w:val="001749D8"/>
    <w:rsid w:val="001A453A"/>
    <w:rsid w:val="001B46A1"/>
    <w:rsid w:val="00206A3B"/>
    <w:rsid w:val="00226762"/>
    <w:rsid w:val="002817F9"/>
    <w:rsid w:val="002D0F1A"/>
    <w:rsid w:val="002E5FBE"/>
    <w:rsid w:val="0032712A"/>
    <w:rsid w:val="003517EE"/>
    <w:rsid w:val="00386466"/>
    <w:rsid w:val="004032EB"/>
    <w:rsid w:val="005015D9"/>
    <w:rsid w:val="005D33B2"/>
    <w:rsid w:val="005E0F34"/>
    <w:rsid w:val="00871639"/>
    <w:rsid w:val="00910CCE"/>
    <w:rsid w:val="009238AA"/>
    <w:rsid w:val="00984E0A"/>
    <w:rsid w:val="009B64C9"/>
    <w:rsid w:val="009D3804"/>
    <w:rsid w:val="00B67F0A"/>
    <w:rsid w:val="00C02840"/>
    <w:rsid w:val="00D253CC"/>
    <w:rsid w:val="00D54899"/>
    <w:rsid w:val="00D77571"/>
    <w:rsid w:val="00D950A8"/>
    <w:rsid w:val="00DF7FA0"/>
    <w:rsid w:val="00E50F1E"/>
    <w:rsid w:val="00F439DE"/>
    <w:rsid w:val="00FB68ED"/>
    <w:rsid w:val="00FC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FC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726D"/>
    <w:pPr>
      <w:ind w:left="720"/>
      <w:contextualSpacing/>
    </w:pPr>
  </w:style>
  <w:style w:type="paragraph" w:styleId="a4">
    <w:name w:val="Normal (Web)"/>
    <w:basedOn w:val="a"/>
    <w:uiPriority w:val="99"/>
    <w:rsid w:val="00FC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6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2D0F1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0F1A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table" w:styleId="a8">
    <w:name w:val="Table Grid"/>
    <w:basedOn w:val="a1"/>
    <w:uiPriority w:val="59"/>
    <w:rsid w:val="00174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FE32-E586-4EE8-B82C-EDFD90C5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8194</Words>
  <Characters>4671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pasaman</cp:lastModifiedBy>
  <cp:revision>20</cp:revision>
  <cp:lastPrinted>2023-03-24T13:37:00Z</cp:lastPrinted>
  <dcterms:created xsi:type="dcterms:W3CDTF">2023-02-15T09:57:00Z</dcterms:created>
  <dcterms:modified xsi:type="dcterms:W3CDTF">2023-03-24T13:48:00Z</dcterms:modified>
</cp:coreProperties>
</file>