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6B" w:rsidRPr="00952473" w:rsidRDefault="00774B6B" w:rsidP="00774B6B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B6B" w:rsidRPr="00952473" w:rsidRDefault="00774B6B" w:rsidP="00774B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774B6B" w:rsidRPr="00952473" w:rsidRDefault="00774B6B" w:rsidP="00774B6B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774B6B" w:rsidRPr="00952473" w:rsidRDefault="00774B6B" w:rsidP="00774B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28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774B6B" w:rsidRPr="00952473" w:rsidRDefault="00774B6B" w:rsidP="00774B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774B6B" w:rsidRPr="00952473" w:rsidRDefault="00774B6B" w:rsidP="00774B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774B6B" w:rsidRPr="00952473" w:rsidRDefault="00197350" w:rsidP="00774B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774B6B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7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грудня </w:t>
      </w:r>
      <w:r w:rsidR="00774B6B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774B6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4B6B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</w:t>
      </w:r>
      <w:r w:rsidR="0077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774B6B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с. Вишнів                   </w:t>
      </w:r>
      <w:r w:rsidR="0077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77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774B6B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№</w:t>
      </w:r>
      <w:r w:rsidR="00774B6B">
        <w:rPr>
          <w:rFonts w:ascii="Times New Roman" w:eastAsia="Calibri" w:hAnsi="Times New Roman" w:cs="Times New Roman"/>
          <w:sz w:val="28"/>
          <w:szCs w:val="28"/>
          <w:lang w:eastAsia="ru-RU"/>
        </w:rPr>
        <w:t>28/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774B6B" w:rsidRDefault="00774B6B" w:rsidP="00774B6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774B6B" w:rsidRPr="003451BE" w:rsidRDefault="00774B6B" w:rsidP="00774B6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3451BE">
        <w:rPr>
          <w:rFonts w:ascii="Times New Roman" w:hAnsi="Times New Roman"/>
          <w:b/>
          <w:sz w:val="28"/>
          <w:szCs w:val="28"/>
        </w:rPr>
        <w:t>Про затвердження Програми</w:t>
      </w:r>
    </w:p>
    <w:p w:rsidR="00774B6B" w:rsidRPr="003451BE" w:rsidRDefault="006A3335" w:rsidP="00774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774B6B">
        <w:rPr>
          <w:rFonts w:ascii="Times New Roman" w:hAnsi="Times New Roman"/>
          <w:b/>
          <w:sz w:val="28"/>
          <w:szCs w:val="28"/>
        </w:rPr>
        <w:t xml:space="preserve">інансової </w:t>
      </w:r>
      <w:r w:rsidR="00774B6B" w:rsidRPr="003451BE">
        <w:rPr>
          <w:rFonts w:ascii="Times New Roman" w:hAnsi="Times New Roman"/>
          <w:b/>
          <w:sz w:val="28"/>
          <w:szCs w:val="28"/>
        </w:rPr>
        <w:t>підтримки  Трудового архіву</w:t>
      </w:r>
    </w:p>
    <w:p w:rsidR="00774B6B" w:rsidRDefault="00774B6B" w:rsidP="00774B6B">
      <w:pPr>
        <w:spacing w:after="0" w:line="240" w:lineRule="auto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774B6B" w:rsidRPr="006C07EF" w:rsidRDefault="00774B6B" w:rsidP="00774B6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907">
        <w:rPr>
          <w:rFonts w:ascii="Times New Roman" w:hAnsi="Times New Roman"/>
          <w:sz w:val="28"/>
          <w:szCs w:val="28"/>
          <w:lang w:val="uk-UA"/>
        </w:rPr>
        <w:t xml:space="preserve">Керуючись статтею 20 Бюджетного кодексу України, підпунктом  22 частини першої статті 26  Закону України «Про місцеве самоврядування в Україні», Закону України «Про національний архівний фонд та архівні установи» (зі змінами), з метою забезпечення збереженості документів з кадрових питань (особового складу) суб’єктів господарської діяльності незалежно від форм власності майна та підпорядкування або ліквідованих підприємств, установ та організацій, що діяли, розташовані на території </w:t>
      </w:r>
      <w:r w:rsidRPr="00C8356C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Pr="00326907">
        <w:rPr>
          <w:rFonts w:ascii="Times New Roman" w:hAnsi="Times New Roman"/>
          <w:sz w:val="28"/>
          <w:szCs w:val="28"/>
          <w:lang w:val="uk-UA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Вишнівська</w:t>
      </w:r>
      <w:proofErr w:type="spellEnd"/>
      <w:r w:rsidRPr="006C07EF">
        <w:rPr>
          <w:rFonts w:ascii="Times New Roman" w:hAnsi="Times New Roman"/>
          <w:sz w:val="28"/>
          <w:szCs w:val="28"/>
          <w:lang w:val="uk-UA"/>
        </w:rPr>
        <w:t xml:space="preserve">  сільська рада</w:t>
      </w:r>
    </w:p>
    <w:p w:rsidR="00774B6B" w:rsidRPr="00326907" w:rsidRDefault="00774B6B" w:rsidP="00774B6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4B6B" w:rsidRPr="003451BE" w:rsidRDefault="00774B6B" w:rsidP="00774B6B">
      <w:pPr>
        <w:rPr>
          <w:rFonts w:ascii="Times New Roman" w:hAnsi="Times New Roman"/>
          <w:b/>
          <w:sz w:val="28"/>
          <w:szCs w:val="28"/>
        </w:rPr>
      </w:pPr>
      <w:r w:rsidRPr="003451BE">
        <w:rPr>
          <w:rFonts w:ascii="Times New Roman" w:hAnsi="Times New Roman"/>
          <w:b/>
          <w:sz w:val="28"/>
          <w:szCs w:val="28"/>
        </w:rPr>
        <w:t>ВИРІШИЛА:</w:t>
      </w:r>
    </w:p>
    <w:p w:rsidR="00774B6B" w:rsidRPr="00C16578" w:rsidRDefault="00774B6B" w:rsidP="000447F6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16578">
        <w:rPr>
          <w:rFonts w:ascii="Times New Roman" w:hAnsi="Times New Roman"/>
          <w:bCs/>
          <w:sz w:val="28"/>
          <w:szCs w:val="28"/>
        </w:rPr>
        <w:t>Затвердити Програму фінансової підтримки Трудового архіву на 2023-2025 роки, що додається.</w:t>
      </w:r>
    </w:p>
    <w:p w:rsidR="000447F6" w:rsidRPr="000447F6" w:rsidRDefault="000447F6" w:rsidP="000447F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00" w:afterAutospacing="1" w:line="240" w:lineRule="auto"/>
        <w:ind w:left="0" w:right="227" w:firstLine="426"/>
        <w:rPr>
          <w:rFonts w:ascii="Times New Roman" w:hAnsi="Times New Roman" w:cs="Times New Roman"/>
          <w:sz w:val="28"/>
          <w:szCs w:val="28"/>
        </w:rPr>
      </w:pPr>
      <w:r w:rsidRPr="000447F6">
        <w:rPr>
          <w:rFonts w:ascii="Times New Roman" w:hAnsi="Times New Roman" w:cs="Times New Roman"/>
          <w:sz w:val="28"/>
          <w:szCs w:val="28"/>
        </w:rPr>
        <w:t>Відділу фінансів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Pr="000447F6">
        <w:rPr>
          <w:rFonts w:ascii="Times New Roman" w:hAnsi="Times New Roman" w:cs="Times New Roman"/>
          <w:sz w:val="28"/>
          <w:szCs w:val="28"/>
        </w:rPr>
        <w:t xml:space="preserve"> щорічно включати до проекту сільського бюджету видатки на фінансування заходів, передбачених вищезазначеною Програмою, в межах фінансових можливостей бюджету.</w:t>
      </w:r>
    </w:p>
    <w:p w:rsidR="00774B6B" w:rsidRPr="00C16578" w:rsidRDefault="00774B6B" w:rsidP="000447F6">
      <w:pPr>
        <w:numPr>
          <w:ilvl w:val="0"/>
          <w:numId w:val="1"/>
        </w:numPr>
        <w:tabs>
          <w:tab w:val="clear" w:pos="720"/>
          <w:tab w:val="num" w:pos="-426"/>
          <w:tab w:val="left" w:pos="851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578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:rsidR="00774B6B" w:rsidRDefault="00774B6B" w:rsidP="00774B6B">
      <w:pPr>
        <w:pStyle w:val="a3"/>
        <w:rPr>
          <w:rFonts w:ascii="Times New Roman" w:hAnsi="Times New Roman"/>
          <w:sz w:val="28"/>
          <w:szCs w:val="28"/>
        </w:rPr>
      </w:pPr>
    </w:p>
    <w:p w:rsidR="00D6094B" w:rsidRPr="00C16578" w:rsidRDefault="00C16578" w:rsidP="00774B6B">
      <w:pPr>
        <w:tabs>
          <w:tab w:val="left" w:pos="851"/>
        </w:tabs>
        <w:suppressAutoHyphens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578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Віктор СУЩИК</w:t>
      </w:r>
      <w:r w:rsidR="00774B6B" w:rsidRPr="00C165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6094B" w:rsidRDefault="00D6094B" w:rsidP="00774B6B">
      <w:pPr>
        <w:tabs>
          <w:tab w:val="left" w:pos="851"/>
        </w:tabs>
        <w:suppressAutoHyphens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6094B" w:rsidRDefault="00D6094B" w:rsidP="00774B6B">
      <w:pPr>
        <w:tabs>
          <w:tab w:val="left" w:pos="851"/>
        </w:tabs>
        <w:suppressAutoHyphens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6094B" w:rsidRDefault="00D6094B" w:rsidP="00774B6B">
      <w:pPr>
        <w:tabs>
          <w:tab w:val="left" w:pos="851"/>
        </w:tabs>
        <w:suppressAutoHyphens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6094B" w:rsidRDefault="00D6094B" w:rsidP="00774B6B">
      <w:pPr>
        <w:tabs>
          <w:tab w:val="left" w:pos="851"/>
        </w:tabs>
        <w:suppressAutoHyphens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6094B" w:rsidRDefault="00D6094B" w:rsidP="00774B6B">
      <w:pPr>
        <w:tabs>
          <w:tab w:val="left" w:pos="851"/>
        </w:tabs>
        <w:suppressAutoHyphens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6094B" w:rsidRDefault="00D6094B" w:rsidP="00774B6B">
      <w:pPr>
        <w:tabs>
          <w:tab w:val="left" w:pos="851"/>
        </w:tabs>
        <w:suppressAutoHyphens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6094B" w:rsidRDefault="00D6094B" w:rsidP="00774B6B">
      <w:pPr>
        <w:tabs>
          <w:tab w:val="left" w:pos="851"/>
        </w:tabs>
        <w:suppressAutoHyphens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6094B" w:rsidRDefault="00D6094B" w:rsidP="00774B6B">
      <w:pPr>
        <w:tabs>
          <w:tab w:val="left" w:pos="851"/>
        </w:tabs>
        <w:suppressAutoHyphens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B563F" w:rsidRDefault="000B563F" w:rsidP="00774B6B">
      <w:pPr>
        <w:tabs>
          <w:tab w:val="left" w:pos="851"/>
        </w:tabs>
        <w:suppressAutoHyphens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B563F" w:rsidRDefault="000B563F" w:rsidP="00774B6B">
      <w:pPr>
        <w:tabs>
          <w:tab w:val="left" w:pos="851"/>
        </w:tabs>
        <w:suppressAutoHyphens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74B6B" w:rsidRPr="006C07EF" w:rsidRDefault="00D6094B" w:rsidP="00D6094B">
      <w:pPr>
        <w:tabs>
          <w:tab w:val="left" w:pos="851"/>
        </w:tabs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774B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774B6B">
        <w:rPr>
          <w:rFonts w:ascii="Times New Roman" w:hAnsi="Times New Roman" w:cs="Times New Roman"/>
          <w:sz w:val="20"/>
          <w:szCs w:val="20"/>
        </w:rPr>
        <w:t xml:space="preserve">  </w:t>
      </w:r>
      <w:r w:rsidR="00774B6B" w:rsidRPr="0091201C">
        <w:rPr>
          <w:rFonts w:ascii="Times New Roman" w:hAnsi="Times New Roman" w:cs="Times New Roman"/>
          <w:sz w:val="20"/>
          <w:szCs w:val="20"/>
        </w:rPr>
        <w:t>ЗАТВЕРДЖЕНО</w:t>
      </w:r>
    </w:p>
    <w:p w:rsidR="00774B6B" w:rsidRDefault="00774B6B" w:rsidP="00D609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201C">
        <w:rPr>
          <w:rFonts w:ascii="Times New Roman" w:hAnsi="Times New Roman" w:cs="Times New Roman"/>
          <w:sz w:val="20"/>
          <w:szCs w:val="20"/>
        </w:rPr>
        <w:t xml:space="preserve"> рішенням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Вишнівської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сільської </w:t>
      </w:r>
      <w:r w:rsidRPr="0091201C">
        <w:rPr>
          <w:rFonts w:ascii="Times New Roman" w:hAnsi="Times New Roman" w:cs="Times New Roman"/>
          <w:sz w:val="20"/>
          <w:szCs w:val="20"/>
        </w:rPr>
        <w:t>ради</w:t>
      </w:r>
    </w:p>
    <w:p w:rsidR="00774B6B" w:rsidRPr="0091201C" w:rsidRDefault="00774B6B" w:rsidP="00D609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201C">
        <w:rPr>
          <w:rFonts w:ascii="Times New Roman" w:hAnsi="Times New Roman" w:cs="Times New Roman"/>
          <w:sz w:val="20"/>
          <w:szCs w:val="20"/>
        </w:rPr>
        <w:t xml:space="preserve"> від</w:t>
      </w:r>
      <w:r w:rsidR="00D6094B">
        <w:rPr>
          <w:rFonts w:ascii="Times New Roman" w:hAnsi="Times New Roman" w:cs="Times New Roman"/>
          <w:sz w:val="20"/>
          <w:szCs w:val="20"/>
        </w:rPr>
        <w:t xml:space="preserve"> 23.12.2022року</w:t>
      </w:r>
      <w:r w:rsidRPr="0091201C">
        <w:rPr>
          <w:rFonts w:ascii="Times New Roman" w:hAnsi="Times New Roman" w:cs="Times New Roman"/>
          <w:sz w:val="20"/>
          <w:szCs w:val="20"/>
        </w:rPr>
        <w:t xml:space="preserve"> №</w:t>
      </w:r>
      <w:r w:rsidR="00D6094B">
        <w:rPr>
          <w:rFonts w:ascii="Times New Roman" w:hAnsi="Times New Roman" w:cs="Times New Roman"/>
          <w:sz w:val="20"/>
          <w:szCs w:val="20"/>
        </w:rPr>
        <w:t>28/</w:t>
      </w:r>
      <w:r w:rsidR="00197350">
        <w:rPr>
          <w:rFonts w:ascii="Times New Roman" w:hAnsi="Times New Roman" w:cs="Times New Roman"/>
          <w:sz w:val="20"/>
          <w:szCs w:val="20"/>
        </w:rPr>
        <w:t>6</w:t>
      </w:r>
      <w:r w:rsidRPr="009120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B6B" w:rsidRDefault="00774B6B" w:rsidP="00D609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3F" w:rsidRDefault="000B563F" w:rsidP="00D609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6B" w:rsidRPr="000B563F" w:rsidRDefault="00774B6B" w:rsidP="00774B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63F">
        <w:rPr>
          <w:rFonts w:ascii="Times New Roman" w:hAnsi="Times New Roman" w:cs="Times New Roman"/>
          <w:b/>
          <w:sz w:val="32"/>
          <w:szCs w:val="32"/>
        </w:rPr>
        <w:t>ПРОГРАМА ФІНАНСОВОЇ ПІДТРИМКИ ТРУДОВОГО АРХІВУ на 2021-2025 роки</w:t>
      </w:r>
    </w:p>
    <w:p w:rsidR="00774B6B" w:rsidRDefault="00774B6B" w:rsidP="00774B6B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6B" w:rsidRPr="00EC7AC1" w:rsidRDefault="00774B6B" w:rsidP="00774B6B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C1">
        <w:rPr>
          <w:rFonts w:ascii="Times New Roman" w:hAnsi="Times New Roman" w:cs="Times New Roman"/>
          <w:b/>
          <w:sz w:val="28"/>
          <w:szCs w:val="28"/>
        </w:rPr>
        <w:t>ЗАГАЛЬНІ  ПОЛОЖЕННЯ</w:t>
      </w:r>
    </w:p>
    <w:p w:rsidR="00774B6B" w:rsidRDefault="00774B6B" w:rsidP="00792779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Архівна справа є важливою складовою інформаційної та культурної сфери життєдіяльності суспільства, що охоплює наукові, організаційні, правові, технологічні, економічні та інші питання, пов’язані з нагромадження, обліком, зберіганням юридичними та фізичними особами документів та використання відомостей, що в них містяться. Як частина соціальної інфраструктури суспільства архівна справа постійно зазнає впливів домінуючих у ньому явищ, змін і тенденцій. У зв’язку з цим виникає необхідність визначення шляхів її вдосконалення і подальшого розвитку на перспективу. Програма діяльності та утримання </w:t>
      </w:r>
      <w:r w:rsidR="006A3335">
        <w:rPr>
          <w:rFonts w:ascii="Times New Roman" w:hAnsi="Times New Roman" w:cs="Times New Roman"/>
          <w:sz w:val="28"/>
          <w:szCs w:val="28"/>
        </w:rPr>
        <w:t>Трудового Архіву</w:t>
      </w:r>
      <w:r w:rsidRPr="0091201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201C">
        <w:rPr>
          <w:rFonts w:ascii="Times New Roman" w:hAnsi="Times New Roman" w:cs="Times New Roman"/>
          <w:sz w:val="28"/>
          <w:szCs w:val="28"/>
        </w:rPr>
        <w:t xml:space="preserve"> - 2025 роки (надалі Програма), розроблена відповідно до Конституції України, Закону України "Про Національний архівний фонд і архівні установи" (зі змінами та доповненнями), Закону України «Про місцеве самоврядування в Україні», «Правилами роботи архівних установ України», затверджених наказом Мін’юсту України від 08.04.2013р. (зі змінами). </w:t>
      </w:r>
    </w:p>
    <w:p w:rsidR="00774B6B" w:rsidRPr="00792779" w:rsidRDefault="00774B6B" w:rsidP="0079277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79">
        <w:rPr>
          <w:rFonts w:ascii="Times New Roman" w:eastAsia="Times New Roman" w:hAnsi="Times New Roman" w:cs="Times New Roman"/>
          <w:sz w:val="28"/>
          <w:szCs w:val="28"/>
        </w:rPr>
        <w:t xml:space="preserve">У зв’язку з тим, що проходить ліквідація підприємств, установ та організацій усіх форм власності та з метою попередження безповоротних втрат документів, які не відносяться до НАФ, але необхідні для підтвердження трудового стажу та заробітної плати жителям </w:t>
      </w:r>
      <w:proofErr w:type="spellStart"/>
      <w:r w:rsidRPr="00792779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Pr="00792779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громади, виникла необхідність, відповідно до чинного законодавства, забезпечити їх централізоване зберігання та функціонування трудового архіву.</w:t>
      </w:r>
    </w:p>
    <w:p w:rsidR="00774B6B" w:rsidRPr="0091201C" w:rsidRDefault="00774B6B" w:rsidP="00792779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01C">
        <w:rPr>
          <w:rFonts w:ascii="Times New Roman" w:hAnsi="Times New Roman" w:cs="Times New Roman"/>
          <w:b/>
          <w:sz w:val="28"/>
          <w:szCs w:val="28"/>
        </w:rPr>
        <w:t>МЕТА ПРОГРАМИ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>1.Забезпечення комплектування документами тимчасового зберігання та з особового складу підприємств, установ і організацій, які ліквідувались без правонаступників.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 2.Забезпечення обліку, збереження і охорони документів з особового складу ліквідованих підприємств, установ і організацій.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 3.Надання підприємствам, установам, організаціям та громадянам в установленому порядку архівних довідок, копій та витягів з документів, що перебувають на зберіганні в Трудовому архіві.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 4.Надання методичної і практичної допомоги установам, підприємствам і організаціям в упорядкуванні відповідних документів та підготовці їх до передачі на зберігання до Трудового архіву. 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>5.Створення належних умов гарантованого зберігання та користування документами у службових, наукових, соціально-правових та інших цілях. 6.Програма розрахована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201C">
        <w:rPr>
          <w:rFonts w:ascii="Times New Roman" w:hAnsi="Times New Roman" w:cs="Times New Roman"/>
          <w:sz w:val="28"/>
          <w:szCs w:val="28"/>
        </w:rPr>
        <w:t>-2025 роки і покликана стимулювати діяльність Трудового архіву щодо поліпшення фізичного стану документів та умов їх зберігання та використання.</w:t>
      </w:r>
    </w:p>
    <w:p w:rsidR="000B563F" w:rsidRDefault="000B563F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B6B" w:rsidRPr="0091201C" w:rsidRDefault="00774B6B" w:rsidP="007927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01C">
        <w:rPr>
          <w:rFonts w:ascii="Times New Roman" w:hAnsi="Times New Roman" w:cs="Times New Roman"/>
          <w:b/>
          <w:sz w:val="28"/>
          <w:szCs w:val="28"/>
        </w:rPr>
        <w:t>ШЛЯХИ ТА ЗАСОБИ РЕАЛІЗАЦІЇ ПРОГРАМИ</w:t>
      </w:r>
    </w:p>
    <w:p w:rsidR="00774B6B" w:rsidRDefault="00774B6B" w:rsidP="00792779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1.Активізація діяльності архівних підрозділів організацій, установ та підприємств, що ліквідуються, шляхом проведення ними науково-технічної обробки архівних документів і передачі їх на зберігання до Трудового архіву. 2.Зміцнення матеріально-технічної бази Трудового архіву для створення умов гарантованого зберігання документів з особового складу та документів тимчасового зберігання суб'єктів господарської діяльності незалежно від форм власності майна та підпорядкування, які ліквідовуються. 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3.Забезпечення дієвого контролю за роботою архівних підрозділів підприємств, установ і організацій, незалежно від їх підпорядкування, та збереження документів з особового складу в архівних підрозділах підприємств, установ та організацій, в діяльності яких не створюються документи Національного архівного фонду. 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4.Підвищення рівня економічних і соціальних гарантій для професійної самореалізації працівників. 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>5.Забезпечення виконання заходів щодо сприяння реалізації державної політики у сфері архівної справи.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 6.Висвітлення в засобах масової інформації проблемних питань, пов'язаних з архівною справою. </w:t>
      </w:r>
    </w:p>
    <w:p w:rsidR="00774B6B" w:rsidRPr="0091201C" w:rsidRDefault="00774B6B" w:rsidP="007927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01C">
        <w:rPr>
          <w:rFonts w:ascii="Times New Roman" w:hAnsi="Times New Roman" w:cs="Times New Roman"/>
          <w:b/>
          <w:sz w:val="28"/>
          <w:szCs w:val="28"/>
        </w:rPr>
        <w:t>ОЧІКУВАНІ РЕЗУЛЬТАТИ ВИКОНАННЯ ПРОГРАМИ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Виконання Програми дасть змогу: 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>- забезпечити збереженість документів з особового складу та документів тимчасового зберігання суб’єктів господарської діяльності незалежно від форм власності майна та підпорядкування, що ліквідовуються;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 - виявити та включити до джерел комплектування підприємства, установи та організації, в діяльності яких не створюються документи Національного архівного фонду;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 - приймати від підприємств, установ та організацій документи з особового складу, документи фінансово - господарської діяльності та інші документи, строк зберігання яких не закінчився;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 - опрацьовувати та описувати документи, що надійшли на зберігання, згідно з «Правилами роботи архівних установ України», затверджених наказом Мін’юсту України від 08.04.2013р. (зі змінами), та методичними рекомендаціями щодо організації забезпечення збереженості, обліку, експертизи цінності, науково-технічного опрацювання, використання документів, що зберігаються в Трудовому архіві;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 - здійснювати облік документів та контроль за наявністю і рухом документів, що зберігаються в Трудовому архіві; 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 xml:space="preserve">- забезпечити організацію користування документами в службових, наукових, соціально-правових та інших цілях, надання в установленому порядку архівних довідок, копій та витягів документів, що знаходяться на зберіганні юридичним особам та громадянам; 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>- проводити експертизи цінності документів, що знаходяться на зберіганні в Трудовому архіві, подавати на затвердження експертної комісії в установленому законом порядку, описи справ документів тимчасового терміну зберігання та актів про виділення до знищення справ, термін зберігання яких закінчився;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lastRenderedPageBreak/>
        <w:t xml:space="preserve"> - зміцнити матеріально технічну базу Трудового архіву та поліпшити умови праці співробітників. </w:t>
      </w:r>
    </w:p>
    <w:p w:rsidR="00774B6B" w:rsidRPr="0074006A" w:rsidRDefault="00774B6B" w:rsidP="005E06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A">
        <w:rPr>
          <w:rFonts w:ascii="Times New Roman" w:hAnsi="Times New Roman" w:cs="Times New Roman"/>
          <w:b/>
          <w:sz w:val="28"/>
          <w:szCs w:val="28"/>
        </w:rPr>
        <w:t>ФІНАНСОВЕ ЗАБЕЗПЕЧЕННЯ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>Фінансування Програми здійснюється за рахунок коштів с</w:t>
      </w:r>
      <w:r>
        <w:rPr>
          <w:rFonts w:ascii="Times New Roman" w:hAnsi="Times New Roman" w:cs="Times New Roman"/>
          <w:sz w:val="28"/>
          <w:szCs w:val="28"/>
        </w:rPr>
        <w:t>ільськ</w:t>
      </w:r>
      <w:r w:rsidRPr="0091201C">
        <w:rPr>
          <w:rFonts w:ascii="Times New Roman" w:hAnsi="Times New Roman" w:cs="Times New Roman"/>
          <w:sz w:val="28"/>
          <w:szCs w:val="28"/>
        </w:rPr>
        <w:t xml:space="preserve">ого бюджету. </w:t>
      </w:r>
    </w:p>
    <w:p w:rsidR="00774B6B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1C">
        <w:rPr>
          <w:rFonts w:ascii="Times New Roman" w:hAnsi="Times New Roman" w:cs="Times New Roman"/>
          <w:sz w:val="28"/>
          <w:szCs w:val="28"/>
        </w:rPr>
        <w:t>Термін реалізації Програми: з 01 січня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201C">
        <w:rPr>
          <w:rFonts w:ascii="Times New Roman" w:hAnsi="Times New Roman" w:cs="Times New Roman"/>
          <w:sz w:val="28"/>
          <w:szCs w:val="28"/>
        </w:rPr>
        <w:t xml:space="preserve"> по 31 грудня 2025 років.</w:t>
      </w:r>
    </w:p>
    <w:p w:rsidR="00774B6B" w:rsidRPr="006A3335" w:rsidRDefault="00774B6B" w:rsidP="0079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35">
        <w:rPr>
          <w:rFonts w:ascii="Times New Roman" w:hAnsi="Times New Roman" w:cs="Times New Roman"/>
          <w:sz w:val="28"/>
          <w:szCs w:val="28"/>
        </w:rPr>
        <w:t xml:space="preserve"> Орієнтовні обсяги фінансових витрат, необхідних для виконання Програми в цілому, складають  </w:t>
      </w:r>
      <w:r w:rsidR="00A03941" w:rsidRPr="006A3335">
        <w:rPr>
          <w:rFonts w:ascii="Times New Roman" w:hAnsi="Times New Roman" w:cs="Times New Roman"/>
          <w:sz w:val="28"/>
          <w:szCs w:val="28"/>
        </w:rPr>
        <w:t>40</w:t>
      </w:r>
      <w:r w:rsidRPr="006A3335">
        <w:rPr>
          <w:rFonts w:ascii="Times New Roman" w:hAnsi="Times New Roman" w:cs="Times New Roman"/>
          <w:sz w:val="28"/>
          <w:szCs w:val="28"/>
        </w:rPr>
        <w:t>0 000 грн.</w:t>
      </w:r>
      <w:r w:rsidR="00E048C0">
        <w:rPr>
          <w:rFonts w:ascii="Times New Roman" w:hAnsi="Times New Roman" w:cs="Times New Roman"/>
          <w:sz w:val="28"/>
          <w:szCs w:val="28"/>
        </w:rPr>
        <w:t>(Чотириста тисяч гривень 00 копійок)</w:t>
      </w:r>
      <w:r w:rsidRPr="006A3335">
        <w:rPr>
          <w:rFonts w:ascii="Times New Roman" w:hAnsi="Times New Roman" w:cs="Times New Roman"/>
          <w:sz w:val="28"/>
          <w:szCs w:val="28"/>
        </w:rPr>
        <w:t xml:space="preserve">, у тому числі за рахунок </w:t>
      </w:r>
      <w:r w:rsidR="00A03941" w:rsidRPr="006A3335">
        <w:rPr>
          <w:rFonts w:ascii="Times New Roman" w:hAnsi="Times New Roman" w:cs="Times New Roman"/>
          <w:sz w:val="28"/>
          <w:szCs w:val="28"/>
        </w:rPr>
        <w:t>сільського</w:t>
      </w:r>
      <w:r w:rsidRPr="006A3335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A03941" w:rsidRPr="006A3335">
        <w:rPr>
          <w:rFonts w:ascii="Times New Roman" w:hAnsi="Times New Roman" w:cs="Times New Roman"/>
          <w:sz w:val="28"/>
          <w:szCs w:val="28"/>
        </w:rPr>
        <w:t>4</w:t>
      </w:r>
      <w:r w:rsidRPr="006A3335">
        <w:rPr>
          <w:rFonts w:ascii="Times New Roman" w:hAnsi="Times New Roman" w:cs="Times New Roman"/>
          <w:sz w:val="28"/>
          <w:szCs w:val="28"/>
        </w:rPr>
        <w:t>00 000 грн</w:t>
      </w:r>
      <w:r w:rsidR="00E048C0" w:rsidRPr="006A3335">
        <w:rPr>
          <w:rFonts w:ascii="Times New Roman" w:hAnsi="Times New Roman" w:cs="Times New Roman"/>
          <w:sz w:val="28"/>
          <w:szCs w:val="28"/>
        </w:rPr>
        <w:t>.</w:t>
      </w:r>
      <w:r w:rsidR="00E048C0">
        <w:rPr>
          <w:rFonts w:ascii="Times New Roman" w:hAnsi="Times New Roman" w:cs="Times New Roman"/>
          <w:sz w:val="28"/>
          <w:szCs w:val="28"/>
        </w:rPr>
        <w:t>(Чотириста тисяч гривень 00 копійок)</w:t>
      </w:r>
      <w:r w:rsidRPr="006A33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B6B" w:rsidRPr="0091201C" w:rsidRDefault="000B563F" w:rsidP="005E068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КООРДИНАЦІЯ ТА КОНТРОЛЬ ЗА ВИКОНАННЯМ ПРОГРАМИ</w:t>
      </w:r>
    </w:p>
    <w:p w:rsidR="00774B6B" w:rsidRPr="0091201C" w:rsidRDefault="00774B6B" w:rsidP="0079277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91201C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 </w:t>
      </w:r>
      <w:r w:rsidRPr="0091201C">
        <w:rPr>
          <w:rFonts w:ascii="Times New Roman" w:eastAsia="Times New Roman" w:hAnsi="Times New Roman" w:cs="Times New Roman"/>
          <w:color w:val="2C2B2B"/>
          <w:sz w:val="28"/>
          <w:szCs w:val="28"/>
        </w:rPr>
        <w:t>Координація дій та контроль за виконанням Програми покладається на  </w:t>
      </w: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постійну комісію сільської ради з питань </w:t>
      </w:r>
      <w:r w:rsidR="006A3335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планування </w:t>
      </w: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фінансів,</w:t>
      </w:r>
      <w:r w:rsidRPr="0091201C">
        <w:rPr>
          <w:rFonts w:ascii="Times New Roman" w:eastAsia="Times New Roman" w:hAnsi="Times New Roman" w:cs="Times New Roman"/>
          <w:color w:val="2C2B2B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t>, та соціально-економічного розвитку.</w:t>
      </w:r>
    </w:p>
    <w:p w:rsidR="00774B6B" w:rsidRPr="0091201C" w:rsidRDefault="00774B6B" w:rsidP="00792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B6B" w:rsidRPr="0091201C" w:rsidRDefault="00774B6B" w:rsidP="00774B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</w:rPr>
      </w:pPr>
      <w:r w:rsidRPr="0091201C">
        <w:rPr>
          <w:rFonts w:ascii="Arial" w:eastAsia="Times New Roman" w:hAnsi="Arial" w:cs="Arial"/>
          <w:b/>
          <w:bCs/>
          <w:color w:val="2C2B2B"/>
          <w:sz w:val="14"/>
        </w:rPr>
        <w:t> </w:t>
      </w:r>
    </w:p>
    <w:p w:rsidR="007B18A0" w:rsidRDefault="007B18A0"/>
    <w:p w:rsidR="006A3335" w:rsidRPr="005E068B" w:rsidRDefault="006A3335">
      <w:pPr>
        <w:rPr>
          <w:rFonts w:ascii="Times New Roman" w:hAnsi="Times New Roman" w:cs="Times New Roman"/>
          <w:b/>
          <w:sz w:val="28"/>
          <w:szCs w:val="28"/>
        </w:rPr>
      </w:pPr>
      <w:r w:rsidRPr="005E068B">
        <w:rPr>
          <w:rFonts w:ascii="Times New Roman" w:hAnsi="Times New Roman" w:cs="Times New Roman"/>
          <w:b/>
          <w:sz w:val="28"/>
          <w:szCs w:val="28"/>
        </w:rPr>
        <w:t>Секретар ради                                                                         Тетяна ВЕГЕРА</w:t>
      </w:r>
    </w:p>
    <w:sectPr w:rsidR="006A3335" w:rsidRPr="005E068B" w:rsidSect="000B563F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D7CED"/>
    <w:multiLevelType w:val="hybridMultilevel"/>
    <w:tmpl w:val="063435BE"/>
    <w:lvl w:ilvl="0" w:tplc="10141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4B6B"/>
    <w:rsid w:val="000447F6"/>
    <w:rsid w:val="000B563F"/>
    <w:rsid w:val="000E6080"/>
    <w:rsid w:val="00197350"/>
    <w:rsid w:val="005E068B"/>
    <w:rsid w:val="006A3335"/>
    <w:rsid w:val="00774B6B"/>
    <w:rsid w:val="00792779"/>
    <w:rsid w:val="007B18A0"/>
    <w:rsid w:val="009A7130"/>
    <w:rsid w:val="00A03941"/>
    <w:rsid w:val="00C16578"/>
    <w:rsid w:val="00D6094B"/>
    <w:rsid w:val="00E048C0"/>
    <w:rsid w:val="00EC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2"/>
    <w:rsid w:val="00774B6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2">
    <w:name w:val="No Spacing Char2"/>
    <w:basedOn w:val="a0"/>
    <w:link w:val="1"/>
    <w:locked/>
    <w:rsid w:val="00774B6B"/>
    <w:rPr>
      <w:rFonts w:ascii="Calibri" w:eastAsia="Times New Roman" w:hAnsi="Calibri" w:cs="Times New Roman"/>
      <w:lang w:val="ru-RU" w:eastAsia="ru-RU"/>
    </w:rPr>
  </w:style>
  <w:style w:type="paragraph" w:styleId="a3">
    <w:name w:val="List Paragraph"/>
    <w:basedOn w:val="a"/>
    <w:uiPriority w:val="34"/>
    <w:qFormat/>
    <w:rsid w:val="00774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4963</Words>
  <Characters>2829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12</cp:revision>
  <cp:lastPrinted>2022-12-15T07:34:00Z</cp:lastPrinted>
  <dcterms:created xsi:type="dcterms:W3CDTF">2022-12-13T08:42:00Z</dcterms:created>
  <dcterms:modified xsi:type="dcterms:W3CDTF">2023-01-05T14:26:00Z</dcterms:modified>
</cp:coreProperties>
</file>