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4E" w:rsidRPr="00276917" w:rsidRDefault="00A83D08" w:rsidP="007A66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культури,молоді та спорту Костянтинівської сільської ради</w:t>
      </w:r>
    </w:p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276917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276917" w:rsidRDefault="007A664E" w:rsidP="002769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r w:rsidR="00A209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bookmarkStart w:id="0" w:name="_Hlk141433761"/>
      <w:proofErr w:type="spellEnd"/>
      <w:r w:rsidR="00A20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F8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342F0" w:rsidRPr="001342F0">
        <w:rPr>
          <w:rFonts w:ascii="Times New Roman" w:hAnsi="Times New Roman" w:cs="Times New Roman"/>
          <w:b/>
          <w:sz w:val="28"/>
          <w:szCs w:val="28"/>
          <w:lang w:val="uk-UA"/>
        </w:rPr>
        <w:t>едичний огляд працівників закладів освіти Костянтинівської сільської ради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 </w:t>
      </w:r>
      <w:r w:rsidR="001342F0" w:rsidRPr="001342F0">
        <w:rPr>
          <w:rFonts w:ascii="Times New Roman" w:hAnsi="Times New Roman" w:cs="Times New Roman"/>
          <w:b/>
          <w:sz w:val="28"/>
          <w:szCs w:val="28"/>
          <w:lang w:val="uk-UA"/>
        </w:rPr>
        <w:t>85110000-3 Послуги лікувальних закладів та супутні послуги</w:t>
      </w:r>
      <w:bookmarkEnd w:id="0"/>
      <w:r w:rsidR="00A20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2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Єдинийзакупівельний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r w:rsidRPr="00276917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розміру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="00A209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="00A209D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="00A209D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="00A209D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="00A209D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276917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276917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район, село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 w:rsidR="00B05596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="00A209D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="00A209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="00A20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="001342F0" w:rsidRPr="001342F0">
        <w:rPr>
          <w:rFonts w:ascii="Times New Roman" w:hAnsi="Times New Roman" w:cs="Times New Roman"/>
          <w:sz w:val="28"/>
          <w:szCs w:val="28"/>
          <w:lang w:val="uk-UA"/>
        </w:rPr>
        <w:t>Медичний огляд працівників закладів освіти Костянтинівської сільської ради</w:t>
      </w:r>
      <w:r w:rsidR="001342F0" w:rsidRPr="001342F0">
        <w:rPr>
          <w:rFonts w:ascii="Times New Roman" w:hAnsi="Times New Roman" w:cs="Times New Roman"/>
          <w:sz w:val="28"/>
          <w:szCs w:val="28"/>
        </w:rPr>
        <w:t xml:space="preserve">, </w:t>
      </w:r>
      <w:r w:rsidR="001342F0" w:rsidRPr="001342F0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r w:rsidR="001342F0" w:rsidRPr="001342F0">
        <w:rPr>
          <w:rFonts w:ascii="Times New Roman" w:hAnsi="Times New Roman" w:cs="Times New Roman"/>
          <w:sz w:val="28"/>
          <w:szCs w:val="28"/>
          <w:lang w:val="uk-UA"/>
        </w:rPr>
        <w:t>85110000-3 Послуги лікувальних закладів та супутні послуги</w:t>
      </w:r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ДК 021:2015 «</w:t>
      </w:r>
      <w:proofErr w:type="spellStart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Єдинийзакупівельний</w:t>
      </w:r>
      <w:proofErr w:type="spellEnd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словник».</w:t>
      </w:r>
    </w:p>
    <w:p w:rsidR="001342F0" w:rsidRPr="001342F0" w:rsidRDefault="007A664E" w:rsidP="001342F0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r w:rsidRPr="00276917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ідентифікаторпроцедуризакупівлі</w:t>
      </w:r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 торги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, </w:t>
      </w:r>
      <w:r w:rsidRPr="00276917">
        <w:rPr>
          <w:rFonts w:ascii="Times New Roman" w:hAnsi="Times New Roman" w:cs="Times New Roman"/>
          <w:sz w:val="28"/>
          <w:szCs w:val="28"/>
          <w:lang w:val="en-US"/>
        </w:rPr>
        <w:t>ID</w:t>
      </w:r>
      <w:hyperlink r:id="rId4" w:tgtFrame="_blank" w:tooltip="Оголошення на порталі Уповноваженого органу" w:history="1">
        <w:r w:rsidR="001342F0" w:rsidRPr="001342F0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UA-2023-07-27-009685-a</w:t>
        </w:r>
      </w:hyperlink>
    </w:p>
    <w:p w:rsidR="003A5099" w:rsidRPr="003A5099" w:rsidRDefault="003A5099" w:rsidP="00B9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070" w:rsidRPr="00912070" w:rsidRDefault="007A664E" w:rsidP="00B9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="00A20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="00A20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="00A20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342F0">
        <w:rPr>
          <w:rFonts w:ascii="Times New Roman" w:hAnsi="Times New Roman" w:cs="Times New Roman"/>
          <w:sz w:val="28"/>
          <w:szCs w:val="28"/>
          <w:lang w:val="uk-UA"/>
        </w:rPr>
        <w:t>218687,71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. 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1342F0" w:rsidRPr="009957C1">
        <w:rPr>
          <w:rFonts w:ascii="Times New Roman" w:hAnsi="Times New Roman" w:cs="Times New Roman"/>
          <w:sz w:val="28"/>
          <w:szCs w:val="28"/>
          <w:lang w:val="uk-UA"/>
        </w:rPr>
        <w:t>медичного огляду працівників закладів освіти Костянтинівської сільської ради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на підставі закупівельних цін 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>на аналогічні послуги, що містяться в електронній системі закупівель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9957C1" w:rsidRPr="009957C1">
        <w:rPr>
          <w:rFonts w:ascii="Times New Roman" w:hAnsi="Times New Roman" w:cs="Times New Roman"/>
          <w:sz w:val="28"/>
          <w:szCs w:val="28"/>
        </w:rPr>
        <w:t>@</w:t>
      </w:r>
      <w:r w:rsidR="00B946E1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proofErr w:type="spellStart"/>
      <w:r w:rsidR="00B946E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>примірної</w:t>
      </w:r>
      <w:proofErr w:type="spellEnd"/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визначення очікуваної вартості предмета закупівлі, а саме: згідно з пунктом </w:t>
      </w:r>
      <w:r w:rsidR="009957C1" w:rsidRPr="009957C1">
        <w:rPr>
          <w:rFonts w:ascii="Times New Roman" w:eastAsia="Calibri" w:hAnsi="Times New Roman" w:cs="Times New Roman"/>
          <w:sz w:val="28"/>
          <w:szCs w:val="28"/>
        </w:rPr>
        <w:t>1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ІІІ наказу Міністерства розвитку економіки, торгівлі та сільського господарства України від 18.02.2020  № 275 із змінами.  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призначення:</w:t>
      </w:r>
      <w:r w:rsidR="009957C1" w:rsidRPr="00A47F8C">
        <w:rPr>
          <w:rFonts w:ascii="Times New Roman" w:eastAsia="Times New Roman" w:hAnsi="Times New Roman"/>
          <w:bCs/>
          <w:sz w:val="28"/>
          <w:szCs w:val="28"/>
          <w:lang w:eastAsia="uk-UA"/>
        </w:rPr>
        <w:t>220</w:t>
      </w:r>
      <w:bookmarkStart w:id="1" w:name="_GoBack"/>
      <w:bookmarkEnd w:id="1"/>
      <w:r w:rsidR="009957C1" w:rsidRPr="00A47F8C">
        <w:rPr>
          <w:rFonts w:ascii="Times New Roman" w:eastAsia="Times New Roman" w:hAnsi="Times New Roman"/>
          <w:bCs/>
          <w:sz w:val="28"/>
          <w:szCs w:val="28"/>
          <w:lang w:eastAsia="uk-UA"/>
        </w:rPr>
        <w:t>000.00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>грн</w:t>
      </w:r>
      <w:proofErr w:type="spellEnd"/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7A664E" w:rsidRPr="00276917" w:rsidRDefault="007A664E" w:rsidP="007A66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:rsidR="005D5466" w:rsidRPr="005D5466" w:rsidRDefault="007A664E" w:rsidP="00362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lastRenderedPageBreak/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276917">
        <w:rPr>
          <w:rFonts w:ascii="Times New Roman" w:hAnsi="Times New Roman"/>
          <w:sz w:val="28"/>
          <w:szCs w:val="28"/>
        </w:rPr>
        <w:t>.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</w:t>
      </w:r>
      <w:proofErr w:type="spellStart"/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63569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>огляд</w:t>
      </w:r>
      <w:r w:rsidR="0063569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закладів освіти Костянтинівської сільської ради 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>складено у відповідності до потреб Замовника з урахуванням вимог діючих державних будівельних норм.</w:t>
      </w:r>
    </w:p>
    <w:p w:rsidR="007A664E" w:rsidRPr="005D5466" w:rsidRDefault="007A664E" w:rsidP="007A66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664E" w:rsidRPr="00276917" w:rsidRDefault="007A664E" w:rsidP="007A66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замовникприйняврішеннястосовнозастосування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:rsidR="007A664E" w:rsidRDefault="007A664E" w:rsidP="007A664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необхіднітехнічні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якісні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кількісні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технічнівимоги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до предмета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закупівлі</w:t>
      </w:r>
      <w:proofErr w:type="spellEnd"/>
    </w:p>
    <w:p w:rsidR="0063569D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646FDA"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  <w:t>Технічна специфікація</w:t>
      </w:r>
    </w:p>
    <w:p w:rsidR="0063569D" w:rsidRPr="00DF3A95" w:rsidRDefault="0063569D" w:rsidP="00635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A95">
        <w:rPr>
          <w:rFonts w:ascii="Times New Roman" w:hAnsi="Times New Roman"/>
          <w:b/>
          <w:sz w:val="24"/>
          <w:szCs w:val="24"/>
        </w:rPr>
        <w:t xml:space="preserve">85110000-3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Послугилікувальнихзакладів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супутніпослуги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МедичнийоглядпрацівниківзакладівосвітиКостянтинівськоїсільської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ради)</w:t>
      </w:r>
    </w:p>
    <w:p w:rsidR="0063569D" w:rsidRPr="00DF3A95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DF3A95">
        <w:rPr>
          <w:rStyle w:val="a4"/>
          <w:rFonts w:ascii="Times New Roman" w:hAnsi="Times New Roman"/>
          <w:sz w:val="24"/>
          <w:szCs w:val="24"/>
        </w:rPr>
        <w:tab/>
        <w:t xml:space="preserve">(форма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заповнюється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та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подаєтьсяучасником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на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фірмовому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бланку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учасника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, в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разійогонаявності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>)</w:t>
      </w:r>
    </w:p>
    <w:p w:rsidR="0063569D" w:rsidRPr="00646FDA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</w:p>
    <w:p w:rsidR="0063569D" w:rsidRPr="00646FDA" w:rsidRDefault="0063569D" w:rsidP="0063569D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/>
          <w:i/>
          <w:lang w:eastAsia="ru-RU"/>
        </w:rPr>
      </w:pPr>
    </w:p>
    <w:tbl>
      <w:tblPr>
        <w:tblW w:w="7560" w:type="dxa"/>
        <w:tblLook w:val="04A0"/>
      </w:tblPr>
      <w:tblGrid>
        <w:gridCol w:w="5980"/>
        <w:gridCol w:w="2062"/>
      </w:tblGrid>
      <w:tr w:rsidR="0063569D" w:rsidRPr="00DF3A95" w:rsidTr="00113D69">
        <w:trPr>
          <w:trHeight w:val="870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Перелікоглядів</w:t>
            </w:r>
            <w:proofErr w:type="spellEnd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лабораторних</w:t>
            </w:r>
            <w:proofErr w:type="spellEnd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</w:t>
            </w:r>
            <w:proofErr w:type="spellEnd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функціональнихобстежень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кількістьдосліджень</w:t>
            </w:r>
            <w:proofErr w:type="spellEnd"/>
          </w:p>
        </w:tc>
      </w:tr>
      <w:tr w:rsidR="0063569D" w:rsidRPr="00DF3A95" w:rsidTr="00113D69">
        <w:trPr>
          <w:trHeight w:val="315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Hlk141360869"/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Медичнийоглядлікарем-терапевтом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Медичнийоглядлікарем-дерматовенерологом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Медичнийоглядлікарем-отоларингологом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Медичнийоглядлікарем-стоматологом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Мазок на гонорею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гельмінтози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Флюорографія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Дослідженнякрові</w:t>
            </w:r>
            <w:proofErr w:type="spellEnd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реакціюмікропреципітації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Медичнийоглядлікарем-акушером-гінекологом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215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A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Цитологічнедослідження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215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водії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>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медичнийоглядлікаремпсихіатром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тест на </w:t>
            </w: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наявністьнаркотичнихречовин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сечі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кров на алкоголь та ГГТ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водії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>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медичнийоглядлікарем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 невропатологом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медичнийоглядлікаремхірургом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медичнийоглядлікарем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 офтальмологом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Загальнийаналізкрові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Аналізкрові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 на </w:t>
            </w: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цукор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Визначеннягрупикрові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Визначення</w:t>
            </w:r>
            <w:proofErr w:type="spellEnd"/>
            <w:r w:rsidRPr="00DF3A95">
              <w:rPr>
                <w:rFonts w:eastAsia="Times New Roman" w:cs="Calibri"/>
                <w:color w:val="000000"/>
                <w:lang w:eastAsia="ru-RU"/>
              </w:rPr>
              <w:t xml:space="preserve"> резус фактора </w:t>
            </w: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t>Загальнийаналізсечі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63569D" w:rsidRPr="00DF3A95" w:rsidTr="00113D69">
        <w:trPr>
          <w:trHeight w:val="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F3A95">
              <w:rPr>
                <w:rFonts w:eastAsia="Times New Roman" w:cs="Calibri"/>
                <w:color w:val="000000"/>
                <w:lang w:eastAsia="ru-RU"/>
              </w:rPr>
              <w:lastRenderedPageBreak/>
              <w:t>Дослідженнякардіографічне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D" w:rsidRPr="00DF3A95" w:rsidRDefault="0063569D" w:rsidP="00113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F3A9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bookmarkEnd w:id="2"/>
    </w:tbl>
    <w:p w:rsidR="0063569D" w:rsidRPr="00646FDA" w:rsidRDefault="0063569D" w:rsidP="0063569D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left="-540" w:right="-159" w:firstLine="720"/>
        <w:jc w:val="both"/>
        <w:rPr>
          <w:rFonts w:ascii="Times New Roman" w:eastAsia="Times New Roman" w:hAnsi="Times New Roman"/>
          <w:i/>
          <w:lang w:eastAsia="ru-RU"/>
        </w:rPr>
      </w:pPr>
    </w:p>
    <w:p w:rsidR="0063569D" w:rsidRDefault="0063569D" w:rsidP="0063569D">
      <w:pPr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3569D" w:rsidRDefault="0063569D" w:rsidP="0063569D">
      <w:pPr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3569D" w:rsidRDefault="0063569D" w:rsidP="0063569D">
      <w:pPr>
        <w:pStyle w:val="1"/>
        <w:ind w:firstLine="567"/>
        <w:jc w:val="both"/>
        <w:rPr>
          <w:color w:val="000000"/>
          <w:sz w:val="24"/>
          <w:szCs w:val="24"/>
          <w:highlight w:val="yellow"/>
          <w:lang w:eastAsia="uk-UA"/>
        </w:rPr>
      </w:pPr>
      <w:r>
        <w:rPr>
          <w:b/>
          <w:color w:val="000000"/>
          <w:sz w:val="24"/>
          <w:szCs w:val="24"/>
        </w:rPr>
        <w:t>Вимоги до надання послуг:</w:t>
      </w:r>
    </w:p>
    <w:p w:rsidR="0063569D" w:rsidRDefault="0063569D" w:rsidP="0063569D">
      <w:pPr>
        <w:pStyle w:val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Термін надання послуг до </w:t>
      </w:r>
      <w:r>
        <w:rPr>
          <w:color w:val="FF0000"/>
          <w:sz w:val="24"/>
          <w:szCs w:val="24"/>
        </w:rPr>
        <w:t>31.12.2023</w:t>
      </w:r>
      <w:r>
        <w:rPr>
          <w:color w:val="000000"/>
          <w:sz w:val="24"/>
          <w:szCs w:val="24"/>
        </w:rPr>
        <w:t xml:space="preserve"> року.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 w:rsidRPr="00662A15">
        <w:rPr>
          <w:color w:val="000000"/>
          <w:sz w:val="24"/>
          <w:szCs w:val="24"/>
        </w:rPr>
        <w:t xml:space="preserve">2. </w:t>
      </w:r>
      <w:r w:rsidRPr="00662A15">
        <w:rPr>
          <w:sz w:val="24"/>
          <w:szCs w:val="24"/>
        </w:rPr>
        <w:t xml:space="preserve">Учасник - Виконавець послуги повинен виконати комплекс заходів щодо проведення періодичного обов’язкового профілактичного медичного огляду працівників закладів освіти </w:t>
      </w:r>
      <w:r>
        <w:rPr>
          <w:sz w:val="24"/>
          <w:szCs w:val="24"/>
        </w:rPr>
        <w:t>Костянтинівської сільської ради</w:t>
      </w:r>
      <w:r w:rsidRPr="00662A15">
        <w:rPr>
          <w:sz w:val="24"/>
          <w:szCs w:val="24"/>
        </w:rPr>
        <w:t xml:space="preserve"> відповідно до наказу МОЗ України № 280 від 23.07.2002 «Щодо організації проведення обов’язкових профілактичних медичних оглядів працівників окремих професій, виробництв та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8 серпня 2002р за № 639/6927; наказу МОЗ України від 21 лютого 2013 року № 150 «Про внесення змін до наказу Міністерства охорони здоров’я України від 23 липня 2002 року № 280», зареєстрованого в Міністерстві юстиції України 23 квітня 2013 року за № 662/23194. 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2A15">
        <w:rPr>
          <w:sz w:val="24"/>
          <w:szCs w:val="24"/>
        </w:rPr>
        <w:t xml:space="preserve">. Виконавець надає послуги щодо проведення періодичного обов’язкового профілактичного медичного огляду працівників закладів освіти </w:t>
      </w:r>
      <w:r>
        <w:rPr>
          <w:sz w:val="24"/>
          <w:szCs w:val="24"/>
        </w:rPr>
        <w:t>Костянтинівської сільської ради</w:t>
      </w:r>
      <w:r w:rsidRPr="00662A15">
        <w:rPr>
          <w:sz w:val="24"/>
          <w:szCs w:val="24"/>
        </w:rPr>
        <w:t xml:space="preserve"> належної якості з дотриманням норм законодавства які регламентують діяльність в даній сфері, підтверджує якість документами, які регламентують даний вид послуг відповідно до чинного законодавства України (Ліцензію на медичну практику та акредитаційний сертифікат. Перелік закладів охорони здоров'я, які за </w:t>
      </w:r>
      <w:proofErr w:type="spellStart"/>
      <w:r w:rsidRPr="00662A15">
        <w:rPr>
          <w:sz w:val="24"/>
          <w:szCs w:val="24"/>
        </w:rPr>
        <w:t>заявницьким</w:t>
      </w:r>
      <w:proofErr w:type="spellEnd"/>
      <w:r w:rsidRPr="00662A15">
        <w:rPr>
          <w:sz w:val="24"/>
          <w:szCs w:val="24"/>
        </w:rPr>
        <w:t xml:space="preserve"> принципом мають право проводити обов'язкові профілактичні медичні огляди, затверджується відповідно наказом Міністерства охорони здоров'я України, структурних підрозділів з питань охорони здоров'я обласних, Київської державної адміністрації).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62A15">
        <w:rPr>
          <w:sz w:val="24"/>
          <w:szCs w:val="24"/>
        </w:rPr>
        <w:t xml:space="preserve">. Послуги повинні бути виконані на території Виконавця у </w:t>
      </w:r>
      <w:r>
        <w:rPr>
          <w:sz w:val="24"/>
          <w:szCs w:val="24"/>
        </w:rPr>
        <w:t>Миколаївському</w:t>
      </w:r>
      <w:r w:rsidRPr="00662A15">
        <w:rPr>
          <w:sz w:val="24"/>
          <w:szCs w:val="24"/>
        </w:rPr>
        <w:t xml:space="preserve"> районі міста </w:t>
      </w:r>
      <w:r>
        <w:rPr>
          <w:sz w:val="24"/>
          <w:szCs w:val="24"/>
        </w:rPr>
        <w:t>Нова Одеса</w:t>
      </w:r>
      <w:r w:rsidRPr="00662A15">
        <w:rPr>
          <w:sz w:val="24"/>
          <w:szCs w:val="24"/>
        </w:rPr>
        <w:t xml:space="preserve"> із зручним місцем розташування медичного закладу (зручна розв’язка наземного транспорту). Проведення медичних оглядів за місцем роботи, «виїзними медичними бригадами» не передбачається.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2A15">
        <w:rPr>
          <w:sz w:val="24"/>
          <w:szCs w:val="24"/>
        </w:rPr>
        <w:t xml:space="preserve">. При наданні послуг використовувати дозволені до застосування на території України препарати (засоби), придбані за рахунок Виконавця. 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2A15">
        <w:rPr>
          <w:sz w:val="24"/>
          <w:szCs w:val="24"/>
        </w:rPr>
        <w:t>. Відповідність запропонованих послуг Учасника до діяльності, яку визначено у Статуті.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A15">
        <w:rPr>
          <w:sz w:val="24"/>
          <w:szCs w:val="24"/>
        </w:rPr>
        <w:t>. Проведення медичного огляду працівників включає в себе огляд спеціалістами, лабораторні та функціональні дослідження з оформленням таких документів: - план–графік проведення періодичних оглядів працівників з додатком (список працівників затверджені Замовником для Виконавця) з зазначенням в них строків проведення медоглядів, лабораторних, функціональних та інших досліджень та лікарів, залучених до їх проведення; - після закінчення медогляду у разі відсутності протипоказань для зайняття відповідним видом діяльності заклад охорони здоров'я видає працівнику форму № 1-ОМК «Особиста медична книжка» (далі – форма № 1-ОМК), затверджену наказом Міністерства охорони здоров’я України від 21 лютого 2013 року № 150, яка повинна відповідати технічному опису бланка згідно Наказу МОЗ від 08.07.2013 року № 583.</w:t>
      </w:r>
    </w:p>
    <w:p w:rsidR="0063569D" w:rsidRDefault="0063569D" w:rsidP="0063569D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62A15">
        <w:rPr>
          <w:sz w:val="24"/>
          <w:szCs w:val="24"/>
        </w:rPr>
        <w:t xml:space="preserve">. На підставі результатів обстеження кожний лікар-спеціаліст робить висновок щодо можливості допущення працівника до роботи у конкретному виробництві, організації, професії. </w:t>
      </w:r>
    </w:p>
    <w:p w:rsidR="0063569D" w:rsidRDefault="0063569D" w:rsidP="0063569D">
      <w:pPr>
        <w:pStyle w:val="1"/>
        <w:ind w:firstLine="567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662A15">
        <w:rPr>
          <w:sz w:val="24"/>
          <w:szCs w:val="24"/>
        </w:rPr>
        <w:t>. Засідання медичної комісії проводити не менше 3-х разів на тиждень. Послуги надаються на території медичного закладу протягом 2-х робочих днів з дня скерування. Період надання послуги: з дати укладання договору по 31 грудня 202</w:t>
      </w:r>
      <w:r w:rsidRPr="00604FAD">
        <w:rPr>
          <w:sz w:val="24"/>
          <w:szCs w:val="24"/>
          <w:lang w:val="ru-RU"/>
        </w:rPr>
        <w:t>3</w:t>
      </w:r>
      <w:r w:rsidRPr="00662A15">
        <w:rPr>
          <w:sz w:val="24"/>
          <w:szCs w:val="24"/>
        </w:rPr>
        <w:t xml:space="preserve"> року.</w:t>
      </w:r>
    </w:p>
    <w:p w:rsidR="007A664E" w:rsidRPr="0063569D" w:rsidRDefault="007A664E" w:rsidP="00220A3F">
      <w:pPr>
        <w:jc w:val="both"/>
        <w:rPr>
          <w:lang w:val="uk-UA"/>
        </w:rPr>
      </w:pPr>
    </w:p>
    <w:sectPr w:rsidR="007A664E" w:rsidRPr="0063569D" w:rsidSect="005D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AEC"/>
    <w:rsid w:val="001342F0"/>
    <w:rsid w:val="00220A3F"/>
    <w:rsid w:val="00276917"/>
    <w:rsid w:val="00304920"/>
    <w:rsid w:val="00362A82"/>
    <w:rsid w:val="003A5099"/>
    <w:rsid w:val="00542AEC"/>
    <w:rsid w:val="005D2019"/>
    <w:rsid w:val="005D5466"/>
    <w:rsid w:val="0063569D"/>
    <w:rsid w:val="006B663E"/>
    <w:rsid w:val="007A664E"/>
    <w:rsid w:val="008D3ED8"/>
    <w:rsid w:val="00912070"/>
    <w:rsid w:val="009957C1"/>
    <w:rsid w:val="00A118B9"/>
    <w:rsid w:val="00A209DB"/>
    <w:rsid w:val="00A47F8C"/>
    <w:rsid w:val="00A83D08"/>
    <w:rsid w:val="00B05596"/>
    <w:rsid w:val="00B946E1"/>
    <w:rsid w:val="00C407CA"/>
    <w:rsid w:val="00FA23AD"/>
    <w:rsid w:val="00FC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">
    <w:name w:val="Обычный1"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7-27-00968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Core i7</cp:lastModifiedBy>
  <cp:revision>2</cp:revision>
  <cp:lastPrinted>2023-07-28T08:18:00Z</cp:lastPrinted>
  <dcterms:created xsi:type="dcterms:W3CDTF">2023-07-28T10:47:00Z</dcterms:created>
  <dcterms:modified xsi:type="dcterms:W3CDTF">2023-07-28T10:47:00Z</dcterms:modified>
</cp:coreProperties>
</file>