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9" w:rsidRPr="001C1C15" w:rsidRDefault="009E2059" w:rsidP="009E2059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1C1C1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E2059" w:rsidRPr="001C1C15" w:rsidRDefault="009E2059" w:rsidP="009E2059">
      <w:pPr>
        <w:ind w:left="4248" w:right="4617"/>
        <w:jc w:val="center"/>
        <w:rPr>
          <w:b/>
          <w:sz w:val="28"/>
          <w:szCs w:val="28"/>
        </w:rPr>
      </w:pPr>
      <w:r w:rsidRPr="001C1C15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59" w:rsidRPr="001C1C15" w:rsidRDefault="009E2059" w:rsidP="009E2059">
      <w:pPr>
        <w:jc w:val="center"/>
        <w:rPr>
          <w:b/>
          <w:sz w:val="28"/>
          <w:szCs w:val="28"/>
        </w:rPr>
      </w:pPr>
    </w:p>
    <w:p w:rsidR="009E2059" w:rsidRPr="001C1C15" w:rsidRDefault="009E2059" w:rsidP="009E2059">
      <w:pPr>
        <w:jc w:val="center"/>
        <w:rPr>
          <w:b/>
          <w:sz w:val="28"/>
          <w:szCs w:val="28"/>
        </w:rPr>
      </w:pPr>
      <w:r w:rsidRPr="001C1C15">
        <w:rPr>
          <w:b/>
          <w:sz w:val="28"/>
          <w:szCs w:val="28"/>
        </w:rPr>
        <w:t>Костянтинівська сільська рада</w:t>
      </w:r>
    </w:p>
    <w:p w:rsidR="009E2059" w:rsidRPr="001C1C15" w:rsidRDefault="009E2059" w:rsidP="009E2059">
      <w:pPr>
        <w:jc w:val="center"/>
        <w:rPr>
          <w:b/>
          <w:sz w:val="28"/>
          <w:szCs w:val="28"/>
        </w:rPr>
      </w:pPr>
      <w:r w:rsidRPr="001C1C15">
        <w:rPr>
          <w:b/>
          <w:sz w:val="28"/>
          <w:szCs w:val="28"/>
        </w:rPr>
        <w:t>Миколаївського району Миколаївської області</w:t>
      </w:r>
    </w:p>
    <w:p w:rsidR="009E2059" w:rsidRPr="001C1C15" w:rsidRDefault="009E2059" w:rsidP="009E2059">
      <w:pPr>
        <w:jc w:val="center"/>
        <w:rPr>
          <w:b/>
          <w:sz w:val="28"/>
          <w:szCs w:val="28"/>
          <w:u w:val="single"/>
        </w:rPr>
      </w:pPr>
      <w:r w:rsidRPr="001C1C15">
        <w:rPr>
          <w:b/>
          <w:sz w:val="28"/>
          <w:szCs w:val="28"/>
          <w:u w:val="single"/>
        </w:rPr>
        <w:t>_______________________________________________________</w:t>
      </w:r>
    </w:p>
    <w:p w:rsidR="009E2059" w:rsidRPr="001C1C15" w:rsidRDefault="009E2059" w:rsidP="009E2059">
      <w:pPr>
        <w:rPr>
          <w:b/>
          <w:sz w:val="28"/>
          <w:szCs w:val="28"/>
          <w:u w:val="single"/>
        </w:rPr>
      </w:pPr>
    </w:p>
    <w:p w:rsidR="009E2059" w:rsidRPr="001C1C15" w:rsidRDefault="009E2059" w:rsidP="009E2059">
      <w:pPr>
        <w:jc w:val="center"/>
        <w:rPr>
          <w:b/>
          <w:sz w:val="28"/>
          <w:szCs w:val="28"/>
        </w:rPr>
      </w:pPr>
      <w:r w:rsidRPr="001C1C15">
        <w:rPr>
          <w:b/>
          <w:sz w:val="28"/>
          <w:szCs w:val="28"/>
        </w:rPr>
        <w:t xml:space="preserve">Р І Ш Е Н </w:t>
      </w:r>
      <w:proofErr w:type="spellStart"/>
      <w:r w:rsidRPr="001C1C15">
        <w:rPr>
          <w:b/>
          <w:sz w:val="28"/>
          <w:szCs w:val="28"/>
        </w:rPr>
        <w:t>Н</w:t>
      </w:r>
      <w:proofErr w:type="spellEnd"/>
      <w:r w:rsidRPr="001C1C15">
        <w:rPr>
          <w:b/>
          <w:sz w:val="28"/>
          <w:szCs w:val="28"/>
        </w:rPr>
        <w:t xml:space="preserve"> Я №</w:t>
      </w:r>
      <w:r w:rsidR="001D416A" w:rsidRPr="001C1C15">
        <w:rPr>
          <w:b/>
          <w:sz w:val="28"/>
          <w:szCs w:val="28"/>
        </w:rPr>
        <w:t xml:space="preserve"> 4</w:t>
      </w:r>
    </w:p>
    <w:p w:rsidR="009E2059" w:rsidRPr="001C1C15" w:rsidRDefault="009E2059" w:rsidP="009E2059">
      <w:pPr>
        <w:rPr>
          <w:sz w:val="28"/>
          <w:szCs w:val="28"/>
        </w:rPr>
      </w:pPr>
    </w:p>
    <w:p w:rsidR="009E2059" w:rsidRPr="001C1C15" w:rsidRDefault="0086211F" w:rsidP="009E2059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9E2059" w:rsidRPr="001C1C15">
        <w:rPr>
          <w:sz w:val="28"/>
          <w:szCs w:val="28"/>
        </w:rPr>
        <w:t xml:space="preserve">жовтня  2023 року                                       </w:t>
      </w:r>
      <w:r w:rsidR="009E2059" w:rsidRPr="001C1C15">
        <w:rPr>
          <w:sz w:val="28"/>
          <w:szCs w:val="28"/>
          <w:lang w:val="en-US"/>
        </w:rPr>
        <w:t>XXII</w:t>
      </w:r>
      <w:r w:rsidR="009E2059" w:rsidRPr="001C1C15">
        <w:rPr>
          <w:sz w:val="28"/>
          <w:szCs w:val="28"/>
        </w:rPr>
        <w:t xml:space="preserve"> сесія восьмого скликання</w:t>
      </w:r>
    </w:p>
    <w:p w:rsidR="009E2059" w:rsidRPr="001C1C15" w:rsidRDefault="009E2059" w:rsidP="009E2059">
      <w:pPr>
        <w:rPr>
          <w:sz w:val="28"/>
          <w:szCs w:val="28"/>
        </w:rPr>
      </w:pPr>
      <w:r w:rsidRPr="001C1C15">
        <w:rPr>
          <w:sz w:val="28"/>
          <w:szCs w:val="28"/>
        </w:rPr>
        <w:t xml:space="preserve">с. Костянтинівка          </w:t>
      </w:r>
    </w:p>
    <w:p w:rsidR="009E2059" w:rsidRPr="00E170C1" w:rsidRDefault="009E2059" w:rsidP="009E2059">
      <w:pPr>
        <w:rPr>
          <w:sz w:val="28"/>
          <w:szCs w:val="28"/>
        </w:rPr>
      </w:pP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Про внесення змін до Положення про відділ 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>містобудування, архітектури та цивільного захисту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>Костянтинівської сільської ради</w:t>
      </w:r>
      <w:bookmarkStart w:id="0" w:name="_GoBack"/>
      <w:bookmarkEnd w:id="0"/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>, викладеному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в  рішенні № 4   від 14.12.2020 року 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</w:pP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>«Про затвердження  </w:t>
      </w:r>
      <w:proofErr w:type="spellStart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>структури</w:t>
      </w:r>
      <w:proofErr w:type="spellEnd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>апарату</w:t>
      </w:r>
      <w:proofErr w:type="spellEnd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proofErr w:type="spellStart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>виконавчого</w:t>
      </w:r>
      <w:proofErr w:type="spellEnd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>комітету</w:t>
      </w:r>
      <w:proofErr w:type="spellEnd"/>
      <w:r w:rsidRPr="00E170C1">
        <w:rPr>
          <w:rFonts w:ascii="inherit" w:hAnsi="inherit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 Костянтинівської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  <w:r w:rsidRPr="00E170C1">
        <w:rPr>
          <w:rFonts w:ascii="inherit" w:hAnsi="inherit"/>
          <w:bCs/>
          <w:sz w:val="28"/>
          <w:szCs w:val="28"/>
          <w:bdr w:val="none" w:sz="0" w:space="0" w:color="auto" w:frame="1"/>
        </w:rPr>
        <w:t>сільської ради»</w:t>
      </w:r>
    </w:p>
    <w:p w:rsidR="009E2059" w:rsidRPr="00E170C1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Cs/>
          <w:sz w:val="28"/>
          <w:szCs w:val="28"/>
          <w:bdr w:val="none" w:sz="0" w:space="0" w:color="auto" w:frame="1"/>
        </w:rPr>
      </w:pPr>
    </w:p>
    <w:p w:rsidR="009E2059" w:rsidRPr="001C1C15" w:rsidRDefault="009E2059" w:rsidP="009E2059">
      <w:pPr>
        <w:shd w:val="clear" w:color="auto" w:fill="FFFFFF"/>
        <w:jc w:val="both"/>
        <w:textAlignment w:val="baseline"/>
        <w:rPr>
          <w:rFonts w:ascii="Lato" w:hAnsi="Lato"/>
          <w:sz w:val="28"/>
          <w:szCs w:val="28"/>
        </w:rPr>
      </w:pPr>
      <w:r w:rsidRPr="001C1C15">
        <w:rPr>
          <w:rFonts w:ascii="Lato" w:hAnsi="Lato"/>
          <w:sz w:val="28"/>
          <w:szCs w:val="28"/>
        </w:rPr>
        <w:t xml:space="preserve">      З метою приведення у відповідність до норм чинного законодавства Положення про відділ містобудування та архітектури Костянтинівської сільської ради, відповідно до статті 25 ,  частини 4 статті 54 Закону України «Про місцеве самоврядування в Україні», Закону України «Про регулювання містобудівної діяльності», пункту 91 Постанови Кабінету Міністрів України від 1 вересня 2021 р. № 926 «Про затвердження Порядку розроблення, оновлення, внесення змін та затвердження містобудівної документації»  </w:t>
      </w:r>
      <w:r w:rsidR="001D416A" w:rsidRPr="001C1C15">
        <w:rPr>
          <w:rFonts w:ascii="Lato" w:hAnsi="Lato"/>
          <w:sz w:val="28"/>
          <w:szCs w:val="28"/>
        </w:rPr>
        <w:t xml:space="preserve">Костянтинівська </w:t>
      </w:r>
      <w:r w:rsidRPr="001C1C15">
        <w:rPr>
          <w:rFonts w:ascii="Lato" w:hAnsi="Lato"/>
          <w:sz w:val="28"/>
          <w:szCs w:val="28"/>
        </w:rPr>
        <w:t>сільська  рада</w:t>
      </w:r>
    </w:p>
    <w:p w:rsidR="009E2059" w:rsidRPr="001C1C15" w:rsidRDefault="009E2059" w:rsidP="009E2059">
      <w:pPr>
        <w:shd w:val="clear" w:color="auto" w:fill="FFFFFF"/>
        <w:jc w:val="both"/>
        <w:textAlignment w:val="baseline"/>
        <w:rPr>
          <w:rFonts w:ascii="inherit" w:hAnsi="inherit"/>
          <w:b/>
          <w:bCs/>
          <w:sz w:val="28"/>
          <w:szCs w:val="28"/>
          <w:bdr w:val="none" w:sz="0" w:space="0" w:color="auto" w:frame="1"/>
        </w:rPr>
      </w:pPr>
      <w:r w:rsidRPr="001C1C15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  </w:t>
      </w:r>
    </w:p>
    <w:p w:rsidR="009E2059" w:rsidRPr="00343B63" w:rsidRDefault="009E2059" w:rsidP="009E2059">
      <w:pPr>
        <w:shd w:val="clear" w:color="auto" w:fill="FFFFFF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343B63">
        <w:rPr>
          <w:bCs/>
          <w:sz w:val="27"/>
          <w:szCs w:val="27"/>
          <w:bdr w:val="none" w:sz="0" w:space="0" w:color="auto" w:frame="1"/>
        </w:rPr>
        <w:t>ВИРІШИЛА:</w:t>
      </w:r>
    </w:p>
    <w:p w:rsidR="00E170C1" w:rsidRDefault="00E170C1" w:rsidP="009E205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E2059" w:rsidRPr="00343B63" w:rsidRDefault="009E2059" w:rsidP="009E2059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43B63">
        <w:rPr>
          <w:sz w:val="28"/>
          <w:szCs w:val="28"/>
        </w:rPr>
        <w:t xml:space="preserve">1.Внести зміни </w:t>
      </w:r>
      <w:r w:rsidRPr="00343B63">
        <w:rPr>
          <w:bCs/>
          <w:sz w:val="28"/>
          <w:szCs w:val="28"/>
        </w:rPr>
        <w:t xml:space="preserve">до Положення про відділ містобудування, архітектури та цивільного захисту  Костянтинівської сільської ради», викладеному  в  рішенні № 4   від 14.12.2020 року « Про затвердження  структури апарату виконавчого комітету  Костянтинівської сільської ради» </w:t>
      </w:r>
      <w:r w:rsidRPr="00343B63">
        <w:rPr>
          <w:bCs/>
          <w:sz w:val="28"/>
          <w:szCs w:val="28"/>
          <w:bdr w:val="none" w:sz="0" w:space="0" w:color="auto" w:frame="1"/>
        </w:rPr>
        <w:t xml:space="preserve"> та викласти його в новій редакції  (додається)</w:t>
      </w:r>
    </w:p>
    <w:p w:rsidR="009E2059" w:rsidRPr="00343B63" w:rsidRDefault="009E2059" w:rsidP="009E20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3B63">
        <w:rPr>
          <w:sz w:val="28"/>
          <w:szCs w:val="28"/>
        </w:rPr>
        <w:t xml:space="preserve">2. Контроль  за виконанням цього рішення покласти на   Постійну комісію Костянтинівської сільської ради з питань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  </w:t>
      </w:r>
    </w:p>
    <w:p w:rsidR="009E2059" w:rsidRPr="001C1C15" w:rsidRDefault="009E2059" w:rsidP="009E205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9E2059" w:rsidRDefault="009E2059" w:rsidP="009E205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1C1C15">
        <w:rPr>
          <w:rFonts w:cs="Arial"/>
          <w:sz w:val="28"/>
          <w:szCs w:val="28"/>
        </w:rPr>
        <w:t xml:space="preserve">Сільський голова                                     </w:t>
      </w:r>
      <w:r w:rsidR="00E170C1">
        <w:rPr>
          <w:rFonts w:cs="Arial"/>
          <w:sz w:val="28"/>
          <w:szCs w:val="28"/>
        </w:rPr>
        <w:t xml:space="preserve">        </w:t>
      </w:r>
      <w:r w:rsidRPr="001C1C15">
        <w:rPr>
          <w:rFonts w:cs="Arial"/>
          <w:sz w:val="28"/>
          <w:szCs w:val="28"/>
        </w:rPr>
        <w:t xml:space="preserve">                      Антон ПАЄНТКО</w:t>
      </w:r>
    </w:p>
    <w:p w:rsidR="007346E6" w:rsidRDefault="007346E6" w:rsidP="009E205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FB15C3" w:rsidRDefault="00FB15C3" w:rsidP="009E205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FB15C3" w:rsidRPr="001C1C15" w:rsidRDefault="00FB15C3" w:rsidP="009E205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0755F7" w:rsidRPr="001C1C15" w:rsidRDefault="000755F7" w:rsidP="000755F7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jc w:val="both"/>
      </w:pPr>
      <w:r w:rsidRPr="001C1C15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1C1C15">
        <w:t>ЗАТВЕРДЖЕНО</w:t>
      </w:r>
    </w:p>
    <w:p w:rsidR="000755F7" w:rsidRPr="001C1C15" w:rsidRDefault="000755F7" w:rsidP="000755F7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jc w:val="both"/>
      </w:pPr>
      <w:r w:rsidRPr="001C1C15">
        <w:t xml:space="preserve">                                                                                                                рішенням сесії  № </w:t>
      </w:r>
      <w:r w:rsidR="0086211F">
        <w:t>4</w:t>
      </w:r>
      <w:r w:rsidRPr="001C1C15">
        <w:t xml:space="preserve">                      </w:t>
      </w:r>
    </w:p>
    <w:p w:rsidR="000755F7" w:rsidRPr="001C1C15" w:rsidRDefault="000755F7" w:rsidP="000755F7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jc w:val="both"/>
      </w:pPr>
      <w:r w:rsidRPr="001C1C15">
        <w:t xml:space="preserve">                                                                                     </w:t>
      </w:r>
      <w:r w:rsidR="0086211F">
        <w:t xml:space="preserve">                           від 19.10.</w:t>
      </w:r>
      <w:r w:rsidRPr="001C1C15">
        <w:t>2023р.</w:t>
      </w:r>
    </w:p>
    <w:p w:rsidR="000755F7" w:rsidRPr="001C1C15" w:rsidRDefault="000755F7" w:rsidP="000755F7">
      <w:pPr>
        <w:pStyle w:val="a3"/>
        <w:shd w:val="clear" w:color="auto" w:fill="FFFFFF"/>
        <w:tabs>
          <w:tab w:val="left" w:pos="5625"/>
        </w:tabs>
        <w:spacing w:before="225" w:beforeAutospacing="0" w:after="0" w:afterAutospacing="0"/>
        <w:jc w:val="center"/>
        <w:rPr>
          <w:b/>
          <w:sz w:val="28"/>
          <w:szCs w:val="28"/>
        </w:rPr>
      </w:pPr>
      <w:r w:rsidRPr="001C1C15">
        <w:rPr>
          <w:b/>
          <w:sz w:val="28"/>
          <w:szCs w:val="28"/>
        </w:rPr>
        <w:t>Положення</w:t>
      </w:r>
    </w:p>
    <w:p w:rsidR="000755F7" w:rsidRPr="001C1C15" w:rsidRDefault="000755F7" w:rsidP="000755F7">
      <w:pPr>
        <w:ind w:right="-283"/>
        <w:jc w:val="center"/>
        <w:rPr>
          <w:b/>
          <w:sz w:val="28"/>
          <w:szCs w:val="28"/>
        </w:rPr>
      </w:pPr>
      <w:r w:rsidRPr="001C1C15">
        <w:rPr>
          <w:b/>
          <w:sz w:val="28"/>
          <w:szCs w:val="28"/>
        </w:rPr>
        <w:t xml:space="preserve">про відділ містобудування, архітектури  та цивільного захисту  </w:t>
      </w:r>
    </w:p>
    <w:p w:rsidR="000755F7" w:rsidRPr="001C1C15" w:rsidRDefault="000755F7" w:rsidP="000755F7">
      <w:pPr>
        <w:ind w:right="-283"/>
        <w:jc w:val="center"/>
        <w:rPr>
          <w:b/>
          <w:sz w:val="28"/>
          <w:szCs w:val="28"/>
        </w:rPr>
      </w:pPr>
      <w:r w:rsidRPr="001C1C15">
        <w:rPr>
          <w:b/>
          <w:sz w:val="28"/>
          <w:szCs w:val="28"/>
        </w:rPr>
        <w:t>Костянтинівської сільської ради</w:t>
      </w:r>
    </w:p>
    <w:p w:rsidR="000755F7" w:rsidRPr="001C1C15" w:rsidRDefault="000755F7" w:rsidP="00FB15C3">
      <w:pPr>
        <w:pStyle w:val="a6"/>
        <w:tabs>
          <w:tab w:val="left" w:pos="-709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0755F7" w:rsidRPr="001C1C15" w:rsidRDefault="000755F7" w:rsidP="00FB15C3">
      <w:pPr>
        <w:ind w:right="-283"/>
        <w:jc w:val="both"/>
        <w:rPr>
          <w:sz w:val="28"/>
          <w:szCs w:val="28"/>
        </w:rPr>
      </w:pPr>
      <w:r w:rsidRPr="001C1C15">
        <w:rPr>
          <w:sz w:val="28"/>
          <w:szCs w:val="28"/>
        </w:rPr>
        <w:t>1.1. Відділ містобудування та архітектури та цивільного захисту Костянтинівської сільської ради являється спеціальним уповноваженим органом з питань містобудування та архітектури, з виконанням завдань з питань цивільного захисту є  підзвітним і підконтрольним сільській раді, виконавчому комітету та сільському голові</w:t>
      </w:r>
    </w:p>
    <w:p w:rsidR="000755F7" w:rsidRPr="001C1C15" w:rsidRDefault="000755F7" w:rsidP="00FB15C3">
      <w:pPr>
        <w:ind w:right="-283"/>
        <w:jc w:val="both"/>
        <w:rPr>
          <w:sz w:val="28"/>
          <w:szCs w:val="28"/>
        </w:rPr>
      </w:pPr>
      <w:r w:rsidRPr="001C1C15">
        <w:rPr>
          <w:sz w:val="28"/>
          <w:szCs w:val="28"/>
        </w:rPr>
        <w:t>1.2. Структура відділу та його чисельність визначається Костянтинівською сільською радою в межах граничної чисельності та коштів.</w:t>
      </w:r>
    </w:p>
    <w:p w:rsidR="000755F7" w:rsidRPr="001C1C15" w:rsidRDefault="000755F7" w:rsidP="00FB15C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1.3 Відділ очолює начальник відділу. Призначення начальника відділу та  інших працівників відділу здійснюється сільським головою після проходження конкурсу на заміщення вакантних посад, або за іншою процедурою, передбаченою </w:t>
      </w:r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Законами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„Про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“, „Про службу в органах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“. </w:t>
      </w:r>
    </w:p>
    <w:p w:rsidR="000755F7" w:rsidRPr="001C1C15" w:rsidRDefault="000755F7" w:rsidP="00FB15C3">
      <w:pPr>
        <w:pStyle w:val="a6"/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1C1C1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1C1C1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наказами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1C1C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.</w:t>
      </w:r>
    </w:p>
    <w:p w:rsidR="000755F7" w:rsidRPr="001C1C15" w:rsidRDefault="000755F7" w:rsidP="00FB15C3">
      <w:pPr>
        <w:pStyle w:val="a6"/>
        <w:tabs>
          <w:tab w:val="left" w:pos="567"/>
        </w:tabs>
        <w:spacing w:line="240" w:lineRule="auto"/>
        <w:ind w:left="-142" w:right="-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b/>
          <w:sz w:val="28"/>
          <w:szCs w:val="28"/>
          <w:lang w:val="uk-UA"/>
        </w:rPr>
        <w:t>2. Завдання та повноваження Відділу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1C1C1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C1C1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: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2.1.1.Основними завданнями відділу у сфері містобудування, архітектури та цивільного захисту є: забезпечення реалізації державної політики у сфері містобудування та архітектури на території Костянтинівської сільської ради; аналіз стану містобудування на території Костянтинівської сільської ради, організація розроблення, проведення експертизи і забезпечення затвердження в установленому порядку генеральних планів населених пунктів Костянтинівської сільської ради, його складових частин, іншої містобудівної документації; забезпечення додержання законодавства у сфері містобудування та архітектури, державних стандартів, норм і правил, регіональних правил забудови населених пунктів, затвердженої містобудівної документації та реалізації заходів цивільного захисту;</w:t>
      </w:r>
    </w:p>
    <w:p w:rsidR="000755F7" w:rsidRPr="001C1C15" w:rsidRDefault="001C1C1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2.1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.2. Бере участь у реалізації державної політики у сфері містобудування та архітектури, подає до Костянтинівської сільської ради пропозиції з цих питань;</w:t>
      </w:r>
    </w:p>
    <w:p w:rsidR="000755F7" w:rsidRPr="001C1C15" w:rsidRDefault="001C1C1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2.1.3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Веде облік забезпеченості містобудівною документацією Костянтинівської сільської ради, вносить пропозиції Костянтинівській сільській раді щодо необхідності розроблення та коригування відповідної містобудівної документації;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2.1.4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у випадках, встановлених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Костянтинівської сільської ради висновки з цих питань;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2.1.5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Розробляє та подає до Костянтинівської сільської ради пропозиції щодо розміщення, будівництва житлово-цивільних, комунальних, промислових та інших об’єктів, створення інженерно-транспортної інфраструктури, розглядає і погоджує проекти конкретних об’єктів архітектури та надає замовникам висновки щодо їх затвердження;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2.1.6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Координує та контролює на території Костянтинівської сільської ради виконання науково-дослідних і проектно-вишукувальних робіт у сфері містобудування;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2.1.7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Організовує в порядку, визначеному чинним законодавством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питань;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</w:rPr>
        <w:t>2.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2895">
        <w:rPr>
          <w:rFonts w:ascii="Times New Roman" w:hAnsi="Times New Roman" w:cs="Times New Roman"/>
          <w:sz w:val="28"/>
          <w:szCs w:val="28"/>
        </w:rPr>
        <w:t>.</w:t>
      </w:r>
      <w:r w:rsidR="001D28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C1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вишукувань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Костянтинівської</w:t>
      </w:r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2.1.9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. Надає містобудівні умови та обмеження забудови земельних ділянок, інші вихідні дані на проектування об’єктів архітектури для нового будівництва, розширення, реконструкції, реставрації, капітального ремонту, благоустрою територій у порядку, визначеному законодавством України. 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</w:rPr>
        <w:t>2.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2895">
        <w:rPr>
          <w:rFonts w:ascii="Times New Roman" w:hAnsi="Times New Roman" w:cs="Times New Roman"/>
          <w:sz w:val="28"/>
          <w:szCs w:val="28"/>
        </w:rPr>
        <w:t>.</w:t>
      </w:r>
      <w:r w:rsidR="001D289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C1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C1C1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ітектурні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благоустрою, монументального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монументально-декоративного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;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</w:rPr>
        <w:t>2.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2895">
        <w:rPr>
          <w:rFonts w:ascii="Times New Roman" w:hAnsi="Times New Roman" w:cs="Times New Roman"/>
          <w:sz w:val="28"/>
          <w:szCs w:val="28"/>
        </w:rPr>
        <w:t>.1</w:t>
      </w:r>
      <w:r w:rsidR="001D28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1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забудовникам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Костянтинівської</w:t>
      </w:r>
      <w:r w:rsidRPr="001C1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будинкі</w:t>
      </w:r>
      <w:proofErr w:type="gramStart"/>
      <w:r w:rsidRPr="001C1C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;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</w:rPr>
        <w:t>2.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2895">
        <w:rPr>
          <w:rFonts w:ascii="Times New Roman" w:hAnsi="Times New Roman" w:cs="Times New Roman"/>
          <w:sz w:val="28"/>
          <w:szCs w:val="28"/>
        </w:rPr>
        <w:t>.1</w:t>
      </w:r>
      <w:r w:rsidR="001D28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1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proofErr w:type="gramStart"/>
      <w:r w:rsidRPr="001C1C1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ітектурних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містобудівних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2.1.13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Організовує створення та ведення містобудівного кадастру,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2.1.14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Створює і веде архів містобудівної документації, матеріалів містобудівного кадастру;</w:t>
      </w:r>
    </w:p>
    <w:p w:rsidR="000755F7" w:rsidRPr="001C1C15" w:rsidRDefault="001D2895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2.1.15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Інформує населення через засоби масової інформації про розроблення містобудівних програм розвитку Костянтинівської. сільської ради, розміщення найважливіших об’єктів архітектури, організовує їх громадське обговорення в порядку, встановленому законодавством України;</w:t>
      </w:r>
    </w:p>
    <w:p w:rsidR="000755F7" w:rsidRPr="001C1C15" w:rsidRDefault="001D2895" w:rsidP="00FB15C3">
      <w:pPr>
        <w:pStyle w:val="a6"/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2.1.16</w:t>
      </w:r>
      <w:r w:rsidR="000755F7" w:rsidRPr="001C1C15">
        <w:rPr>
          <w:rFonts w:ascii="Times New Roman" w:hAnsi="Times New Roman" w:cs="Times New Roman"/>
          <w:sz w:val="28"/>
          <w:szCs w:val="28"/>
          <w:lang w:val="uk-UA"/>
        </w:rPr>
        <w:t>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заходів.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>2.2. У сфері цивільного захисту: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2.2.1. Забезпечує оповіщення та інформування про загрозу або виникнення надзвичайних ситуацій.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>2.2.2. Організовує оповіщення про загрозу виникнення або виникнення надзвичайних ситуацій здійснюється органами місцевої влади, керівниками об’єктів господарської діяльності.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lastRenderedPageBreak/>
        <w:t xml:space="preserve">2.2.3. </w:t>
      </w:r>
      <w:proofErr w:type="spellStart"/>
      <w:r w:rsidRPr="001C1C15">
        <w:rPr>
          <w:sz w:val="28"/>
          <w:szCs w:val="28"/>
        </w:rPr>
        <w:t>Оповіщує</w:t>
      </w:r>
      <w:proofErr w:type="spellEnd"/>
      <w:r w:rsidRPr="001C1C15">
        <w:rPr>
          <w:sz w:val="28"/>
          <w:szCs w:val="28"/>
        </w:rPr>
        <w:t xml:space="preserve"> про загрозу виникнення або виникнення надзвичайних ситуацій полягає у своєчасному доведенні відповідної інформації до органів управління цивільного захисту, сил цивільного захисту, суб’єктів господарювання, що належать до сільської ради та населення і забезпечується шляхом використання  системи оповіщення цивільного захисту, локальних та об’єктових систем оповіщення.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>2.2.4. Здійснює оповіщення на приведення системи цивільного захисту у вищі ступені готовності органів управління, спеціалізованих служб цивільного захисту .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  Реагування на надзвичайні ситуації та ліквідація їх наслідків.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2.2.5. Для координації робіт з ліквідації наслідків надзвичайних ситуацій, залучення сил і засобів цивільного захисту  та функціональних підсистем ЄДСЦЗ створена комісія з питань техногенно-екологічної безпеки і надзвичайних ситуацій. У разі потреби розпорядженням голови утворюється спеціальна комісія з ліквідації наслідків надзвичайної ситуації.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2.2.6. Для безпосередньої організації робіт з ліквідації наслідків надзвичайної ситуації та керівництва залученими органами управління, силами і службами підприємств, організацій, установ територіальної громади призначається керівник робіт з ліквідації наслідків надзвичайних ситуацій.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>2.2.7. Залежно від рівня надзвичайної ситуації керівником робіт з ліквідації наслідків надзвичайних ситуацій призначається один із заступників голови, а у разі невідкладних дій – керівник суб’єкту господарювання.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2.2.8. До прибуття керівника робіт з ліквідації наслідків надзвичайної ситуації його обов’язки виконує керівник підрозділу  сил цивільного захисту або оперативної групи, який прибув до зони надзвичайної ситуації першим.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2.2.9. Для безпосередньої організації і координації аварійно-рятувальних та інших невідкладних робіт з ліквідації наслідків надзвичайної ситуації утворюється штаб з ліквідації наслідків надзвичайної ситуації, який є робочим органом керівника робіт з ліквідації наслідків надзвичайної ситуації.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2.2.10. Залучення сил цивільного захисту до ліквідації наслідків надзвичайних ситуацій здійснюється згідно з планами реагування на надзвичайні ситуації, планами локалізації і ліквідації наслідків аварії на об’єктах підвищеної небезпеки, а також планами залучення сил та засобів на гасіння пожеж. 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>2.2.11.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об’єднання (добровільні формування цивільного захисту) за наявності в учасників, які залучаються до таких робіт, відповідного рівня підготовки у порядку, визначеному керівництвом такого об’єднання або керівником робіт з ліквідації наслідків надзвичайної ситуації.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 xml:space="preserve">2.2.12. Сили цивільного захисту, крім добровільних формувань цивільного захисту, укомплектовуються персоналом (кадрами) та забезпечуються засобами цивільного захисту з урахуванням необхідності проведення робіт у автономному режимі протягом не менше трьох діб за рахунок суб’єктів господарювання об’єднаної територіальної громади, які їх створюють. </w:t>
      </w:r>
    </w:p>
    <w:p w:rsidR="000755F7" w:rsidRPr="001C1C15" w:rsidRDefault="000755F7" w:rsidP="00FB15C3">
      <w:pPr>
        <w:pStyle w:val="a6"/>
        <w:tabs>
          <w:tab w:val="left" w:pos="1110"/>
        </w:tabs>
        <w:spacing w:line="240" w:lineRule="auto"/>
        <w:ind w:left="0" w:right="-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b/>
          <w:sz w:val="28"/>
          <w:szCs w:val="28"/>
          <w:lang w:val="uk-UA"/>
        </w:rPr>
        <w:t>3. Права Відділу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3.1. Відділ має право: скликати в установленому порядку наради, проводити семінари з питань, що належать до його компетенції; залучати спеціалістів інших структурних підрозділів виконавчого комітету Костянтинівської сільської ради, підприємств, установ та організацій, об’єднань громадян (за погодженням з </w:t>
      </w:r>
      <w:r w:rsidRPr="001C1C15">
        <w:rPr>
          <w:rFonts w:ascii="Times New Roman" w:hAnsi="Times New Roman" w:cs="Times New Roman"/>
          <w:sz w:val="28"/>
          <w:szCs w:val="28"/>
          <w:lang w:val="uk-UA"/>
        </w:rPr>
        <w:lastRenderedPageBreak/>
        <w:t>їхніми керівниками) для розгляду питань, що належать до компетенції відділу; одержувати в установленому порядку від інших структурних підрозділів виконавчого комітету Костянтинівської сільської ради,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 завдань;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3.2. Для розгляду містобудівних, архітектурних та інженерних проектних рішень об’єктів архітектури при відділі утворюється архітектурно-містобудівна рада. </w:t>
      </w:r>
      <w:proofErr w:type="spellStart"/>
      <w:proofErr w:type="gramStart"/>
      <w:r w:rsidRPr="001C1C1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ітектурно-містобудівна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архітектурно-містобудівну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раду,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Мінрегіоном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b/>
          <w:sz w:val="28"/>
          <w:szCs w:val="28"/>
          <w:lang w:val="uk-UA"/>
        </w:rPr>
        <w:t>4. Керівництво Відділом</w:t>
      </w:r>
    </w:p>
    <w:p w:rsidR="000755F7" w:rsidRPr="001C1C15" w:rsidRDefault="000755F7" w:rsidP="00FB15C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 xml:space="preserve">4.1. Відділ очолює начальник, який призначається на посаду та звільняється з посади сільським головою на основі конкурсного відбору або за іншою процедурою, передбаченою </w:t>
      </w:r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Законами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„Про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“, „Про службу в органах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1C1C15">
        <w:rPr>
          <w:rFonts w:ascii="Times New Roman" w:hAnsi="Times New Roman" w:cs="Times New Roman"/>
          <w:sz w:val="28"/>
          <w:szCs w:val="28"/>
          <w:lang w:val="ru-RU"/>
        </w:rPr>
        <w:t xml:space="preserve">“. 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 Начальник Відділу: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4.2.1. Здійснює загальне керівництво діяльністю Відділу.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4.2.2. Узгоджує посадові обов’язки працівників Відділу.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4.2.3. Координує роботу Відділу з іншими виконавчими органами Костянтинівської сільської ради.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контроль за станом справ у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діяльност</w:t>
      </w:r>
      <w:proofErr w:type="gramStart"/>
      <w:r w:rsidRPr="001C1C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4.2.5. Підтримує зв’язки з відповідними відділами та управліннями виконавчих комітетів інших сільських рад з питань обміну досвідом.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4.2.6. Бере участь у засіданнях Костянтинівської сільської ради, виконавчого комітету, нарадах Костянтинівського сільського голови з питань, що стосуються компетенції Відділу.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4.2.7. Розподіляє обов’язки між працівниками Відділу, очолює і контролює їх роботу.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1C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C15">
        <w:rPr>
          <w:rFonts w:ascii="Times New Roman" w:hAnsi="Times New Roman" w:cs="Times New Roman"/>
          <w:sz w:val="28"/>
          <w:szCs w:val="28"/>
        </w:rPr>
        <w:t>ідділі</w:t>
      </w:r>
      <w:proofErr w:type="spellEnd"/>
      <w:r w:rsidRPr="001C1C15">
        <w:rPr>
          <w:rFonts w:ascii="Times New Roman" w:hAnsi="Times New Roman" w:cs="Times New Roman"/>
          <w:sz w:val="28"/>
          <w:szCs w:val="28"/>
        </w:rPr>
        <w:t>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4.2.9. Виконує інші доручення сільського голови та  керівництва виконавчого комітету міської ради, пов’язані з діяльністю Відділу.</w:t>
      </w:r>
    </w:p>
    <w:p w:rsidR="000755F7" w:rsidRPr="001C1C15" w:rsidRDefault="000755F7" w:rsidP="00FB15C3">
      <w:pPr>
        <w:pStyle w:val="a6"/>
        <w:spacing w:line="240" w:lineRule="auto"/>
        <w:ind w:left="0" w:right="-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b/>
          <w:sz w:val="28"/>
          <w:szCs w:val="28"/>
          <w:lang w:val="uk-UA"/>
        </w:rPr>
        <w:t>5. Заключні положення</w:t>
      </w:r>
    </w:p>
    <w:p w:rsidR="000755F7" w:rsidRPr="001C1C15" w:rsidRDefault="000755F7" w:rsidP="00FB15C3">
      <w:pPr>
        <w:pStyle w:val="a6"/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15">
        <w:rPr>
          <w:rFonts w:ascii="Times New Roman" w:hAnsi="Times New Roman" w:cs="Times New Roman"/>
          <w:sz w:val="28"/>
          <w:szCs w:val="28"/>
          <w:lang w:val="uk-UA"/>
        </w:rPr>
        <w:t>5.1. Виконком Костянтинівської сільської ради створює умови для ефективної праці фахівців Відділу, підвищення їх кваліфікації, забезпечує їх приміщеннями, обладнанням,  оргтехнікою та необхідними матеріалами для виконання покладених на Відділ завдань.</w:t>
      </w:r>
    </w:p>
    <w:p w:rsidR="000755F7" w:rsidRPr="001C1C15" w:rsidRDefault="000755F7" w:rsidP="00FB15C3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1C1C15">
        <w:rPr>
          <w:sz w:val="28"/>
          <w:szCs w:val="28"/>
        </w:rPr>
        <w:t>5.2. Фінансування робіт із запобігання та ліквідації надзвичайних ситуацій здійснюється у порядку, встановленому Кабінетом Міністрів України.</w:t>
      </w:r>
    </w:p>
    <w:p w:rsidR="000755F7" w:rsidRPr="001C1C15" w:rsidRDefault="000755F7" w:rsidP="00FB15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C15">
        <w:rPr>
          <w:sz w:val="28"/>
          <w:szCs w:val="28"/>
        </w:rPr>
        <w:t>5.3. Відділ утворюється, реорганізується та ліквідується за рішенням сільської ради.</w:t>
      </w:r>
    </w:p>
    <w:p w:rsidR="000755F7" w:rsidRPr="001C1C15" w:rsidRDefault="000755F7" w:rsidP="00FB15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55F7" w:rsidRPr="001C1C15" w:rsidRDefault="000755F7" w:rsidP="00FB15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211F" w:rsidRDefault="000755F7" w:rsidP="00FB15C3">
      <w:pPr>
        <w:pStyle w:val="normal"/>
        <w:widowControl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1C15">
        <w:rPr>
          <w:rFonts w:ascii="Times New Roman" w:hAnsi="Times New Roman" w:cs="Times New Roman"/>
          <w:sz w:val="28"/>
          <w:szCs w:val="28"/>
        </w:rPr>
        <w:t xml:space="preserve"> Заступник сільського голови   </w:t>
      </w:r>
    </w:p>
    <w:p w:rsidR="000755F7" w:rsidRPr="001C1C15" w:rsidRDefault="0086211F" w:rsidP="00FB15C3">
      <w:pPr>
        <w:pStyle w:val="normal"/>
        <w:widowControl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F7" w:rsidRPr="001C1C15">
        <w:rPr>
          <w:rFonts w:ascii="Times New Roman" w:hAnsi="Times New Roman" w:cs="Times New Roman"/>
          <w:sz w:val="28"/>
          <w:szCs w:val="28"/>
        </w:rPr>
        <w:t>з питань діяльності</w:t>
      </w:r>
    </w:p>
    <w:p w:rsidR="000755F7" w:rsidRPr="001C1C15" w:rsidRDefault="000755F7" w:rsidP="00FB15C3">
      <w:pPr>
        <w:pStyle w:val="normal"/>
        <w:widowControl w:val="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1C15">
        <w:rPr>
          <w:rFonts w:ascii="Times New Roman" w:hAnsi="Times New Roman" w:cs="Times New Roman"/>
          <w:sz w:val="28"/>
          <w:szCs w:val="28"/>
        </w:rPr>
        <w:t xml:space="preserve"> виконавчих органів ради                                       </w:t>
      </w:r>
      <w:r w:rsidR="0086211F">
        <w:rPr>
          <w:rFonts w:ascii="Times New Roman" w:hAnsi="Times New Roman" w:cs="Times New Roman"/>
          <w:sz w:val="28"/>
          <w:szCs w:val="28"/>
        </w:rPr>
        <w:t xml:space="preserve">    </w:t>
      </w:r>
      <w:r w:rsidRPr="001C1C15">
        <w:rPr>
          <w:rFonts w:ascii="Times New Roman" w:hAnsi="Times New Roman" w:cs="Times New Roman"/>
          <w:sz w:val="28"/>
          <w:szCs w:val="28"/>
        </w:rPr>
        <w:t>Олександр ГРИЦЕНКО</w:t>
      </w:r>
    </w:p>
    <w:sectPr w:rsidR="000755F7" w:rsidRPr="001C1C15" w:rsidSect="00FB15C3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59"/>
    <w:rsid w:val="0004077F"/>
    <w:rsid w:val="000667D4"/>
    <w:rsid w:val="000755F7"/>
    <w:rsid w:val="001C1C15"/>
    <w:rsid w:val="001D2895"/>
    <w:rsid w:val="001D416A"/>
    <w:rsid w:val="00343B63"/>
    <w:rsid w:val="00691078"/>
    <w:rsid w:val="007346E6"/>
    <w:rsid w:val="00797FA6"/>
    <w:rsid w:val="0086211F"/>
    <w:rsid w:val="009E2059"/>
    <w:rsid w:val="00BA7EED"/>
    <w:rsid w:val="00CB1B5B"/>
    <w:rsid w:val="00D73F6F"/>
    <w:rsid w:val="00DA0002"/>
    <w:rsid w:val="00DC28B4"/>
    <w:rsid w:val="00DD29DA"/>
    <w:rsid w:val="00E170C1"/>
    <w:rsid w:val="00EC78AB"/>
    <w:rsid w:val="00ED0384"/>
    <w:rsid w:val="00F9123C"/>
    <w:rsid w:val="00FB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59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9E2059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5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755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normal">
    <w:name w:val="normal"/>
    <w:uiPriority w:val="99"/>
    <w:rsid w:val="000755F7"/>
    <w:pPr>
      <w:spacing w:after="0"/>
    </w:pPr>
    <w:rPr>
      <w:rFonts w:ascii="Arial" w:eastAsia="Arial" w:hAnsi="Arial" w:cs="Arial"/>
      <w:lang w:val="uk-UA" w:eastAsia="uk-UA"/>
    </w:rPr>
  </w:style>
  <w:style w:type="paragraph" w:customStyle="1" w:styleId="PreformattedText">
    <w:name w:val="Preformatted Text"/>
    <w:basedOn w:val="a"/>
    <w:uiPriority w:val="99"/>
    <w:qFormat/>
    <w:rsid w:val="000755F7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2023-10-27T11:57:00Z</cp:lastPrinted>
  <dcterms:created xsi:type="dcterms:W3CDTF">2023-10-09T11:56:00Z</dcterms:created>
  <dcterms:modified xsi:type="dcterms:W3CDTF">2023-10-27T11:59:00Z</dcterms:modified>
</cp:coreProperties>
</file>