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DDBCE" w14:textId="77777777" w:rsidR="006E7C4A" w:rsidRPr="00276917" w:rsidRDefault="006E7C4A" w:rsidP="006E7C4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</w:pPr>
      <w:r w:rsidRP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Відділ освіти, культури,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</w:t>
      </w:r>
      <w:r w:rsidRP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молоді та спорту Костянтинівської сільської ради</w:t>
      </w:r>
    </w:p>
    <w:p w14:paraId="3E162176" w14:textId="77777777" w:rsidR="006E7C4A" w:rsidRPr="00276917" w:rsidRDefault="006E7C4A" w:rsidP="006E7C4A">
      <w:pPr>
        <w:spacing w:after="0" w:line="240" w:lineRule="auto"/>
        <w:jc w:val="center"/>
        <w:rPr>
          <w:rStyle w:val="rvts0"/>
          <w:b/>
          <w:sz w:val="28"/>
          <w:szCs w:val="28"/>
        </w:rPr>
      </w:pPr>
    </w:p>
    <w:p w14:paraId="720E8B79" w14:textId="77777777" w:rsidR="006E7C4A" w:rsidRPr="00276917" w:rsidRDefault="006E7C4A" w:rsidP="006E7C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6917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</w:t>
      </w:r>
    </w:p>
    <w:p w14:paraId="33099878" w14:textId="7F1DAB4A" w:rsidR="006E7C4A" w:rsidRPr="00AB3F5E" w:rsidRDefault="006E7C4A" w:rsidP="00010F33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характеристик </w:t>
      </w:r>
      <w:proofErr w:type="spellStart"/>
      <w:r w:rsidRPr="00276917">
        <w:rPr>
          <w:rFonts w:ascii="Times New Roman" w:hAnsi="Times New Roman" w:cs="Times New Roman"/>
          <w:b/>
          <w:bCs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39535815"/>
      <w:r w:rsidR="00AB3F5E" w:rsidRPr="00AB3F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Поточний   ремонт </w:t>
      </w:r>
      <w:r w:rsidR="00010F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протирадіаційного укриття </w:t>
      </w:r>
      <w:r w:rsidR="009221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№54146 </w:t>
      </w:r>
      <w:r w:rsidR="00010F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Новопетрівського </w:t>
      </w:r>
      <w:r w:rsidR="00AB3F5E" w:rsidRPr="00AB3F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ЗДО за </w:t>
      </w:r>
      <w:proofErr w:type="spellStart"/>
      <w:r w:rsidR="00AB3F5E" w:rsidRPr="00AB3F5E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адресою</w:t>
      </w:r>
      <w:proofErr w:type="spellEnd"/>
      <w:r w:rsidR="00AB3F5E" w:rsidRPr="00AB3F5E">
        <w:rPr>
          <w:rFonts w:ascii="Times New Roman" w:hAnsi="Times New Roman" w:cs="Times New Roman"/>
          <w:b/>
          <w:bCs/>
          <w:sz w:val="28"/>
          <w:szCs w:val="28"/>
          <w:lang w:val="uk-UA"/>
        </w:rPr>
        <w:t>: вул.С</w:t>
      </w:r>
      <w:r w:rsidR="00010F33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адова</w:t>
      </w:r>
      <w:r w:rsidR="00AB3F5E" w:rsidRPr="00AB3F5E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010F33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AB3F5E" w:rsidRPr="00AB3F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4,   </w:t>
      </w:r>
      <w:proofErr w:type="spellStart"/>
      <w:r w:rsidR="00AB3F5E" w:rsidRPr="00AB3F5E">
        <w:rPr>
          <w:rFonts w:ascii="Times New Roman" w:hAnsi="Times New Roman" w:cs="Times New Roman"/>
          <w:b/>
          <w:bCs/>
          <w:sz w:val="28"/>
          <w:szCs w:val="28"/>
          <w:lang w:val="uk-UA"/>
        </w:rPr>
        <w:t>с.</w:t>
      </w:r>
      <w:r w:rsidR="00010F3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Новопетрівське</w:t>
      </w:r>
      <w:proofErr w:type="spellEnd"/>
      <w:r w:rsidR="00AB3F5E" w:rsidRPr="00AB3F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Миколаївський   </w:t>
      </w:r>
      <w:proofErr w:type="spellStart"/>
      <w:r w:rsidR="00AB3F5E" w:rsidRPr="00AB3F5E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9221D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айон</w:t>
      </w:r>
      <w:r w:rsidR="0086124A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="00AB3F5E" w:rsidRPr="00AB3F5E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Миколаївська обл</w:t>
      </w:r>
      <w:r w:rsidR="009221D0">
        <w:rPr>
          <w:rFonts w:ascii="Times New Roman" w:hAnsi="Times New Roman" w:cs="Times New Roman"/>
          <w:b/>
          <w:bCs/>
          <w:sz w:val="28"/>
          <w:szCs w:val="28"/>
          <w:lang w:val="uk-UA"/>
        </w:rPr>
        <w:t>асть</w:t>
      </w:r>
      <w:r w:rsidRPr="006E7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E7C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код </w:t>
      </w:r>
      <w:r w:rsidRPr="006E7C4A"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>4</w:t>
      </w:r>
      <w:r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>500</w:t>
      </w:r>
      <w:r w:rsidRPr="006E7C4A"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>0000-</w:t>
      </w:r>
      <w:r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>7</w:t>
      </w:r>
      <w:r w:rsidRPr="00276917"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>Будівельні роботи та поточний ремонт з</w:t>
      </w:r>
      <w:r w:rsidRPr="006E7C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 ДК 021:2015 «Єдиний закупівельний словник»</w:t>
      </w:r>
      <w:bookmarkEnd w:id="0"/>
      <w:r w:rsidRPr="006E7C4A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6E7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E7C4A">
        <w:rPr>
          <w:rFonts w:ascii="Times New Roman" w:hAnsi="Times New Roman" w:cs="Times New Roman"/>
          <w:bCs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  <w:r w:rsidRPr="006E7C4A">
        <w:rPr>
          <w:rStyle w:val="a3"/>
          <w:rFonts w:ascii="Times New Roman" w:hAnsi="Times New Roman" w:cs="Times New Roman"/>
          <w:bCs/>
          <w:sz w:val="28"/>
          <w:szCs w:val="28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22B02A5" w14:textId="77777777" w:rsidR="006E7C4A" w:rsidRPr="006E7C4A" w:rsidRDefault="006E7C4A" w:rsidP="006E7C4A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113F9F" w14:textId="77777777" w:rsidR="006E7C4A" w:rsidRPr="00A402FE" w:rsidRDefault="006E7C4A" w:rsidP="006E7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402F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Відділ освіти,</w:t>
      </w:r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культури, молоді та спорту Костянтинівської сільської ради</w:t>
      </w:r>
      <w:r w:rsidRPr="00A402F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Миколаївська</w:t>
      </w:r>
      <w:r w:rsidRPr="00A402F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область,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Миколаївський </w:t>
      </w:r>
      <w:r w:rsidRPr="00A402F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район, село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Костянтинівка</w:t>
      </w:r>
      <w:r w:rsidRPr="00A402F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вулиця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Гагаріна,2</w:t>
      </w:r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9а</w:t>
      </w:r>
      <w:r w:rsidRPr="00A402F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код ЄДРПОУ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44057323</w:t>
      </w:r>
      <w:r w:rsidRPr="00A402F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орган місцевого самоврядування. </w:t>
      </w:r>
    </w:p>
    <w:p w14:paraId="7A8EE870" w14:textId="5626726D" w:rsidR="0014581B" w:rsidRDefault="006E7C4A" w:rsidP="0014581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402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Назва предмета закупівлі </w:t>
      </w:r>
      <w:r w:rsidRPr="00A4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A40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14397" w:rsidRPr="00C143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Поточний   ремонт </w:t>
      </w:r>
      <w:r w:rsidR="00010F33" w:rsidRPr="00010F33">
        <w:rPr>
          <w:rFonts w:ascii="Times New Roman" w:hAnsi="Times New Roman" w:cs="Times New Roman"/>
          <w:bCs/>
          <w:sz w:val="28"/>
          <w:szCs w:val="28"/>
          <w:lang w:val="uk-UA"/>
        </w:rPr>
        <w:t>протирадіаційного укриття</w:t>
      </w:r>
      <w:r w:rsidR="00010F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№54146</w:t>
      </w:r>
      <w:r w:rsidR="00010F33" w:rsidRPr="00010F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Новопетрівського  ЗДО за </w:t>
      </w:r>
      <w:proofErr w:type="spellStart"/>
      <w:r w:rsidR="00010F33" w:rsidRPr="00010F33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="00010F33" w:rsidRPr="00010F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вул.Садова,24,   </w:t>
      </w:r>
      <w:proofErr w:type="spellStart"/>
      <w:r w:rsidR="00010F33" w:rsidRPr="00010F33">
        <w:rPr>
          <w:rFonts w:ascii="Times New Roman" w:hAnsi="Times New Roman" w:cs="Times New Roman"/>
          <w:bCs/>
          <w:sz w:val="28"/>
          <w:szCs w:val="28"/>
          <w:lang w:val="uk-UA"/>
        </w:rPr>
        <w:t>с.Новопетрівське</w:t>
      </w:r>
      <w:proofErr w:type="spellEnd"/>
      <w:r w:rsidR="00010F33" w:rsidRPr="00010F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Миколаївський   </w:t>
      </w:r>
      <w:proofErr w:type="spellStart"/>
      <w:r w:rsidR="00010F33" w:rsidRPr="00010F33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9221D0">
        <w:rPr>
          <w:rFonts w:ascii="Times New Roman" w:hAnsi="Times New Roman" w:cs="Times New Roman"/>
          <w:bCs/>
          <w:sz w:val="28"/>
          <w:szCs w:val="28"/>
          <w:lang w:val="uk-UA"/>
        </w:rPr>
        <w:t>айон</w:t>
      </w:r>
      <w:r w:rsidR="00010F33" w:rsidRPr="00010F33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proofErr w:type="spellEnd"/>
      <w:r w:rsidR="00010F33" w:rsidRPr="00010F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Миколаївська </w:t>
      </w:r>
      <w:proofErr w:type="spellStart"/>
      <w:r w:rsidR="00010F33" w:rsidRPr="00010F33">
        <w:rPr>
          <w:rFonts w:ascii="Times New Roman" w:hAnsi="Times New Roman" w:cs="Times New Roman"/>
          <w:bCs/>
          <w:sz w:val="28"/>
          <w:szCs w:val="28"/>
          <w:lang w:val="uk-UA"/>
        </w:rPr>
        <w:t>обл</w:t>
      </w:r>
      <w:r w:rsidR="009221D0">
        <w:rPr>
          <w:rFonts w:ascii="Times New Roman" w:hAnsi="Times New Roman" w:cs="Times New Roman"/>
          <w:bCs/>
          <w:sz w:val="28"/>
          <w:szCs w:val="28"/>
          <w:lang w:val="uk-UA"/>
        </w:rPr>
        <w:t>асть</w:t>
      </w:r>
      <w:r w:rsidR="00010F33" w:rsidRPr="00010F33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C14397" w:rsidRPr="00010F33">
        <w:rPr>
          <w:rFonts w:ascii="Times New Roman" w:hAnsi="Times New Roman" w:cs="Times New Roman"/>
          <w:bCs/>
          <w:sz w:val="28"/>
          <w:szCs w:val="28"/>
          <w:lang w:val="uk-UA"/>
        </w:rPr>
        <w:t>код</w:t>
      </w:r>
      <w:proofErr w:type="spellEnd"/>
      <w:r w:rsidR="00C14397" w:rsidRPr="00010F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45000000-7</w:t>
      </w:r>
      <w:r w:rsidR="00C14397" w:rsidRPr="00C143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Будівельні роботи та поточний ремонт за ДК 021:2015 «Єдиний закупівельний словник»</w:t>
      </w:r>
    </w:p>
    <w:p w14:paraId="6721BC58" w14:textId="7739CC9E" w:rsidR="00E022CF" w:rsidRPr="00E022CF" w:rsidRDefault="006E7C4A" w:rsidP="00E022CF">
      <w:pPr>
        <w:spacing w:after="0" w:line="240" w:lineRule="auto"/>
        <w:jc w:val="both"/>
      </w:pPr>
      <w:r w:rsidRPr="006E7C4A">
        <w:rPr>
          <w:rFonts w:ascii="Times New Roman" w:hAnsi="Times New Roman" w:cs="Times New Roman"/>
          <w:b/>
          <w:sz w:val="28"/>
          <w:szCs w:val="28"/>
          <w:lang w:val="uk-UA"/>
        </w:rPr>
        <w:t>Вид та ідентифікатор процедури закупівлі</w:t>
      </w:r>
      <w:r w:rsidRPr="006E7C4A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6E7C4A">
        <w:rPr>
          <w:rFonts w:ascii="Times New Roman" w:hAnsi="Times New Roman" w:cs="Times New Roman"/>
          <w:sz w:val="28"/>
          <w:szCs w:val="28"/>
          <w:lang w:val="uk-UA"/>
        </w:rPr>
        <w:t xml:space="preserve"> відкриті торги з особливостями, </w:t>
      </w:r>
      <w:r w:rsidRPr="00276917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E7C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0514DD7" w14:textId="73283C0B" w:rsidR="0014581B" w:rsidRDefault="00E022CF" w:rsidP="00E02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CF">
        <w:rPr>
          <w:rFonts w:ascii="Times New Roman" w:hAnsi="Times New Roman" w:cs="Times New Roman"/>
          <w:sz w:val="28"/>
          <w:szCs w:val="28"/>
        </w:rPr>
        <w:t>UA-2024-</w:t>
      </w:r>
      <w:r w:rsidR="00010F3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022CF">
        <w:rPr>
          <w:rFonts w:ascii="Times New Roman" w:hAnsi="Times New Roman" w:cs="Times New Roman"/>
          <w:sz w:val="28"/>
          <w:szCs w:val="28"/>
        </w:rPr>
        <w:t>-</w:t>
      </w:r>
      <w:r w:rsidR="00010F33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E022CF">
        <w:rPr>
          <w:rFonts w:ascii="Times New Roman" w:hAnsi="Times New Roman" w:cs="Times New Roman"/>
          <w:sz w:val="28"/>
          <w:szCs w:val="28"/>
        </w:rPr>
        <w:t>-0</w:t>
      </w:r>
      <w:r w:rsidR="00010F33">
        <w:rPr>
          <w:rFonts w:ascii="Times New Roman" w:hAnsi="Times New Roman" w:cs="Times New Roman"/>
          <w:sz w:val="28"/>
          <w:szCs w:val="28"/>
          <w:lang w:val="uk-UA"/>
        </w:rPr>
        <w:t>11579</w:t>
      </w:r>
      <w:r w:rsidRPr="00E022CF">
        <w:rPr>
          <w:rFonts w:ascii="Times New Roman" w:hAnsi="Times New Roman" w:cs="Times New Roman"/>
          <w:sz w:val="28"/>
          <w:szCs w:val="28"/>
        </w:rPr>
        <w:t>-a</w:t>
      </w:r>
    </w:p>
    <w:p w14:paraId="6313E248" w14:textId="77777777" w:rsidR="00E022CF" w:rsidRPr="0014581B" w:rsidRDefault="00E022CF" w:rsidP="00E02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E3A66" w14:textId="0A9B9699" w:rsidR="006F2E61" w:rsidRDefault="006E7C4A" w:rsidP="00145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Очікувана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вартість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r w:rsidR="00AB1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F33">
        <w:rPr>
          <w:rFonts w:ascii="Times New Roman" w:hAnsi="Times New Roman" w:cs="Times New Roman"/>
          <w:sz w:val="28"/>
          <w:szCs w:val="28"/>
          <w:lang w:val="uk-UA"/>
        </w:rPr>
        <w:t>620630</w:t>
      </w:r>
      <w:r w:rsidR="0014581B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AB1895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r w:rsidRPr="00912070">
        <w:rPr>
          <w:rFonts w:ascii="Times New Roman" w:hAnsi="Times New Roman" w:cs="Times New Roman"/>
          <w:sz w:val="28"/>
          <w:szCs w:val="28"/>
          <w:lang w:val="uk-UA"/>
        </w:rPr>
        <w:t>Розрахунок очікуваної вартості</w:t>
      </w:r>
      <w:r w:rsidR="00F80304" w:rsidRPr="00F80304">
        <w:t xml:space="preserve"> </w:t>
      </w:r>
      <w:r w:rsidR="00F80304">
        <w:t xml:space="preserve"> </w:t>
      </w:r>
      <w:r w:rsidR="00F80304" w:rsidRPr="00F80304">
        <w:rPr>
          <w:rFonts w:ascii="Times New Roman" w:hAnsi="Times New Roman" w:cs="Times New Roman"/>
          <w:sz w:val="28"/>
          <w:szCs w:val="28"/>
        </w:rPr>
        <w:t xml:space="preserve">предмета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здійснено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центральним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реалізує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примірної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п.</w:t>
      </w:r>
      <w:r w:rsidR="0014581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40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I наказу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Мінекономіки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18.02.2020 №275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, </w:t>
      </w:r>
      <w:r w:rsidR="0014581B" w:rsidRPr="0014581B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очікуваної вартості </w:t>
      </w:r>
      <w:proofErr w:type="spellStart"/>
      <w:r w:rsidR="0014581B" w:rsidRPr="0014581B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="0014581B" w:rsidRPr="0014581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4581B" w:rsidRPr="0014581B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="0014581B" w:rsidRPr="0014581B">
        <w:rPr>
          <w:rFonts w:ascii="Times New Roman" w:hAnsi="Times New Roman" w:cs="Times New Roman"/>
          <w:sz w:val="28"/>
          <w:szCs w:val="28"/>
          <w:lang w:val="uk-UA"/>
        </w:rPr>
        <w:t>-вишукувальних робіт проводиться з урахуванням видів та обсягів робіт, що планується закупити, відповідно до ДСТУ Б Д.1.1-7:2013 «Правила визначення вартості проектно-вишукувальних робіт та експертизи проектної документації на будівництво»;</w:t>
      </w:r>
    </w:p>
    <w:p w14:paraId="4CC13F63" w14:textId="77777777" w:rsidR="00EF05DB" w:rsidRDefault="00EF05DB" w:rsidP="00145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9197E9" w14:textId="5AAF5665" w:rsidR="00454C48" w:rsidRDefault="00454C48" w:rsidP="0014581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proofErr w:type="spellStart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Розмір</w:t>
      </w:r>
      <w:proofErr w:type="spellEnd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бюджетного </w:t>
      </w:r>
      <w:proofErr w:type="spellStart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призначення</w:t>
      </w:r>
      <w:proofErr w:type="spellEnd"/>
      <w:r w:rsidR="00EF05D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EF05D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згіно</w:t>
      </w:r>
      <w:proofErr w:type="spellEnd"/>
      <w:r w:rsidR="00EF05D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зведеного кошторису</w:t>
      </w:r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:</w:t>
      </w:r>
      <w:r w:rsidRPr="0027691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010F33">
        <w:rPr>
          <w:rFonts w:ascii="Times New Roman" w:eastAsia="Times New Roman" w:hAnsi="Times New Roman"/>
          <w:b/>
          <w:bCs/>
          <w:i/>
          <w:sz w:val="28"/>
          <w:szCs w:val="28"/>
          <w:lang w:val="uk-UA" w:eastAsia="uk-UA"/>
        </w:rPr>
        <w:t>620630</w:t>
      </w:r>
      <w:r w:rsidR="0014581B" w:rsidRPr="00EF05DB">
        <w:rPr>
          <w:rFonts w:ascii="Times New Roman" w:eastAsia="Times New Roman" w:hAnsi="Times New Roman"/>
          <w:b/>
          <w:bCs/>
          <w:i/>
          <w:sz w:val="28"/>
          <w:szCs w:val="28"/>
          <w:lang w:val="uk-UA" w:eastAsia="uk-UA"/>
        </w:rPr>
        <w:t>,00</w:t>
      </w:r>
      <w:r w:rsidRPr="00EF05DB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 xml:space="preserve"> грн.</w:t>
      </w:r>
    </w:p>
    <w:p w14:paraId="7FD0C1BF" w14:textId="6124EDD0" w:rsidR="00EF05DB" w:rsidRDefault="00EF05DB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в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>т.ч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. кошти на здійснення технічного нагляду                           – </w:t>
      </w:r>
      <w:r w:rsidR="00010F33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>8964</w:t>
      </w:r>
      <w:r w:rsidR="006712CE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>,00</w:t>
      </w:r>
    </w:p>
    <w:p w14:paraId="5166C222" w14:textId="35DA3988" w:rsidR="00EF05DB" w:rsidRDefault="00EF05DB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          вартість проектних робіт                                                     -  </w:t>
      </w:r>
      <w:r w:rsidR="00010F33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>3504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>,00</w:t>
      </w:r>
    </w:p>
    <w:p w14:paraId="078285F2" w14:textId="0E5F2A09" w:rsidR="00EF05DB" w:rsidRDefault="00EF05DB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          вартість експертизи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>проектрої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 документації                   – 4272,00</w:t>
      </w:r>
    </w:p>
    <w:p w14:paraId="3B9323FE" w14:textId="29E26EFB" w:rsidR="00EF05DB" w:rsidRDefault="00EF05DB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         очікувана вартість на проведення поточного ремонту  - </w:t>
      </w:r>
      <w:r w:rsidR="00010F33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>603890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>,00</w:t>
      </w:r>
    </w:p>
    <w:p w14:paraId="67EA5DAB" w14:textId="132370B2" w:rsidR="00EF05DB" w:rsidRDefault="00EF05DB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</w:p>
    <w:p w14:paraId="51A71DB3" w14:textId="77777777" w:rsidR="003106F5" w:rsidRDefault="003106F5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</w:p>
    <w:p w14:paraId="54D008A3" w14:textId="77777777" w:rsidR="00EF05DB" w:rsidRPr="00EF05DB" w:rsidRDefault="00EF05DB" w:rsidP="0014581B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</w:pPr>
    </w:p>
    <w:p w14:paraId="3A7D8B7A" w14:textId="77777777" w:rsidR="00454C48" w:rsidRPr="00276917" w:rsidRDefault="00454C48" w:rsidP="00454C4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917">
        <w:rPr>
          <w:rFonts w:ascii="Times New Roman" w:hAnsi="Times New Roman"/>
          <w:b/>
          <w:sz w:val="28"/>
          <w:szCs w:val="28"/>
        </w:rPr>
        <w:t>Обґрунтування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характеристик предмета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. </w:t>
      </w:r>
    </w:p>
    <w:p w14:paraId="6748E06D" w14:textId="6FF9F3BB" w:rsidR="00454C48" w:rsidRPr="003106F5" w:rsidRDefault="00454C48" w:rsidP="003106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6917">
        <w:rPr>
          <w:rFonts w:ascii="Times New Roman" w:hAnsi="Times New Roman"/>
          <w:sz w:val="28"/>
          <w:szCs w:val="28"/>
        </w:rPr>
        <w:t>Якісні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sz w:val="28"/>
          <w:szCs w:val="28"/>
        </w:rPr>
        <w:t>технічні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характеристики предмету </w:t>
      </w:r>
      <w:proofErr w:type="spellStart"/>
      <w:r w:rsidRPr="00276917">
        <w:rPr>
          <w:rFonts w:ascii="Times New Roman" w:hAnsi="Times New Roman"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визначені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76917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реальних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потреб </w:t>
      </w:r>
      <w:proofErr w:type="spellStart"/>
      <w:r w:rsidRPr="00276917">
        <w:rPr>
          <w:rFonts w:ascii="Times New Roman" w:hAnsi="Times New Roman"/>
          <w:sz w:val="28"/>
          <w:szCs w:val="28"/>
        </w:rPr>
        <w:t>замовника</w:t>
      </w:r>
      <w:proofErr w:type="spellEnd"/>
      <w:r w:rsidR="003106F5">
        <w:rPr>
          <w:rFonts w:ascii="Times New Roman" w:hAnsi="Times New Roman"/>
          <w:sz w:val="28"/>
          <w:szCs w:val="28"/>
          <w:lang w:val="uk-UA"/>
        </w:rPr>
        <w:t>, у ві</w:t>
      </w:r>
      <w:r w:rsidRPr="005D5466">
        <w:rPr>
          <w:rFonts w:ascii="Times New Roman" w:hAnsi="Times New Roman" w:cs="Times New Roman"/>
          <w:sz w:val="28"/>
          <w:szCs w:val="28"/>
          <w:lang w:val="uk-UA"/>
        </w:rPr>
        <w:t>дповідності до потреб Замовника з урахуванням вимог діючих державних будівельних норм.</w:t>
      </w:r>
    </w:p>
    <w:p w14:paraId="71D69308" w14:textId="77777777" w:rsidR="00454C48" w:rsidRPr="00276917" w:rsidRDefault="00454C48" w:rsidP="00454C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917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зазначене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917">
        <w:rPr>
          <w:rFonts w:ascii="Times New Roman" w:hAnsi="Times New Roman"/>
          <w:sz w:val="28"/>
          <w:szCs w:val="28"/>
        </w:rPr>
        <w:t>замовник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прийняв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276917">
        <w:rPr>
          <w:rFonts w:ascii="Times New Roman" w:hAnsi="Times New Roman"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характеристик предмета </w:t>
      </w:r>
      <w:proofErr w:type="spellStart"/>
      <w:r w:rsidRPr="00276917">
        <w:rPr>
          <w:rFonts w:ascii="Times New Roman" w:hAnsi="Times New Roman"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sz w:val="28"/>
          <w:szCs w:val="28"/>
        </w:rPr>
        <w:t>:</w:t>
      </w:r>
    </w:p>
    <w:p w14:paraId="39346098" w14:textId="77777777" w:rsidR="003106F5" w:rsidRPr="00646FDA" w:rsidRDefault="003106F5" w:rsidP="003106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Інформація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технічні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якісні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кількісні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характеристики предмета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закупівлі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, </w:t>
      </w:r>
    </w:p>
    <w:p w14:paraId="296A7CCA" w14:textId="77777777" w:rsidR="003106F5" w:rsidRPr="00646FDA" w:rsidRDefault="003106F5" w:rsidP="003106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в тому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числі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технічна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специфікація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вимоги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предмета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закупівлі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тендерної</w:t>
      </w:r>
      <w:proofErr w:type="spellEnd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46F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документації</w:t>
      </w:r>
      <w:proofErr w:type="spellEnd"/>
    </w:p>
    <w:p w14:paraId="7542157D" w14:textId="77777777" w:rsidR="003106F5" w:rsidRPr="00646FDA" w:rsidRDefault="003106F5" w:rsidP="003106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18"/>
      </w:tblGrid>
      <w:tr w:rsidR="003106F5" w:rsidRPr="00646FDA" w14:paraId="5CB48234" w14:textId="77777777" w:rsidTr="003F372D">
        <w:tc>
          <w:tcPr>
            <w:tcW w:w="2217" w:type="pct"/>
            <w:shd w:val="clear" w:color="auto" w:fill="auto"/>
          </w:tcPr>
          <w:p w14:paraId="033F60E3" w14:textId="77777777" w:rsidR="003106F5" w:rsidRPr="00646FDA" w:rsidRDefault="003106F5" w:rsidP="003F37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46FDA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Назва</w:t>
            </w:r>
            <w:proofErr w:type="spellEnd"/>
            <w:r w:rsidRPr="00646FDA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предмета </w:t>
            </w:r>
            <w:proofErr w:type="spellStart"/>
            <w:r w:rsidRPr="00646FDA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закупівлі</w:t>
            </w:r>
            <w:proofErr w:type="spellEnd"/>
          </w:p>
        </w:tc>
        <w:tc>
          <w:tcPr>
            <w:tcW w:w="2783" w:type="pct"/>
            <w:shd w:val="clear" w:color="auto" w:fill="auto"/>
          </w:tcPr>
          <w:p w14:paraId="31749D56" w14:textId="77777777" w:rsidR="003106F5" w:rsidRPr="00763465" w:rsidRDefault="003106F5" w:rsidP="003F372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ДК 021:2015 </w:t>
            </w:r>
            <w:proofErr w:type="gramStart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>-  45000000</w:t>
            </w:r>
            <w:proofErr w:type="gramEnd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-7 – </w:t>
            </w:r>
            <w:proofErr w:type="spellStart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>Будівельні</w:t>
            </w:r>
            <w:proofErr w:type="spellEnd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>роботи</w:t>
            </w:r>
            <w:proofErr w:type="spellEnd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5429A53A" w14:textId="682DE48D" w:rsidR="003106F5" w:rsidRPr="006F2806" w:rsidRDefault="003106F5" w:rsidP="003F372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та </w:t>
            </w:r>
            <w:proofErr w:type="spellStart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>поточний</w:t>
            </w:r>
            <w:proofErr w:type="spellEnd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ремонт</w:t>
            </w:r>
            <w:r w:rsidR="006F2806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>(Пот</w:t>
            </w:r>
            <w:r w:rsidR="00010F3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очний ремонт протирадіаційного укриття №54146 </w:t>
            </w:r>
            <w:proofErr w:type="gramStart"/>
            <w:r w:rsidR="00010F3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Новопетрівського </w:t>
            </w:r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ЗДО</w:t>
            </w:r>
            <w:proofErr w:type="gramEnd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 </w:t>
            </w:r>
            <w:proofErr w:type="spellStart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>адресою</w:t>
            </w:r>
            <w:proofErr w:type="spellEnd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proofErr w:type="spellStart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>вул.С</w:t>
            </w:r>
            <w:proofErr w:type="spellEnd"/>
            <w:r w:rsidR="00010F3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вдова</w:t>
            </w:r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010F3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</w:t>
            </w:r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>4,с.</w:t>
            </w:r>
            <w:r w:rsidR="00010F3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Новопетрівське</w:t>
            </w:r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proofErr w:type="spellStart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>Миколаївський</w:t>
            </w:r>
            <w:proofErr w:type="spellEnd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район, </w:t>
            </w:r>
            <w:proofErr w:type="spellStart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>Миколаївська</w:t>
            </w:r>
            <w:proofErr w:type="spellEnd"/>
            <w:r w:rsidRPr="007634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область)</w:t>
            </w:r>
          </w:p>
        </w:tc>
      </w:tr>
      <w:tr w:rsidR="003106F5" w:rsidRPr="00646FDA" w14:paraId="63EEE1EA" w14:textId="77777777" w:rsidTr="003F372D">
        <w:tc>
          <w:tcPr>
            <w:tcW w:w="2217" w:type="pct"/>
            <w:shd w:val="clear" w:color="auto" w:fill="auto"/>
          </w:tcPr>
          <w:p w14:paraId="13F3E075" w14:textId="77777777" w:rsidR="003106F5" w:rsidRPr="00646FDA" w:rsidRDefault="003106F5" w:rsidP="003F3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646FDA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Код ДК 021:2015</w:t>
            </w:r>
          </w:p>
        </w:tc>
        <w:tc>
          <w:tcPr>
            <w:tcW w:w="2783" w:type="pct"/>
            <w:shd w:val="clear" w:color="auto" w:fill="auto"/>
          </w:tcPr>
          <w:p w14:paraId="0DF69AA2" w14:textId="77777777" w:rsidR="003106F5" w:rsidRPr="00763465" w:rsidRDefault="003106F5" w:rsidP="003F37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 xml:space="preserve">ДК 021:2015 </w:t>
            </w:r>
            <w:proofErr w:type="gramStart"/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>-  45000000</w:t>
            </w:r>
            <w:proofErr w:type="gramEnd"/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 xml:space="preserve">-7 – </w:t>
            </w:r>
            <w:proofErr w:type="spellStart"/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>Будівельні</w:t>
            </w:r>
            <w:proofErr w:type="spellEnd"/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>роботи</w:t>
            </w:r>
            <w:proofErr w:type="spellEnd"/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897002F" w14:textId="77777777" w:rsidR="003106F5" w:rsidRPr="003F35F1" w:rsidRDefault="003106F5" w:rsidP="003F37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 xml:space="preserve">та </w:t>
            </w:r>
            <w:proofErr w:type="spellStart"/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>поточний</w:t>
            </w:r>
            <w:proofErr w:type="spellEnd"/>
            <w:r w:rsidRPr="00763465">
              <w:rPr>
                <w:rFonts w:ascii="Times New Roman" w:hAnsi="Times New Roman"/>
                <w:bCs/>
                <w:sz w:val="24"/>
                <w:szCs w:val="24"/>
              </w:rPr>
              <w:t xml:space="preserve"> ремонт</w:t>
            </w:r>
          </w:p>
        </w:tc>
      </w:tr>
      <w:tr w:rsidR="003106F5" w:rsidRPr="00646FDA" w14:paraId="733C4474" w14:textId="77777777" w:rsidTr="003F372D">
        <w:tc>
          <w:tcPr>
            <w:tcW w:w="2217" w:type="pct"/>
            <w:shd w:val="clear" w:color="auto" w:fill="auto"/>
          </w:tcPr>
          <w:p w14:paraId="7702300A" w14:textId="64362502" w:rsidR="003106F5" w:rsidRPr="003106F5" w:rsidRDefault="003106F5" w:rsidP="003F3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uk-UA" w:eastAsia="ru-RU"/>
              </w:rPr>
              <w:t>Кількість</w:t>
            </w:r>
          </w:p>
        </w:tc>
        <w:tc>
          <w:tcPr>
            <w:tcW w:w="2783" w:type="pct"/>
            <w:shd w:val="clear" w:color="auto" w:fill="auto"/>
          </w:tcPr>
          <w:p w14:paraId="29F9E7BF" w14:textId="43B02DD2" w:rsidR="003106F5" w:rsidRPr="003106F5" w:rsidRDefault="003106F5" w:rsidP="003F37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 послуга</w:t>
            </w:r>
          </w:p>
        </w:tc>
      </w:tr>
    </w:tbl>
    <w:p w14:paraId="73F0BDB8" w14:textId="77777777" w:rsidR="009221D0" w:rsidRDefault="009221D0" w:rsidP="009221D0">
      <w:pPr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Відноситься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об’єкту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СС1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класу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наслідків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відповідальності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14:paraId="75AB408A" w14:textId="77777777" w:rsidR="009221D0" w:rsidRDefault="009221D0" w:rsidP="009221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Замовник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самостійно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визначає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необхідні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технічні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характеристики предмета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закупівлі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огляду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специфіку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закупівлі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керуючись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принципами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здійснення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закупівель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дотриманням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законодавства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45D7E259" w14:textId="77777777" w:rsidR="009221D0" w:rsidRDefault="009221D0" w:rsidP="009221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Технічні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специфікації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повинні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містити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посилання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конкретні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марку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виробника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конкретний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процес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характеризує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продукт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послугу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певного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суб’єкта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господарювання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торгові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марки,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патенти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типи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конкретне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місце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походження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спосіб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виробництва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.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разі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якщо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таке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посилання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є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необхідним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воно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повинно бути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обґрунтованим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містити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вираз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еквівалент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Учасником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також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надається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гарантійний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лист,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яким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зазначається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роботи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згідно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закупівлі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будуть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виконані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вчасно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(з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зазначенням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строків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виконання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Виконання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робіт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здійснюється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матеріалів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Виконавця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Використовувані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матеріали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обладнання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повинні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відповідати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кошторисній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документації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державним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стандартам і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технічним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умовам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06133FAF" w14:textId="77777777" w:rsidR="009221D0" w:rsidRDefault="009221D0" w:rsidP="009221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Підрядник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виконує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усі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види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робіт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згідно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технічних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вимог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відповідно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вимог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Кошторисних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норм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"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Настанова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визначення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вартості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"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затвердженого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Наказом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Міністерства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розвитку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громад та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територій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 01 листопада 2021 року № 281.</w:t>
      </w:r>
    </w:p>
    <w:p w14:paraId="2B7EDDC3" w14:textId="77777777" w:rsidR="009221D0" w:rsidRDefault="009221D0" w:rsidP="009221D0">
      <w:pPr>
        <w:keepLine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Учасник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визначає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ціни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урахуванням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всіх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видів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обсягів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робіт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повинні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виконані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Ціна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пропозиції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повинна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включати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всі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витрати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Учасника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зокрема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сплату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податків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зборів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сплачуються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мають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сплачені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вартість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матеріалів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страхування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інші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витрати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3D0E5CBA" w14:textId="77777777" w:rsidR="009221D0" w:rsidRDefault="009221D0" w:rsidP="009221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При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виконанні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робіт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замовник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має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право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оглянути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зразки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матеріалів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виробів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випадку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їх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невідповідності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встановленим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вимогам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заборонити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виконавцеві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їх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використання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6B083212" w14:textId="77777777" w:rsidR="009221D0" w:rsidRDefault="009221D0" w:rsidP="009221D0">
      <w:pPr>
        <w:widowControl w:val="0"/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Під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час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виконання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договору про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закупівлю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учасник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зобов’язується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дотримуватись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передбачених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чинним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вимог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щодо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застосування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заходів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захисту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довкілля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в тому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числі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тих,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передбачені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згідно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Закону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«Про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охорону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навколишнього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природного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середовища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», Закону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«Про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відходи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», про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надає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лист-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згоду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.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роботі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використовувати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тільки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сертифіковані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матеріали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вироби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погоджені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Замовником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Технічна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специфікація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повинна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містити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опис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усіх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необхідних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характеристик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товарів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робіт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послуг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закуповуються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у тому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числі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їх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технічні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функціональні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якісні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характеристики.</w:t>
      </w:r>
    </w:p>
    <w:p w14:paraId="3475C8F6" w14:textId="77777777" w:rsidR="009221D0" w:rsidRDefault="009221D0" w:rsidP="009221D0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разі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якщо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вичерпний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опис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характеристик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скласти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неможливо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технічні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специфікації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можуть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містити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посилання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стандартні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характеристики,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технічні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регламенти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умови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вимоги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умовні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позначення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термінологію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пов’язані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 товарами, роботами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послугами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закуповуються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передбачені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існуючими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міжнародними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європейськими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стандартами,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іншими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спільними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технічними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європейськими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нормами,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іншими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технічними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еталонними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системами,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визнаними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європейськими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органами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стандартизації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національними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стандартами, нормами та правилами.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 кожного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посилання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повинен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додаватися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вираз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еквівалент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».</w:t>
      </w:r>
    </w:p>
    <w:p w14:paraId="25AB58EA" w14:textId="77777777" w:rsidR="009221D0" w:rsidRDefault="009221D0" w:rsidP="009221D0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разі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якщо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замовник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вимагає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маркування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протоколи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випробувань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сертифікати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повинні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видані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органами 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оцінки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відповідності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компетентність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яких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підтверджена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шляхом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акредитації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іншим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способом,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визначеним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397ED0CA" w14:textId="77777777" w:rsidR="009221D0" w:rsidRDefault="009221D0" w:rsidP="009221D0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разі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якщо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учасник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має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маркувань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протоколів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випробувань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сертифікатів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разі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встановлення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вимог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щодо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надання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учасником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маркувань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протоколів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випробувань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сертифікатів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і не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має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можливості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отримати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їх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закінчення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кінцевого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строку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подання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тендерних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пропозицій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причин,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нього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залежних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може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подати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технічний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паспорт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підтвердження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відповідності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же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об’єктивним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критеріям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Замовник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зобов’язаний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розглянути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технічний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паспорт і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визначити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справді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підтверджує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відповідність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установленим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вимогам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обґрунтуванням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свого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Крім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того,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Учасник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повинен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виконати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роботи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використанням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матеріалів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обладнання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передбачені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технічних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вимогах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uk-UA"/>
        </w:rPr>
        <w:t>до предмету</w:t>
      </w:r>
      <w:proofErr w:type="gram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закупівлі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їх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аналогів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та/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еквівалентів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Матеріали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повинні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бути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якісними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відповідати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вимогам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встановлених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ДСТУ та чинному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законодавству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, про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складі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пропозиції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надати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гарантійний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лист.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14:paraId="511CAFAC" w14:textId="77777777" w:rsidR="009221D0" w:rsidRDefault="009221D0" w:rsidP="009221D0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u w:val="single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Якщо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замовник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посилається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тендерній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документації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конкретні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маркування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протокол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випробувань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сертифікат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зобов’язаний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прийняти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маркування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протоколи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випробувань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сертифікати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підтверджують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відповідність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еквівалентним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вимогам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видані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органами 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оцінки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відповідності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компетентність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яких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підтверджена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шляхом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акредитації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іншим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способом,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визначеним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548C2E9A" w14:textId="77777777" w:rsidR="009221D0" w:rsidRDefault="009221D0" w:rsidP="009221D0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Ми,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назва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Учасника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уважно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вивчили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документацію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провели,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згідно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зазначених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обсягів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розрахунок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ціни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урахуванням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усіх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14:paraId="20E4B0F9" w14:textId="77777777" w:rsidR="009221D0" w:rsidRDefault="009221D0" w:rsidP="009221D0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податків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зборів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сплачуються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мають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сплачені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</w:p>
    <w:p w14:paraId="006610EF" w14:textId="77777777" w:rsidR="009221D0" w:rsidRDefault="009221D0" w:rsidP="009221D0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витрат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матеріали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інших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витрат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</w:p>
    <w:p w14:paraId="66A45772" w14:textId="77777777" w:rsidR="009221D0" w:rsidRDefault="009221D0" w:rsidP="009221D0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Вартість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нашої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тендерної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пропозиції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всі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інші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ціни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чітко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визначені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</w:p>
    <w:p w14:paraId="49BB9A37" w14:textId="77777777" w:rsidR="009221D0" w:rsidRDefault="009221D0" w:rsidP="009221D0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Якщо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під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час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виконання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робіт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виникне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необхідність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одержання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дозволів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ліцензій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сертифікатів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висновків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інших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документів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то 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самостійно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будемо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нести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всі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витрати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їх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отримання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3D180420" w14:textId="77777777" w:rsidR="009221D0" w:rsidRDefault="009221D0" w:rsidP="009221D0">
      <w:pPr>
        <w:autoSpaceDE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Роботи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які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становлять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закупівлі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будуть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надані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якісно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відповідати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встановленим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чинним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uk-UA"/>
        </w:rPr>
        <w:t>нормам,  характеристикам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правилам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тощо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5D6318CA" w14:textId="77777777" w:rsidR="009221D0" w:rsidRDefault="009221D0" w:rsidP="009221D0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разі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якщо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технічна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якісна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кількісна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характеристика предмета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закупівлі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містить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посилання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конкретну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торговельну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марку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фірму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патент,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конструкцію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тип предмета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закупівлі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джерело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його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походження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виробника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учасник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має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право,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під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час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надання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тендерної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пропозиції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надавати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еквівалент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торговельної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марки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чи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фірми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патента,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конструкції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типу предмета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закупівлі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джерела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його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походження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виробника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3DBADD11" w14:textId="77777777" w:rsidR="009221D0" w:rsidRDefault="009221D0" w:rsidP="009221D0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Учасник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надає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сформовану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урахуванням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вимог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положень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Настанови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визначення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вартості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»,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затвердженої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Наказом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Міністерства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розвитку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громад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територій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01 листопада 2021 р. № 281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кошторисну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документацію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повинна бути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розроблена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допомогою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програмного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комплексу АВК-5 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інших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сумісних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 ним ПК, 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форматі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PDF,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завірену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учасником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яка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має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складатися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з:</w:t>
      </w:r>
    </w:p>
    <w:p w14:paraId="44BFAD4B" w14:textId="77777777" w:rsidR="009221D0" w:rsidRDefault="009221D0" w:rsidP="009221D0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‒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Договірна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ціна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(вид – тверда);</w:t>
      </w:r>
    </w:p>
    <w:p w14:paraId="0867E11A" w14:textId="77777777" w:rsidR="009221D0" w:rsidRDefault="009221D0" w:rsidP="009221D0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‒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Пояснювальна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записка;</w:t>
      </w:r>
    </w:p>
    <w:p w14:paraId="14336788" w14:textId="77777777" w:rsidR="009221D0" w:rsidRDefault="009221D0" w:rsidP="009221D0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‒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Локальний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кошторис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14:paraId="13179205" w14:textId="77777777" w:rsidR="009221D0" w:rsidRDefault="009221D0" w:rsidP="009221D0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‒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Підсумкова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відомість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ресурсів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14:paraId="0A49737B" w14:textId="77777777" w:rsidR="009221D0" w:rsidRDefault="009221D0" w:rsidP="009221D0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Розрахунок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загально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виробничих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витрат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3EDFE8DC" w14:textId="77777777" w:rsidR="009221D0" w:rsidRDefault="009221D0" w:rsidP="009221D0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1020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7"/>
        <w:gridCol w:w="4873"/>
      </w:tblGrid>
      <w:tr w:rsidR="009221D0" w14:paraId="662E1B96" w14:textId="77777777" w:rsidTr="009221D0">
        <w:trPr>
          <w:jc w:val="center"/>
        </w:trPr>
        <w:tc>
          <w:tcPr>
            <w:tcW w:w="10206" w:type="dxa"/>
            <w:gridSpan w:val="2"/>
          </w:tcPr>
          <w:p w14:paraId="2EF51C16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5"/>
                <w:sz w:val="24"/>
                <w:szCs w:val="24"/>
              </w:rPr>
            </w:pPr>
            <w:bookmarkStart w:id="1" w:name="_Hlk169774701"/>
          </w:p>
          <w:p w14:paraId="0C433B82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  <w:p w14:paraId="0A4E9098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  <w:p w14:paraId="030DCAB3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  <w:p w14:paraId="4325E056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  <w:p w14:paraId="1F1C1CA3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  <w:p w14:paraId="14835815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  <w:p w14:paraId="0DD6E052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  <w:p w14:paraId="0768503B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  <w:p w14:paraId="47DAA1E1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  <w:p w14:paraId="2981024A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  <w:p w14:paraId="5541AAA5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  <w:p w14:paraId="533C6D02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  <w:p w14:paraId="502EC33D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  <w:p w14:paraId="2D04C903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  <w:p w14:paraId="2BA0475E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  <w:p w14:paraId="1D57550D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  <w:p w14:paraId="3A669C67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84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567"/>
              <w:gridCol w:w="4705"/>
              <w:gridCol w:w="682"/>
              <w:gridCol w:w="1418"/>
              <w:gridCol w:w="1418"/>
              <w:gridCol w:w="933"/>
              <w:gridCol w:w="59"/>
            </w:tblGrid>
            <w:tr w:rsidR="009221D0" w14:paraId="280969FA" w14:textId="77777777">
              <w:trPr>
                <w:gridAfter w:val="1"/>
                <w:wAfter w:w="59" w:type="dxa"/>
                <w:jc w:val="center"/>
              </w:trPr>
              <w:tc>
                <w:tcPr>
                  <w:tcW w:w="9781" w:type="dxa"/>
                  <w:gridSpan w:val="7"/>
                  <w:hideMark/>
                </w:tcPr>
                <w:p w14:paraId="0D8AFC9A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-5"/>
                      <w:sz w:val="24"/>
                      <w:szCs w:val="24"/>
                    </w:rPr>
                    <w:t>ДЕФЕКТНИЙ АКТ</w:t>
                  </w:r>
                </w:p>
              </w:tc>
            </w:tr>
            <w:tr w:rsidR="009221D0" w14:paraId="1A4689BF" w14:textId="77777777">
              <w:trPr>
                <w:gridAfter w:val="1"/>
                <w:wAfter w:w="59" w:type="dxa"/>
                <w:jc w:val="center"/>
              </w:trPr>
              <w:tc>
                <w:tcPr>
                  <w:tcW w:w="5330" w:type="dxa"/>
                  <w:gridSpan w:val="3"/>
                  <w:hideMark/>
                </w:tcPr>
                <w:p w14:paraId="0C3360FC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451" w:type="dxa"/>
                  <w:gridSpan w:val="4"/>
                  <w:hideMark/>
                </w:tcPr>
                <w:p w14:paraId="2A1C49C3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4705DC49" w14:textId="77777777">
              <w:trPr>
                <w:gridAfter w:val="1"/>
                <w:wAfter w:w="59" w:type="dxa"/>
                <w:jc w:val="center"/>
              </w:trPr>
              <w:tc>
                <w:tcPr>
                  <w:tcW w:w="5330" w:type="dxa"/>
                  <w:gridSpan w:val="3"/>
                  <w:hideMark/>
                </w:tcPr>
                <w:p w14:paraId="1F1F17F1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Поточний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ремонт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протирадіаційного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укриття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№54146 </w:t>
                  </w:r>
                </w:p>
              </w:tc>
              <w:tc>
                <w:tcPr>
                  <w:tcW w:w="4451" w:type="dxa"/>
                  <w:gridSpan w:val="4"/>
                  <w:hideMark/>
                </w:tcPr>
                <w:p w14:paraId="06E62AD5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Новопетрівського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ЗДО за </w:t>
                  </w:r>
                  <w:proofErr w:type="gram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адресою:в.Садова</w:t>
                  </w:r>
                  <w:proofErr w:type="gram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,24</w:t>
                  </w:r>
                </w:p>
              </w:tc>
            </w:tr>
            <w:tr w:rsidR="009221D0" w14:paraId="20479B83" w14:textId="77777777">
              <w:trPr>
                <w:gridAfter w:val="1"/>
                <w:wAfter w:w="59" w:type="dxa"/>
                <w:jc w:val="center"/>
              </w:trPr>
              <w:tc>
                <w:tcPr>
                  <w:tcW w:w="9781" w:type="dxa"/>
                  <w:gridSpan w:val="7"/>
                  <w:hideMark/>
                </w:tcPr>
                <w:p w14:paraId="46E0AB1F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с.Новопетрівське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Миколаївський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Миколаївська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область»</w:t>
                  </w:r>
                </w:p>
                <w:p w14:paraId="34118C7E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Умови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виконання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робіт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221D0" w14:paraId="63ED2449" w14:textId="77777777">
              <w:trPr>
                <w:gridAfter w:val="1"/>
                <w:wAfter w:w="59" w:type="dxa"/>
                <w:jc w:val="center"/>
              </w:trPr>
              <w:tc>
                <w:tcPr>
                  <w:tcW w:w="5330" w:type="dxa"/>
                  <w:gridSpan w:val="3"/>
                  <w:hideMark/>
                </w:tcPr>
                <w:p w14:paraId="7625ACFB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451" w:type="dxa"/>
                  <w:gridSpan w:val="4"/>
                  <w:hideMark/>
                </w:tcPr>
                <w:p w14:paraId="1E6A0276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5FBC9E60" w14:textId="77777777">
              <w:trPr>
                <w:gridAfter w:val="1"/>
                <w:wAfter w:w="59" w:type="dxa"/>
                <w:jc w:val="center"/>
              </w:trPr>
              <w:tc>
                <w:tcPr>
                  <w:tcW w:w="9781" w:type="dxa"/>
                  <w:gridSpan w:val="7"/>
                  <w:hideMark/>
                </w:tcPr>
                <w:p w14:paraId="1B95DFEF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Об'єми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робіт</w:t>
                  </w:r>
                  <w:proofErr w:type="spellEnd"/>
                </w:p>
              </w:tc>
            </w:tr>
            <w:tr w:rsidR="009221D0" w14:paraId="50E907A8" w14:textId="77777777">
              <w:trPr>
                <w:gridAfter w:val="1"/>
                <w:wAfter w:w="59" w:type="dxa"/>
                <w:jc w:val="center"/>
              </w:trPr>
              <w:tc>
                <w:tcPr>
                  <w:tcW w:w="9781" w:type="dxa"/>
                  <w:gridSpan w:val="7"/>
                </w:tcPr>
                <w:p w14:paraId="6214BECF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</w:p>
              </w:tc>
            </w:tr>
            <w:tr w:rsidR="009221D0" w14:paraId="002F3AA7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D7868F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№</w:t>
                  </w:r>
                </w:p>
                <w:p w14:paraId="6551DD36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Ч.ч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87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A0427A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</w:p>
                <w:p w14:paraId="6F22FE56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Найменування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робіт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і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витрат</w:t>
                  </w:r>
                  <w:proofErr w:type="spellEnd"/>
                </w:p>
                <w:p w14:paraId="2C84160A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24E4D94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Одиниця</w:t>
                  </w:r>
                  <w:proofErr w:type="spellEnd"/>
                </w:p>
                <w:p w14:paraId="71031FB2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виміру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FE3F650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Кількість</w:t>
                  </w:r>
                  <w:proofErr w:type="spellEnd"/>
                </w:p>
              </w:tc>
              <w:tc>
                <w:tcPr>
                  <w:tcW w:w="992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14:paraId="076D1E47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Примітка</w:t>
                  </w:r>
                  <w:proofErr w:type="spellEnd"/>
                </w:p>
              </w:tc>
            </w:tr>
            <w:tr w:rsidR="009221D0" w14:paraId="0876F583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9B644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7021EE0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7676D3E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68C49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2D09F2B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5</w:t>
                  </w:r>
                </w:p>
              </w:tc>
            </w:tr>
            <w:tr w:rsidR="009221D0" w14:paraId="2C835E69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6B5619A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8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76E47EF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Двері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CCA6063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AE07128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14:paraId="3F61F867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1A66DABF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6C9B790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4393EBD9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Установлення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дверних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блоків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у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зовнішніх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і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внутрішніх</w:t>
                  </w:r>
                  <w:proofErr w:type="spellEnd"/>
                </w:p>
                <w:p w14:paraId="1CCBCA30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прорізах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кам'яних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стін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площа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прорізу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до 3 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1184B8F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C1788AA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7,31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1DE2A1D3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66D4E0F9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6E2829D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6AB9A7D6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Улаштування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перегородок з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газобетонних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блоків</w:t>
                  </w:r>
                  <w:proofErr w:type="spellEnd"/>
                </w:p>
                <w:p w14:paraId="6F689EAC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товщиною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100 мм при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висоті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поверху до 4 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B9C15D6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DFE7534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35E32A27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57E0A8FD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FC7A340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78CE8C36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Шпаклювання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стін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шпаклівкою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стартовою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6E5FC23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006A2C1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799EB05C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541EC97D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0BFDD95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3BA477A5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Додавати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на 1 мм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змiни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товщини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шпаклювання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стін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F8EB89A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14CC69D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496C2045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3C139FB0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C2492C2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621EE7DA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Додавати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на 1 мм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зміни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товщини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шпаклювання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стін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6B18C0E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456EA92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4571DC0C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60A0F70B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7E1E8EB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10B1723D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Прокладання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ізольованих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проводів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перерізом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до 6 мм2 у</w:t>
                  </w:r>
                </w:p>
                <w:p w14:paraId="02785319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коробах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D189DC1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468CD62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139BF209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16081B3C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A324E8B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16FBF367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Монтаж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вініпластових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труб для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електропроводки</w:t>
                  </w:r>
                  <w:proofErr w:type="spellEnd"/>
                </w:p>
                <w:p w14:paraId="5AB58624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діаметром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до 25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0E7F71D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DFFB374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35945185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218D03B6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0097DF3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1731B31D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Монтаж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світильників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8B11F39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E07B6AE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38F81D68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46C99C11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9D42A4B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1B675C89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Установлення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штепсельних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розеток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герметичних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та</w:t>
                  </w:r>
                </w:p>
                <w:p w14:paraId="6755ACB7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напівгерметичних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CCFC41E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9A3925C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033296A3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217068E5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F752280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0BB96FAE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Установлення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вимикачів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неутопленого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типу при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відкритій</w:t>
                  </w:r>
                  <w:proofErr w:type="spellEnd"/>
                </w:p>
                <w:p w14:paraId="63FE1E41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проводці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6DB9EB9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264E364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03745869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17EEE8E2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074EE3B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50E453DB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Прокладання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повітроводів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діаметром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до 200 мм з</w:t>
                  </w:r>
                </w:p>
                <w:p w14:paraId="6271CD4D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оцинкованої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сталі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класу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Н [нормальна]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товщиною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0,5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2DDED85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6EDEC65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0092B9CF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01E81C55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368DFCC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295E7535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Установлення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грат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жалюзійних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сталевих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щілинних</w:t>
                  </w:r>
                  <w:proofErr w:type="spellEnd"/>
                </w:p>
                <w:p w14:paraId="27C33731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регулювальних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вивірянням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і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закріпленням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розміром</w:t>
                  </w:r>
                  <w:proofErr w:type="spellEnd"/>
                </w:p>
                <w:p w14:paraId="07290A7A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150х150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C839C39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грати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00D0F7F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40185E58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717FF0DC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0938B7F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775B5DD4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Установлення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агрегатів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повітряно-опалювальних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масою</w:t>
                  </w:r>
                  <w:proofErr w:type="spellEnd"/>
                </w:p>
                <w:p w14:paraId="072B84EE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до 0,25 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B975C21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8B62445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2E9A5371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28EA22AC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4482DD1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70129B8A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Установлення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клапанів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зворотних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діаметром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до 355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4E5FD90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клапан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63D3DAD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0673F0D0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165548B1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940E26C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093B1D15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Установлення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вентиляторів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осьових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масою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до 0,025 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BD76BEC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254068A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7C8BB2BF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38D2290C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0D27927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057EB89E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Прокладання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трубопроводу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діаметром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25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97D4B01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6B35BC1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4,23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29D3AE4A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5212E1DF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17D74DE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74F95BBC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Прокладання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трубопроводів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водопостачання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з труб</w:t>
                  </w:r>
                </w:p>
                <w:p w14:paraId="1D413B80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поліетиленових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поліпропіленових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]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напірних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діаметром</w:t>
                  </w:r>
                  <w:proofErr w:type="spellEnd"/>
                </w:p>
                <w:p w14:paraId="6A946F3F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32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B7CA43E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7B5CEFD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74D2B266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167269B0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9701ABA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1CBE2EEF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Прокладання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трубопроводів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каналізації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з</w:t>
                  </w:r>
                </w:p>
                <w:p w14:paraId="471B46BD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поліетиленових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труб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діаметром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100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C75982C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65BD62E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7,2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4C3488D6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1FAC47F2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E4D46A6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359C339C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Прокладання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трубопроводів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каналізації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з</w:t>
                  </w:r>
                </w:p>
                <w:p w14:paraId="4474B154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поліетиленових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труб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діаметром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50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BC3AC32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CB1DB59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3E38AF5D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221D0" w14:paraId="26C2B7C2" w14:textId="77777777">
              <w:trPr>
                <w:gridBefore w:val="1"/>
                <w:wBefore w:w="58" w:type="dxa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F50DB7E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87" w:type="dxa"/>
                  <w:gridSpan w:val="2"/>
                  <w:hideMark/>
                </w:tcPr>
                <w:p w14:paraId="4C013CAD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Установлення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умивальників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одиночних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підведенням</w:t>
                  </w:r>
                  <w:proofErr w:type="spellEnd"/>
                </w:p>
                <w:p w14:paraId="668192C2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холодної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гарячої</w:t>
                  </w:r>
                  <w:proofErr w:type="spellEnd"/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води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3E81B7C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к-т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A7312F4" w14:textId="77777777" w:rsidR="009221D0" w:rsidRDefault="009221D0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3BAAE93E" w14:textId="77777777" w:rsidR="009221D0" w:rsidRDefault="009221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171044DA" w14:textId="77777777" w:rsidR="009221D0" w:rsidRDefault="009221D0">
            <w:pPr>
              <w:spacing w:after="0" w:line="240" w:lineRule="auto"/>
              <w:jc w:val="center"/>
              <w:rPr>
                <w:rFonts w:ascii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221D0" w14:paraId="4FE74117" w14:textId="77777777" w:rsidTr="009221D0">
        <w:trPr>
          <w:jc w:val="center"/>
        </w:trPr>
        <w:tc>
          <w:tcPr>
            <w:tcW w:w="5330" w:type="dxa"/>
            <w:hideMark/>
          </w:tcPr>
          <w:p w14:paraId="11E532C5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876" w:type="dxa"/>
            <w:hideMark/>
          </w:tcPr>
          <w:p w14:paraId="20D96AE9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1D0" w14:paraId="0F7FED80" w14:textId="77777777" w:rsidTr="009221D0">
        <w:trPr>
          <w:jc w:val="center"/>
        </w:trPr>
        <w:tc>
          <w:tcPr>
            <w:tcW w:w="5330" w:type="dxa"/>
          </w:tcPr>
          <w:p w14:paraId="75B8DE07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6" w:type="dxa"/>
          </w:tcPr>
          <w:p w14:paraId="502AA81B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1D0" w14:paraId="2406DE6E" w14:textId="77777777" w:rsidTr="009221D0">
        <w:trPr>
          <w:jc w:val="center"/>
        </w:trPr>
        <w:tc>
          <w:tcPr>
            <w:tcW w:w="10206" w:type="dxa"/>
            <w:gridSpan w:val="2"/>
          </w:tcPr>
          <w:p w14:paraId="39C70B3C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1D0" w14:paraId="455859DF" w14:textId="77777777" w:rsidTr="009221D0">
        <w:trPr>
          <w:jc w:val="center"/>
        </w:trPr>
        <w:tc>
          <w:tcPr>
            <w:tcW w:w="5330" w:type="dxa"/>
          </w:tcPr>
          <w:p w14:paraId="368FEF70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6" w:type="dxa"/>
          </w:tcPr>
          <w:p w14:paraId="4AE16E7C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1D0" w14:paraId="6CA58C2D" w14:textId="77777777" w:rsidTr="009221D0">
        <w:trPr>
          <w:jc w:val="center"/>
        </w:trPr>
        <w:tc>
          <w:tcPr>
            <w:tcW w:w="10206" w:type="dxa"/>
            <w:gridSpan w:val="2"/>
          </w:tcPr>
          <w:p w14:paraId="697C9D25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1D0" w14:paraId="1CDC83C9" w14:textId="77777777" w:rsidTr="009221D0">
        <w:trPr>
          <w:jc w:val="center"/>
        </w:trPr>
        <w:tc>
          <w:tcPr>
            <w:tcW w:w="5330" w:type="dxa"/>
          </w:tcPr>
          <w:p w14:paraId="25FF7E3B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6" w:type="dxa"/>
          </w:tcPr>
          <w:p w14:paraId="559A55DB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1D0" w14:paraId="071E858A" w14:textId="77777777" w:rsidTr="009221D0">
        <w:trPr>
          <w:jc w:val="center"/>
        </w:trPr>
        <w:tc>
          <w:tcPr>
            <w:tcW w:w="10206" w:type="dxa"/>
            <w:gridSpan w:val="2"/>
          </w:tcPr>
          <w:p w14:paraId="52B86599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End w:id="1"/>
      </w:tr>
      <w:tr w:rsidR="009221D0" w14:paraId="425F3889" w14:textId="77777777" w:rsidTr="009221D0">
        <w:trPr>
          <w:jc w:val="center"/>
        </w:trPr>
        <w:tc>
          <w:tcPr>
            <w:tcW w:w="10206" w:type="dxa"/>
            <w:gridSpan w:val="2"/>
          </w:tcPr>
          <w:p w14:paraId="38F5A246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</w:tbl>
    <w:p w14:paraId="5A08C931" w14:textId="77777777" w:rsidR="009221D0" w:rsidRDefault="009221D0" w:rsidP="009221D0">
      <w:pPr>
        <w:spacing w:after="0" w:line="240" w:lineRule="auto"/>
        <w:rPr>
          <w:sz w:val="2"/>
          <w:szCs w:val="2"/>
        </w:rPr>
        <w:sectPr w:rsidR="009221D0">
          <w:pgSz w:w="11907" w:h="16840"/>
          <w:pgMar w:top="650" w:right="850" w:bottom="367" w:left="1134" w:header="709" w:footer="709" w:gutter="0"/>
          <w:cols w:space="720"/>
        </w:sectPr>
      </w:pPr>
    </w:p>
    <w:p w14:paraId="1E1B4C72" w14:textId="77777777" w:rsidR="009221D0" w:rsidRDefault="009221D0" w:rsidP="009221D0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8507D9E" w14:textId="77777777" w:rsidR="009221D0" w:rsidRDefault="009221D0" w:rsidP="00922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</w:p>
    <w:tbl>
      <w:tblPr>
        <w:tblW w:w="104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"/>
        <w:gridCol w:w="567"/>
        <w:gridCol w:w="714"/>
        <w:gridCol w:w="3325"/>
        <w:gridCol w:w="1351"/>
        <w:gridCol w:w="68"/>
        <w:gridCol w:w="1351"/>
        <w:gridCol w:w="68"/>
        <w:gridCol w:w="1351"/>
        <w:gridCol w:w="68"/>
        <w:gridCol w:w="1351"/>
        <w:gridCol w:w="73"/>
      </w:tblGrid>
      <w:tr w:rsidR="009221D0" w14:paraId="20D9D57C" w14:textId="77777777" w:rsidTr="009221D0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E5D2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80152405" w:colFirst="1" w:colLast="11"/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5097CF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DCB6F8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089B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AB0B36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9221D0" w14:paraId="3679D5B0" w14:textId="77777777" w:rsidTr="009221D0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FDFB8BB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</w:t>
            </w:r>
          </w:p>
        </w:tc>
        <w:tc>
          <w:tcPr>
            <w:tcW w:w="5387" w:type="dxa"/>
            <w:gridSpan w:val="3"/>
            <w:hideMark/>
          </w:tcPr>
          <w:p w14:paraId="24BED11A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унітазів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безпосередньо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приєднаним</w:t>
            </w:r>
            <w:proofErr w:type="spellEnd"/>
          </w:p>
          <w:p w14:paraId="47688CE4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бачком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F1D462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к-т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6D6701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8155C12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1D0" w14:paraId="6C9225CC" w14:textId="77777777" w:rsidTr="009221D0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B078EC9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</w:t>
            </w:r>
          </w:p>
        </w:tc>
        <w:tc>
          <w:tcPr>
            <w:tcW w:w="5387" w:type="dxa"/>
            <w:gridSpan w:val="3"/>
            <w:hideMark/>
          </w:tcPr>
          <w:p w14:paraId="6BFDAAA8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насосів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відцентрових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електродвигуном</w:t>
            </w:r>
            <w:proofErr w:type="spellEnd"/>
          </w:p>
          <w:p w14:paraId="7D88CFC3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масою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до 0,1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9758DD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насос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38D4DA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84A7C5F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1D0" w14:paraId="6E57D740" w14:textId="77777777" w:rsidTr="009221D0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DC0E26B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  <w:tc>
          <w:tcPr>
            <w:tcW w:w="5387" w:type="dxa"/>
            <w:gridSpan w:val="3"/>
            <w:hideMark/>
          </w:tcPr>
          <w:p w14:paraId="2BBAFE83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Розробка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вручну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переміщенням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ручними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візками</w:t>
            </w:r>
            <w:proofErr w:type="spellEnd"/>
          </w:p>
          <w:p w14:paraId="3FC2A0AF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 20 м,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група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9B4326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BE005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07E0A24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1D0" w14:paraId="138E4583" w14:textId="77777777" w:rsidTr="009221D0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AE999BA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5387" w:type="dxa"/>
            <w:gridSpan w:val="3"/>
            <w:hideMark/>
          </w:tcPr>
          <w:p w14:paraId="2EBB4891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бетонних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фундаментів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загального</w:t>
            </w:r>
            <w:proofErr w:type="spellEnd"/>
          </w:p>
          <w:p w14:paraId="61DBADE7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призначення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об'ємом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до 5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AB5ED8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625BD6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869F2A3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1D0" w14:paraId="01F81CC9" w14:textId="77777777" w:rsidTr="009221D0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40D7473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  <w:tc>
          <w:tcPr>
            <w:tcW w:w="5387" w:type="dxa"/>
            <w:gridSpan w:val="3"/>
            <w:hideMark/>
          </w:tcPr>
          <w:p w14:paraId="23395305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Армування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підстилаючих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шарів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набетонок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32A83A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6CA8DD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E97006C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1D0" w14:paraId="36EC77C9" w14:textId="77777777" w:rsidTr="009221D0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674EDB7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</w:t>
            </w:r>
          </w:p>
        </w:tc>
        <w:tc>
          <w:tcPr>
            <w:tcW w:w="5387" w:type="dxa"/>
            <w:gridSpan w:val="3"/>
            <w:hideMark/>
          </w:tcPr>
          <w:p w14:paraId="6ED03CC7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першого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обмазувальної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гідроізоляції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B89115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A2B6F5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151B72A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1D0" w14:paraId="50FA6E71" w14:textId="77777777" w:rsidTr="009221D0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8BC3656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</w:t>
            </w:r>
          </w:p>
        </w:tc>
        <w:tc>
          <w:tcPr>
            <w:tcW w:w="5387" w:type="dxa"/>
            <w:gridSpan w:val="3"/>
            <w:hideMark/>
          </w:tcPr>
          <w:p w14:paraId="577D37CA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кожний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наступний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шар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обмазувальної</w:t>
            </w:r>
            <w:proofErr w:type="spellEnd"/>
          </w:p>
          <w:p w14:paraId="79D22336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гідроізоляції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9DBEDD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AFDBA7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08A9ECA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1D0" w14:paraId="1A812BDC" w14:textId="77777777" w:rsidTr="009221D0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26BD4B2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28</w:t>
            </w:r>
          </w:p>
        </w:tc>
        <w:tc>
          <w:tcPr>
            <w:tcW w:w="5387" w:type="dxa"/>
            <w:gridSpan w:val="3"/>
            <w:hideMark/>
          </w:tcPr>
          <w:p w14:paraId="6DCB7CDD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Армування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стяжки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дротяною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сіткою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822013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15410F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B6DB337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1D0" w14:paraId="6EB20B40" w14:textId="77777777" w:rsidTr="009221D0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87C5975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</w:t>
            </w:r>
          </w:p>
        </w:tc>
        <w:tc>
          <w:tcPr>
            <w:tcW w:w="5387" w:type="dxa"/>
            <w:gridSpan w:val="3"/>
            <w:hideMark/>
          </w:tcPr>
          <w:p w14:paraId="0580C2BC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цементної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стяжки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товщиною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20 мм по</w:t>
            </w:r>
          </w:p>
          <w:p w14:paraId="37BB68FC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щебеневій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піщаній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основі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понад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20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B7585A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52F24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EAE45A1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1D0" w14:paraId="7B665D05" w14:textId="77777777" w:rsidTr="009221D0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F668751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5387" w:type="dxa"/>
            <w:gridSpan w:val="3"/>
            <w:hideMark/>
          </w:tcPr>
          <w:p w14:paraId="5B620C03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кожні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5 мм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зміни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товщини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цементної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стяжки</w:t>
            </w:r>
          </w:p>
          <w:p w14:paraId="5B73A3E8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або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виключати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63ECCB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802F11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29A7AD1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1D0" w14:paraId="11080771" w14:textId="77777777" w:rsidTr="009221D0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10B7265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31</w:t>
            </w:r>
          </w:p>
        </w:tc>
        <w:tc>
          <w:tcPr>
            <w:tcW w:w="5387" w:type="dxa"/>
            <w:gridSpan w:val="3"/>
            <w:hideMark/>
          </w:tcPr>
          <w:p w14:paraId="4F30548C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покриттів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керамічних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плиток на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розчині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із</w:t>
            </w:r>
            <w:proofErr w:type="spellEnd"/>
          </w:p>
          <w:p w14:paraId="0C28601F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сухої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клеючої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суміші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плиток в 1 м2 до 7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FC2FE6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64B97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E4ED32B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1D0" w14:paraId="742F74EC" w14:textId="77777777" w:rsidTr="009221D0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C124653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</w:t>
            </w:r>
          </w:p>
        </w:tc>
        <w:tc>
          <w:tcPr>
            <w:tcW w:w="5387" w:type="dxa"/>
            <w:gridSpan w:val="3"/>
            <w:hideMark/>
          </w:tcPr>
          <w:p w14:paraId="6420DAE8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Поліпшене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штукатурення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цементно-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вапняним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розчином</w:t>
            </w:r>
            <w:proofErr w:type="spellEnd"/>
          </w:p>
          <w:p w14:paraId="5B7AE0C1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каменю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стін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фасадів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0D2A3A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19ABF1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9,54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BE61138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1D0" w14:paraId="7E865E30" w14:textId="77777777" w:rsidTr="009221D0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BA56B02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33</w:t>
            </w:r>
          </w:p>
        </w:tc>
        <w:tc>
          <w:tcPr>
            <w:tcW w:w="5387" w:type="dxa"/>
            <w:gridSpan w:val="3"/>
            <w:hideMark/>
          </w:tcPr>
          <w:p w14:paraId="74070D81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дрібних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металоконструкцій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вагою до 0,5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9E0FA3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CAD122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6C5D4ED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1D0" w14:paraId="4E2810F6" w14:textId="77777777" w:rsidTr="009221D0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3D84C54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34</w:t>
            </w:r>
          </w:p>
        </w:tc>
        <w:tc>
          <w:tcPr>
            <w:tcW w:w="5387" w:type="dxa"/>
            <w:gridSpan w:val="3"/>
            <w:hideMark/>
          </w:tcPr>
          <w:p w14:paraId="1BF4F3C8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металевих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дверей в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бетонних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38FB27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07C32F" w14:textId="77777777" w:rsidR="009221D0" w:rsidRDefault="009221D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CD7CEE0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1D0" w14:paraId="3D7BFA79" w14:textId="77777777" w:rsidTr="009221D0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10208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1F7FEF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1D0" w14:paraId="7A423285" w14:textId="77777777" w:rsidTr="009221D0">
        <w:trPr>
          <w:jc w:val="center"/>
        </w:trPr>
        <w:tc>
          <w:tcPr>
            <w:tcW w:w="1418" w:type="dxa"/>
            <w:gridSpan w:val="3"/>
            <w:hideMark/>
          </w:tcPr>
          <w:p w14:paraId="5844B72B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hideMark/>
          </w:tcPr>
          <w:p w14:paraId="5F33C3D6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hideMark/>
          </w:tcPr>
          <w:p w14:paraId="5FECD310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hideMark/>
          </w:tcPr>
          <w:p w14:paraId="1B6A035A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hideMark/>
          </w:tcPr>
          <w:p w14:paraId="4D0F54CF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gridSpan w:val="2"/>
            <w:hideMark/>
          </w:tcPr>
          <w:p w14:paraId="60355D1E" w14:textId="77777777" w:rsidR="009221D0" w:rsidRDefault="0092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DB22577" w14:textId="77777777" w:rsidR="006F2806" w:rsidRPr="006F2806" w:rsidRDefault="006F2806" w:rsidP="006F280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6F2806" w:rsidRPr="006F2806" w:rsidSect="009221D0">
          <w:pgSz w:w="11907" w:h="16840"/>
          <w:pgMar w:top="650" w:right="850" w:bottom="709" w:left="1134" w:header="709" w:footer="709" w:gutter="0"/>
          <w:cols w:space="720"/>
        </w:sectPr>
      </w:pPr>
      <w:bookmarkStart w:id="3" w:name="_GoBack"/>
      <w:bookmarkEnd w:id="2"/>
      <w:bookmarkEnd w:id="3"/>
    </w:p>
    <w:p w14:paraId="3F0B6CF5" w14:textId="2B7FF510" w:rsidR="003106F5" w:rsidRDefault="003106F5" w:rsidP="003106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</w:p>
    <w:p w14:paraId="4DFD4B4C" w14:textId="77777777" w:rsidR="003106F5" w:rsidRPr="005E52CA" w:rsidRDefault="003106F5" w:rsidP="003106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</w:p>
    <w:p w14:paraId="093E7389" w14:textId="77777777" w:rsidR="003106F5" w:rsidRPr="005E52CA" w:rsidRDefault="003106F5" w:rsidP="003106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Примітка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: </w:t>
      </w:r>
    </w:p>
    <w:p w14:paraId="3BE308D7" w14:textId="77777777" w:rsidR="003106F5" w:rsidRPr="005E52CA" w:rsidRDefault="003106F5" w:rsidP="003106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При </w:t>
      </w: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розрахунку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</w:t>
      </w: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договірної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</w:t>
      </w: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ціни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</w:t>
      </w: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враховувати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</w:t>
      </w: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перевезення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</w:t>
      </w: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матеріалів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на </w:t>
      </w: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відстань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не </w:t>
      </w:r>
      <w:proofErr w:type="spellStart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>більше</w:t>
      </w:r>
      <w:proofErr w:type="spellEnd"/>
      <w:r w:rsidRPr="005E52CA">
        <w:rPr>
          <w:rFonts w:ascii="Times New Roman" w:eastAsia="Times New Roman" w:hAnsi="Times New Roman"/>
          <w:b/>
          <w:i/>
          <w:sz w:val="26"/>
          <w:szCs w:val="26"/>
          <w:lang w:eastAsia="uk-UA"/>
        </w:rPr>
        <w:t xml:space="preserve"> 30км.</w:t>
      </w:r>
    </w:p>
    <w:p w14:paraId="0FD6F12E" w14:textId="77777777" w:rsidR="003106F5" w:rsidRPr="005E52CA" w:rsidRDefault="003106F5" w:rsidP="003106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uk-UA"/>
        </w:rPr>
      </w:pPr>
    </w:p>
    <w:p w14:paraId="43EF39B8" w14:textId="77777777" w:rsidR="003106F5" w:rsidRPr="005E52CA" w:rsidRDefault="003106F5" w:rsidP="003106F5">
      <w:pPr>
        <w:spacing w:after="0" w:line="240" w:lineRule="auto"/>
        <w:ind w:left="-426" w:firstLine="426"/>
        <w:contextualSpacing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У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разі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посилання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в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тексті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технічних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характеристик на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конкретну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торговельну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марку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чи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фірму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, патент,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конструкцію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або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тип предмета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закупівлі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,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джерело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його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походження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,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вважати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можливим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застосувати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 xml:space="preserve"> «</w:t>
      </w:r>
      <w:proofErr w:type="spellStart"/>
      <w:r w:rsidRPr="005E52CA">
        <w:rPr>
          <w:rFonts w:ascii="Times New Roman" w:hAnsi="Times New Roman"/>
          <w:b/>
          <w:sz w:val="24"/>
          <w:szCs w:val="24"/>
          <w:lang w:eastAsia="uk-UA"/>
        </w:rPr>
        <w:t>еквівалент</w:t>
      </w:r>
      <w:proofErr w:type="spellEnd"/>
      <w:r w:rsidRPr="005E52CA">
        <w:rPr>
          <w:rFonts w:ascii="Times New Roman" w:hAnsi="Times New Roman"/>
          <w:b/>
          <w:sz w:val="24"/>
          <w:szCs w:val="24"/>
          <w:lang w:eastAsia="uk-UA"/>
        </w:rPr>
        <w:t>».</w:t>
      </w:r>
    </w:p>
    <w:p w14:paraId="4B8610AC" w14:textId="77777777" w:rsidR="003106F5" w:rsidRDefault="003106F5" w:rsidP="003106F5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13A859A" w14:textId="58DAA403" w:rsidR="003106F5" w:rsidRDefault="003106F5" w:rsidP="003106F5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6D2DA69" w14:textId="7211C762" w:rsidR="003106F5" w:rsidRDefault="003106F5" w:rsidP="003106F5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F1AE141" w14:textId="767D8862" w:rsidR="003106F5" w:rsidRPr="003106F5" w:rsidRDefault="003106F5" w:rsidP="003106F5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Головний спеціаліст – головний бухгалтер                               Оксана ДЯЧЕНКО</w:t>
      </w:r>
    </w:p>
    <w:p w14:paraId="6D244D18" w14:textId="77777777" w:rsidR="003106F5" w:rsidRDefault="003106F5" w:rsidP="003106F5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4AE7E24" w14:textId="77777777" w:rsidR="003106F5" w:rsidRDefault="003106F5" w:rsidP="003106F5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71A07E8" w14:textId="77777777" w:rsidR="003106F5" w:rsidRPr="00626457" w:rsidRDefault="003106F5" w:rsidP="003106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106F5" w:rsidRPr="00626457" w:rsidSect="003106F5">
      <w:pgSz w:w="11906" w:h="16838"/>
      <w:pgMar w:top="850" w:right="850" w:bottom="567" w:left="1134" w:header="709" w:footer="1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3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785590B"/>
    <w:multiLevelType w:val="hybridMultilevel"/>
    <w:tmpl w:val="1F020DB2"/>
    <w:lvl w:ilvl="0" w:tplc="E71A5B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DF"/>
    <w:rsid w:val="00010F33"/>
    <w:rsid w:val="0014581B"/>
    <w:rsid w:val="001D1ADF"/>
    <w:rsid w:val="00226033"/>
    <w:rsid w:val="00274350"/>
    <w:rsid w:val="003106F5"/>
    <w:rsid w:val="00393B11"/>
    <w:rsid w:val="003E29CC"/>
    <w:rsid w:val="00454C48"/>
    <w:rsid w:val="005C280D"/>
    <w:rsid w:val="006712CE"/>
    <w:rsid w:val="006E7C4A"/>
    <w:rsid w:val="006F2806"/>
    <w:rsid w:val="006F2E61"/>
    <w:rsid w:val="0086124A"/>
    <w:rsid w:val="009221D0"/>
    <w:rsid w:val="00A402FE"/>
    <w:rsid w:val="00AB1895"/>
    <w:rsid w:val="00AB3F5E"/>
    <w:rsid w:val="00BF6471"/>
    <w:rsid w:val="00C14397"/>
    <w:rsid w:val="00D02F82"/>
    <w:rsid w:val="00E022CF"/>
    <w:rsid w:val="00EF05DB"/>
    <w:rsid w:val="00F8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7FA0"/>
  <w15:chartTrackingRefBased/>
  <w15:docId w15:val="{4F4476B2-E71C-4325-BA74-D706FDE7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E7C4A"/>
  </w:style>
  <w:style w:type="character" w:styleId="a3">
    <w:name w:val="Emphasis"/>
    <w:basedOn w:val="a0"/>
    <w:uiPriority w:val="20"/>
    <w:qFormat/>
    <w:rsid w:val="006E7C4A"/>
    <w:rPr>
      <w:i/>
      <w:iCs/>
    </w:rPr>
  </w:style>
  <w:style w:type="character" w:customStyle="1" w:styleId="js-apiid">
    <w:name w:val="js-apiid"/>
    <w:basedOn w:val="a0"/>
    <w:rsid w:val="006E7C4A"/>
  </w:style>
  <w:style w:type="paragraph" w:styleId="a4">
    <w:name w:val="List Paragraph"/>
    <w:aliases w:val="Список уровня 2,название табл/рис,заголовок 1.1,AC List 01,EBRD List,CA bullets,Details,Chapter10,----,Абзац списка5"/>
    <w:basedOn w:val="a"/>
    <w:link w:val="a5"/>
    <w:uiPriority w:val="34"/>
    <w:qFormat/>
    <w:rsid w:val="003106F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5">
    <w:name w:val="Абзац списка Знак"/>
    <w:aliases w:val="Список уровня 2 Знак,название табл/рис Знак,заголовок 1.1 Знак,AC List 01 Знак,EBRD List Знак,CA bullets Знак,Details Знак,Chapter10 Знак,---- Знак,Абзац списка5 Знак"/>
    <w:link w:val="a4"/>
    <w:uiPriority w:val="34"/>
    <w:rsid w:val="003106F5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2023-07-06T07:57:00Z</dcterms:created>
  <dcterms:modified xsi:type="dcterms:W3CDTF">2024-10-24T12:00:00Z</dcterms:modified>
</cp:coreProperties>
</file>