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A0" w:rsidRPr="00E4724C" w:rsidRDefault="00004E9F" w:rsidP="00CE7D77">
      <w:pPr>
        <w:pStyle w:val="1"/>
        <w:shd w:val="clear" w:color="auto" w:fill="auto"/>
        <w:spacing w:after="0" w:line="240" w:lineRule="auto"/>
        <w:ind w:left="5120" w:right="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 до П</w:t>
      </w:r>
      <w:r w:rsidR="001E21A4" w:rsidRPr="00E4724C">
        <w:rPr>
          <w:sz w:val="28"/>
          <w:szCs w:val="28"/>
          <w:lang w:val="uk-UA"/>
        </w:rPr>
        <w:t>лану</w:t>
      </w:r>
      <w:r w:rsidR="00CE7D77" w:rsidRPr="00E4724C">
        <w:rPr>
          <w:sz w:val="28"/>
          <w:szCs w:val="28"/>
          <w:lang w:val="uk-UA"/>
        </w:rPr>
        <w:t xml:space="preserve"> дій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420" w:right="440" w:firstLine="1720"/>
        <w:jc w:val="left"/>
        <w:rPr>
          <w:sz w:val="28"/>
          <w:szCs w:val="28"/>
          <w:lang w:val="uk-UA"/>
        </w:rPr>
      </w:pP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420" w:right="440" w:firstLine="1720"/>
        <w:jc w:val="left"/>
        <w:rPr>
          <w:sz w:val="28"/>
          <w:szCs w:val="28"/>
          <w:lang w:val="uk-UA"/>
        </w:rPr>
      </w:pPr>
    </w:p>
    <w:p w:rsidR="00CE7D77" w:rsidRPr="00E4724C" w:rsidRDefault="00CE7D77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b/>
          <w:sz w:val="28"/>
          <w:szCs w:val="28"/>
          <w:lang w:val="uk-UA"/>
        </w:rPr>
      </w:pPr>
    </w:p>
    <w:p w:rsidR="00CE7D77" w:rsidRPr="00E4724C" w:rsidRDefault="00CE7D77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b/>
          <w:sz w:val="28"/>
          <w:szCs w:val="28"/>
          <w:lang w:val="uk-UA"/>
        </w:rPr>
      </w:pPr>
    </w:p>
    <w:p w:rsidR="00CE7D77" w:rsidRPr="00E4724C" w:rsidRDefault="001E21A4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b/>
          <w:sz w:val="28"/>
          <w:szCs w:val="28"/>
          <w:lang w:val="uk-UA"/>
        </w:rPr>
      </w:pPr>
      <w:r w:rsidRPr="00E4724C">
        <w:rPr>
          <w:b/>
          <w:sz w:val="28"/>
          <w:szCs w:val="28"/>
          <w:lang w:val="uk-UA"/>
        </w:rPr>
        <w:t>ОРІЄНТОВНА ОЦІНКА</w:t>
      </w:r>
    </w:p>
    <w:p w:rsidR="00CE7D77" w:rsidRPr="00E4724C" w:rsidRDefault="001E21A4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b/>
          <w:sz w:val="28"/>
          <w:szCs w:val="28"/>
          <w:lang w:val="uk-UA"/>
        </w:rPr>
      </w:pPr>
      <w:r w:rsidRPr="00E4724C">
        <w:rPr>
          <w:b/>
          <w:sz w:val="28"/>
          <w:szCs w:val="28"/>
          <w:lang w:val="uk-UA"/>
        </w:rPr>
        <w:t xml:space="preserve">наслідків застосування зброї масового знищення (ядерної зброї) </w:t>
      </w:r>
    </w:p>
    <w:p w:rsidR="00780FA0" w:rsidRPr="00E4724C" w:rsidRDefault="001E21A4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b/>
          <w:sz w:val="28"/>
          <w:szCs w:val="28"/>
          <w:lang w:val="uk-UA"/>
        </w:rPr>
      </w:pPr>
      <w:r w:rsidRPr="00E4724C">
        <w:rPr>
          <w:b/>
          <w:sz w:val="28"/>
          <w:szCs w:val="28"/>
          <w:lang w:val="uk-UA"/>
        </w:rPr>
        <w:t xml:space="preserve">(проведена відповідно до стандарту НАТО </w:t>
      </w:r>
      <w:r w:rsidR="00CE7D77" w:rsidRPr="00E4724C">
        <w:rPr>
          <w:b/>
          <w:sz w:val="28"/>
          <w:szCs w:val="28"/>
          <w:lang w:val="uk-UA"/>
        </w:rPr>
        <w:t>S</w:t>
      </w:r>
      <w:r w:rsidRPr="00E4724C">
        <w:rPr>
          <w:b/>
          <w:sz w:val="28"/>
          <w:szCs w:val="28"/>
          <w:lang w:val="uk-UA"/>
        </w:rPr>
        <w:t>ТА</w:t>
      </w:r>
      <w:r w:rsidR="00CE7D77" w:rsidRPr="00E4724C">
        <w:rPr>
          <w:b/>
          <w:sz w:val="28"/>
          <w:szCs w:val="28"/>
          <w:lang w:val="uk-UA"/>
        </w:rPr>
        <w:t>NAG</w:t>
      </w:r>
      <w:r w:rsidRPr="00E4724C">
        <w:rPr>
          <w:b/>
          <w:sz w:val="28"/>
          <w:szCs w:val="28"/>
          <w:lang w:val="uk-UA"/>
        </w:rPr>
        <w:t xml:space="preserve"> 2103 АТР-45)</w:t>
      </w:r>
    </w:p>
    <w:p w:rsidR="00CE7D77" w:rsidRPr="00E4724C" w:rsidRDefault="00CE7D77" w:rsidP="00CE7D77">
      <w:pPr>
        <w:pStyle w:val="1"/>
        <w:shd w:val="clear" w:color="auto" w:fill="auto"/>
        <w:tabs>
          <w:tab w:val="left" w:pos="9639"/>
        </w:tabs>
        <w:spacing w:after="0" w:line="240" w:lineRule="auto"/>
        <w:ind w:right="2"/>
        <w:jc w:val="center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1. Можливі наслідки у разі застосування зброї масового знищення (ядерної зброї) на території України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Основними факторами ураження населення під час наземного ядерного вибуху є ударна хвиля, світлове випромінювання, проникаюча радіація, радіоактивне забруднення місцевості, а також виникнення електромагнітного імпульсу, в результаті чого відбудеться відключення або пошкодження електричних пристроїв. Під час повітряного ядерного вибуху радіоактивне забруднення місцевості незначне.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За розрахунками в зонах руйнувань під час наземних ядерних вибухів потужністю 1 Кт, 10 Кт та 100 Кт виникають такі наслідки: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  <w:r w:rsidRPr="00E4724C">
        <w:rPr>
          <w:sz w:val="28"/>
          <w:szCs w:val="28"/>
          <w:u w:val="single"/>
          <w:lang w:val="uk-UA"/>
        </w:rPr>
        <w:t>від дії ударної хвилі: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у зоні значних руйнувань (надмірний тиск у фронті ударної хвилі становить 137 кПа (1,37 кгс/кв. сантиметр) і більше в радіусі 0,19/0,4/0,87 кілометра від епіцентру</w:t>
      </w:r>
      <w:r w:rsidR="002840E3">
        <w:rPr>
          <w:sz w:val="28"/>
          <w:szCs w:val="28"/>
          <w:lang w:val="uk-UA"/>
        </w:rPr>
        <w:t xml:space="preserve"> </w:t>
      </w:r>
      <w:r w:rsidRPr="00E4724C">
        <w:rPr>
          <w:sz w:val="28"/>
          <w:szCs w:val="28"/>
          <w:lang w:val="uk-UA"/>
        </w:rPr>
        <w:t xml:space="preserve">ядерного вибуху площею 0,11/0,39/1,87 кв. кілометра) </w:t>
      </w:r>
      <w:r w:rsidR="00CE7D77" w:rsidRPr="00E4724C">
        <w:rPr>
          <w:sz w:val="28"/>
          <w:szCs w:val="28"/>
          <w:lang w:val="uk-UA"/>
        </w:rPr>
        <w:t>-</w:t>
      </w:r>
      <w:r w:rsidRPr="00E4724C">
        <w:rPr>
          <w:sz w:val="28"/>
          <w:szCs w:val="28"/>
          <w:lang w:val="uk-UA"/>
        </w:rPr>
        <w:t xml:space="preserve"> усі будинки і споруди мають значні пошкодження або зруйновані. Утворюються суцільні завали, внаслідок чого вулиці стають непрохідними. Смертність населення, яке перебуває не в укритті, </w:t>
      </w:r>
      <w:r w:rsidR="00CE7D77" w:rsidRPr="00E4724C">
        <w:rPr>
          <w:sz w:val="28"/>
          <w:szCs w:val="28"/>
          <w:lang w:val="uk-UA"/>
        </w:rPr>
        <w:t>-</w:t>
      </w:r>
      <w:r w:rsidRPr="00E4724C">
        <w:rPr>
          <w:sz w:val="28"/>
          <w:szCs w:val="28"/>
          <w:lang w:val="uk-UA"/>
        </w:rPr>
        <w:t xml:space="preserve"> приблизно 100 відсотків. Вихід з ладу 100 відсотків техніки;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у зоні помірних руйнувань (надмірний тиск у фронті ударної хвилі становить 34—137 кПа (0,34—1,37 кгс/кв. сантиметр) у радіусі 0,4/0,86/1,8 кілометра від епіцентру ядерного вибуху площею 0,49/1,8/7,9 кв. кілометра) — більшість будинків руйнується, смертність населення, яке перебуває не в укритті, — приблизно 90 відсотків. Вихід з ладу 60 відсотків техніки;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у зоні слабких руйнувань (надмірний тиск у фронті ударної хвилі становить 6,9—34 кПа (0,06—0,34 кгс/кв. сантиметр) у радіусі 1,2/2,6/5,6 кілометра від епіцентру ядерного вибуху площею 4,5/14,2/79,8 кв. кілометра) — пошкодження вікон, слабкі пошкодження фасадів будівель. Вулиці в цілому прохідні. Населення може отримати травми, що не загрожують життю. Для незахищеного населення смертність може коливатися від 10 відсотків до 90 відсотків. Вихід з ладу 30 відсотків техніки;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  <w:r w:rsidRPr="00E4724C">
        <w:rPr>
          <w:sz w:val="28"/>
          <w:szCs w:val="28"/>
          <w:u w:val="single"/>
          <w:lang w:val="uk-UA"/>
        </w:rPr>
        <w:t>від дії світлового випромінювання:</w:t>
      </w:r>
    </w:p>
    <w:p w:rsidR="00CE7D77" w:rsidRPr="00E4724C" w:rsidRDefault="00CE7D77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виникнення пожеж у житлових будинках внаслідок</w:t>
      </w:r>
      <w:r w:rsidRPr="00E4724C">
        <w:rPr>
          <w:rStyle w:val="85pt"/>
          <w:sz w:val="28"/>
          <w:szCs w:val="28"/>
          <w:lang w:val="uk-UA"/>
        </w:rPr>
        <w:t xml:space="preserve"> проникнення </w:t>
      </w:r>
      <w:r w:rsidRPr="00E4724C">
        <w:rPr>
          <w:sz w:val="28"/>
          <w:szCs w:val="28"/>
          <w:lang w:val="uk-UA"/>
        </w:rPr>
        <w:t>світлового випромінювання через вікна в радіусі 0,4/1/3 кілометри від епіцентру ядерного вибуху;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виникнення пожеж на автотранспорті внаслідок проникнення</w:t>
      </w:r>
      <w:r w:rsidRPr="00E4724C">
        <w:rPr>
          <w:rStyle w:val="85pt"/>
          <w:sz w:val="28"/>
          <w:szCs w:val="28"/>
          <w:lang w:val="uk-UA"/>
        </w:rPr>
        <w:t xml:space="preserve"> світлового </w:t>
      </w:r>
      <w:r w:rsidRPr="00E4724C">
        <w:rPr>
          <w:sz w:val="28"/>
          <w:szCs w:val="28"/>
          <w:lang w:val="uk-UA"/>
        </w:rPr>
        <w:t>випромінювання через вікна 0,4/1/2,5 кілометра від епіцентру ядерного вибуху;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смертельні ураження людей, які перебувають на відкритій місцевості, внаслідок отриманих опіків у радіусі 0,25/0,7/1,7 кілометра від епіцентру ядерного вибуху;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опіки II—III ступенів на відкритих ділянках шкіри людей, які перебувають на відкритій місцевості, у радіусі 0,45/1,2/3,1 кілометра від епіцентру ядерного вибуху;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  <w:r w:rsidRPr="00E4724C">
        <w:rPr>
          <w:sz w:val="28"/>
          <w:szCs w:val="28"/>
          <w:u w:val="single"/>
          <w:lang w:val="uk-UA"/>
        </w:rPr>
        <w:t>від дії проникаючої радіації: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u w:val="single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променева хвороба І—IV ступенів (отримана доза 1—6 Гр) населення, яке перебуває на відкритій місцевості, внаслідок дії проникаючої радіації в радіусі 0,9/1,4/1,9 кілометра від епіцентру ядерного вибуху.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Крім того, у разі наземного ядерного вибуху на значній площі поширюється радіоактивне забруднення місцевості за напрямком вітру, зокрема зони можливого радіоактивного забруднення ядерних вибухів мають такі розміри: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для 1 Кт: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І: глибина — 14 кілометрів, площа — 117 кв. кілометрів;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II: глибина — 21 кілометр, площа — 119 кв. кілометрів;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для 10 Кт: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І: глибина— 17,6 кілометра, площа— 133,6 кв. кілометра;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II: глибина — 35,2 кілометра, площа — 236,2 кв. кілометра;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для 100 Кт: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І: глибина— 106 кілометрів, площа — 3613 кв. кілометрів;</w:t>
      </w: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II: глибина — 212 кілометрів, площа — 8567 кв. кілометрів.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І — у межах такої зони незахищене населення отримає дозу опромінення більше 1500 мЗв (менше ніж за 4 години після фактичного надходження радіоактивних опадів). На відкритій місцевості протягом години і більше населення отримає дозу опромінення, котра призведе до 100 відсотків летального результату (протягом декількох днів).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Зона II — у межах такої зони населення отримає дозу опромінення, що не перевищує 1500 мЗв (протягом 4 годин після фактичного н</w:t>
      </w:r>
      <w:r w:rsidR="00E4724C" w:rsidRPr="00E4724C">
        <w:rPr>
          <w:sz w:val="28"/>
          <w:szCs w:val="28"/>
          <w:lang w:val="uk-UA"/>
        </w:rPr>
        <w:t>адходження радіоактивних опадів</w:t>
      </w:r>
      <w:r w:rsidRPr="00E4724C">
        <w:rPr>
          <w:sz w:val="28"/>
          <w:szCs w:val="28"/>
          <w:lang w:val="uk-UA"/>
        </w:rPr>
        <w:t>)</w:t>
      </w:r>
      <w:r w:rsidR="00E4724C" w:rsidRPr="00E4724C">
        <w:rPr>
          <w:sz w:val="28"/>
          <w:szCs w:val="28"/>
          <w:lang w:val="uk-UA"/>
        </w:rPr>
        <w:t>.</w:t>
      </w:r>
      <w:r w:rsidRPr="00E4724C">
        <w:rPr>
          <w:sz w:val="28"/>
          <w:szCs w:val="28"/>
          <w:lang w:val="uk-UA"/>
        </w:rPr>
        <w:t xml:space="preserve"> Залежно від місцезнаходження, метеорологічних умов та типу місцевості незахищене населення може отримати дозу опромінення від 10 відсотків до 90 відсотків летального результату (протягом декількох тижнів).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E4724C" w:rsidP="00E4724C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right="20" w:firstLine="709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 xml:space="preserve">2. </w:t>
      </w:r>
      <w:r w:rsidR="001E21A4" w:rsidRPr="00E4724C">
        <w:rPr>
          <w:sz w:val="28"/>
          <w:szCs w:val="28"/>
          <w:lang w:val="uk-UA"/>
        </w:rPr>
        <w:t>Висновки з оцінки прогнозних наслідків застосування зброї масового знищення (ядерної зброї)</w:t>
      </w:r>
    </w:p>
    <w:p w:rsidR="00E4724C" w:rsidRPr="00E4724C" w:rsidRDefault="00E4724C" w:rsidP="00E4724C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right="20" w:firstLine="709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За розрахунками в епіцентрі ядерного вибуху потужністю 1 Кт, 10 Кт, 100 Кт у населеному пункті з щільністю населення 4 тис. на кв. кілометр внаслідок дії ударної хвилі та світлового випромінювання ураження людей із смертельними наслідками орієнтовно становитиме понад 2/8/36 тис. осіб, кількість постраждалих становитиме понад 18/57/80 тис. осіб, що потребує залучення у найкоротші строки значної кількості сил та засобів для рятування постраждалих та надання їм кваліфікованої медичної допомоги.</w:t>
      </w:r>
    </w:p>
    <w:p w:rsidR="00780FA0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 xml:space="preserve">В епіцентрі ядерного вибуху будуть зруйновані або пошкоджені житлові будинки, захисні </w:t>
      </w:r>
      <w:r w:rsidR="00E4724C" w:rsidRPr="00E4724C">
        <w:rPr>
          <w:sz w:val="28"/>
          <w:szCs w:val="28"/>
          <w:lang w:val="uk-UA"/>
        </w:rPr>
        <w:t>споруди, підвали, комунальні об’</w:t>
      </w:r>
      <w:r w:rsidRPr="00E4724C">
        <w:rPr>
          <w:sz w:val="28"/>
          <w:szCs w:val="28"/>
          <w:lang w:val="uk-UA"/>
        </w:rPr>
        <w:t>єкти та мережі забезпечення життєдіяльності населення (електропостачання, газопостачання, водопостачання, теплопостачання), мер</w:t>
      </w:r>
      <w:r w:rsidR="00E4724C" w:rsidRPr="00E4724C">
        <w:rPr>
          <w:sz w:val="28"/>
          <w:szCs w:val="28"/>
          <w:lang w:val="uk-UA"/>
        </w:rPr>
        <w:t>ежі провідного та мобільного зв’</w:t>
      </w:r>
      <w:r w:rsidRPr="00E4724C">
        <w:rPr>
          <w:sz w:val="28"/>
          <w:szCs w:val="28"/>
          <w:lang w:val="uk-UA"/>
        </w:rPr>
        <w:t>язку, телевізійного мовлення та багатоканальних електронних комунікаційних мереж, Інтернету, що створює додаткові труднощі під час здійснення заходів захисту населення, проведення аварійно-рятувальних та інших невідкладних робіт.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Default="00E4724C" w:rsidP="00E4724C">
      <w:pPr>
        <w:pStyle w:val="1"/>
        <w:shd w:val="clear" w:color="auto" w:fill="auto"/>
        <w:tabs>
          <w:tab w:val="left" w:pos="585"/>
        </w:tabs>
        <w:spacing w:after="0" w:line="240" w:lineRule="auto"/>
        <w:ind w:left="709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E21A4" w:rsidRPr="00E4724C">
        <w:rPr>
          <w:sz w:val="28"/>
          <w:szCs w:val="28"/>
          <w:lang w:val="uk-UA"/>
        </w:rPr>
        <w:t>Рекомендації</w:t>
      </w:r>
    </w:p>
    <w:p w:rsidR="00E4724C" w:rsidRPr="00E4724C" w:rsidRDefault="00E4724C" w:rsidP="00E4724C">
      <w:pPr>
        <w:pStyle w:val="1"/>
        <w:shd w:val="clear" w:color="auto" w:fill="auto"/>
        <w:tabs>
          <w:tab w:val="left" w:pos="585"/>
        </w:tabs>
        <w:spacing w:after="0" w:line="240" w:lineRule="auto"/>
        <w:ind w:left="709" w:right="20"/>
        <w:jc w:val="both"/>
        <w:rPr>
          <w:sz w:val="28"/>
          <w:szCs w:val="28"/>
          <w:lang w:val="uk-UA"/>
        </w:rPr>
      </w:pPr>
    </w:p>
    <w:p w:rsidR="00780FA0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 xml:space="preserve">Пошуково-рятувальні роботи насамперед необхідно проводити в зоні помірних руйнувань з урахуванням </w:t>
      </w:r>
      <w:r w:rsidR="002840E3">
        <w:rPr>
          <w:sz w:val="28"/>
          <w:szCs w:val="28"/>
          <w:lang w:val="uk-UA"/>
        </w:rPr>
        <w:t xml:space="preserve">не перевищення </w:t>
      </w:r>
      <w:r w:rsidRPr="00E4724C">
        <w:rPr>
          <w:sz w:val="28"/>
          <w:szCs w:val="28"/>
          <w:lang w:val="uk-UA"/>
        </w:rPr>
        <w:t>дозових лімітів опромінення рятувальників.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Пошуково-рятувальні роботи в зоні значних руйнувань необхідно проводити тільки після зниження високих рівнів радіації.</w:t>
      </w:r>
    </w:p>
    <w:p w:rsidR="00E4724C" w:rsidRPr="00E4724C" w:rsidRDefault="00E4724C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780FA0" w:rsidRPr="00E4724C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Після застосування зброї масового знищення (ядерної зброї) населення негайно укривається від радіоактивних опадів у захисних спорудах та будівлях у радіусі до 50 кілометрів від епіцентру ядерного вибуху. Після проведення прогнозування масштабів радіоактивного забруднення населення, яке опинилося в зоні радіоактивного забруднення, укривається в захисних спорудах та будівлях до 24—48 годин після застосування зброї масового знищення (ядерної зброї) залежно від рівнів радіації на території.</w:t>
      </w:r>
    </w:p>
    <w:p w:rsidR="00780FA0" w:rsidRDefault="001E21A4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E4724C">
        <w:rPr>
          <w:sz w:val="28"/>
          <w:szCs w:val="28"/>
          <w:lang w:val="uk-UA"/>
        </w:rPr>
        <w:t>Проведення населенням попередньої (часткової) санітарної обробки необхідно здійснювати в найкоротші строки після забруднення шкіри, одягу та взуття радіоактивними речовинами.</w:t>
      </w:r>
    </w:p>
    <w:p w:rsidR="00004E9F" w:rsidRDefault="00004E9F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004E9F" w:rsidRDefault="00004E9F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004E9F" w:rsidRDefault="00004E9F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004E9F" w:rsidRDefault="00004E9F" w:rsidP="00CE7D7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:rsidR="00004E9F" w:rsidRPr="00E4724C" w:rsidRDefault="00004E9F" w:rsidP="00004E9F">
      <w:pPr>
        <w:pStyle w:val="1"/>
        <w:shd w:val="clear" w:color="auto" w:fill="auto"/>
        <w:spacing w:after="0" w:line="240" w:lineRule="auto"/>
        <w:ind w:left="20" w:right="20" w:firstLine="68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</w:t>
      </w:r>
    </w:p>
    <w:sectPr w:rsidR="00004E9F" w:rsidRPr="00E4724C" w:rsidSect="00CE7D77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35" w:rsidRDefault="00B15235">
      <w:r>
        <w:separator/>
      </w:r>
    </w:p>
  </w:endnote>
  <w:endnote w:type="continuationSeparator" w:id="1">
    <w:p w:rsidR="00B15235" w:rsidRDefault="00B1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35" w:rsidRDefault="00B15235"/>
  </w:footnote>
  <w:footnote w:type="continuationSeparator" w:id="1">
    <w:p w:rsidR="00B15235" w:rsidRDefault="00B152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6076"/>
    <w:multiLevelType w:val="multilevel"/>
    <w:tmpl w:val="AE80E8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0FA0"/>
    <w:rsid w:val="00004E9F"/>
    <w:rsid w:val="001E21A4"/>
    <w:rsid w:val="002840E3"/>
    <w:rsid w:val="00780FA0"/>
    <w:rsid w:val="00797D0F"/>
    <w:rsid w:val="00AD21B3"/>
    <w:rsid w:val="00B15235"/>
    <w:rsid w:val="00CE7D77"/>
    <w:rsid w:val="00E4724C"/>
    <w:rsid w:val="00F5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D0F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D0F"/>
    <w:rPr>
      <w:color w:val="0066CC"/>
      <w:u w:val="single"/>
    </w:rPr>
  </w:style>
  <w:style w:type="character" w:customStyle="1" w:styleId="a4">
    <w:name w:val="Основной текст_"/>
    <w:link w:val="1"/>
    <w:rsid w:val="00797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"/>
    <w:rsid w:val="00797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link w:val="20"/>
    <w:rsid w:val="00797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797D0F"/>
    <w:pPr>
      <w:shd w:val="clear" w:color="auto" w:fill="FFFFFF"/>
      <w:spacing w:after="120" w:line="218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797D0F"/>
    <w:pPr>
      <w:shd w:val="clear" w:color="auto" w:fill="FFFFFF"/>
      <w:spacing w:before="60" w:after="60" w:line="209" w:lineRule="exact"/>
      <w:ind w:firstLine="38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</dc:creator>
  <cp:keywords/>
  <cp:lastModifiedBy>Zverdvd.org</cp:lastModifiedBy>
  <cp:revision>4</cp:revision>
  <dcterms:created xsi:type="dcterms:W3CDTF">2025-01-29T13:35:00Z</dcterms:created>
  <dcterms:modified xsi:type="dcterms:W3CDTF">2025-02-24T12:47:00Z</dcterms:modified>
</cp:coreProperties>
</file>