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F3" w:rsidRPr="00AC3904" w:rsidRDefault="00EE69F3" w:rsidP="00EE69F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3904">
        <w:rPr>
          <w:rFonts w:ascii="Times New Roman" w:eastAsia="Calibri" w:hAnsi="Times New Roman" w:cs="Times New Roman"/>
          <w:b/>
          <w:sz w:val="28"/>
          <w:szCs w:val="28"/>
        </w:rPr>
        <w:t>АРКУШ ПОГОДЖЕННЯ</w:t>
      </w:r>
    </w:p>
    <w:p w:rsidR="00EE69F3" w:rsidRPr="00AC3904" w:rsidRDefault="00EE69F3" w:rsidP="00EE69F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проєкту рішення виконавчого комітету Костянтинівської сільської  ради</w:t>
      </w:r>
    </w:p>
    <w:p w:rsidR="00EE69F3" w:rsidRPr="00AC3904" w:rsidRDefault="009551A7" w:rsidP="00EE69F3">
      <w:pPr>
        <w:suppressAutoHyphens/>
        <w:autoSpaceDN w:val="0"/>
        <w:spacing w:after="0" w:line="276" w:lineRule="auto"/>
        <w:ind w:right="35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bookmarkStart w:id="0" w:name="_Hlk188276141"/>
      <w:r>
        <w:rPr>
          <w:rFonts w:ascii="Times New Roman" w:eastAsia="SimSun" w:hAnsi="Times New Roman" w:cs="Tahoma"/>
          <w:kern w:val="3"/>
          <w:sz w:val="28"/>
          <w:szCs w:val="28"/>
        </w:rPr>
        <w:t>«</w:t>
      </w:r>
      <w:r w:rsidRPr="009551A7">
        <w:rPr>
          <w:rFonts w:ascii="Times New Roman" w:eastAsia="SimSun" w:hAnsi="Times New Roman" w:cs="Tahoma"/>
          <w:kern w:val="3"/>
          <w:sz w:val="28"/>
          <w:szCs w:val="28"/>
        </w:rPr>
        <w:t xml:space="preserve">Звіт про роботу Комунальної установи «Центр надання соціальних послуг» Костянтинівської сільської ради за 2025 рік </w:t>
      </w:r>
      <w:r w:rsidR="00A8784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 затвердження плану роботи </w:t>
      </w:r>
      <w:r w:rsidRPr="009551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Комунальної установи «Центр надання соціальних послуг» Костянтинівської сільської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2026</w:t>
      </w:r>
      <w:r w:rsidR="00A8784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р.</w:t>
      </w:r>
      <w:bookmarkEnd w:id="0"/>
      <w:r w:rsidR="00EE69F3" w:rsidRPr="00AC3904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»</w:t>
      </w:r>
    </w:p>
    <w:p w:rsidR="00EE69F3" w:rsidRPr="00AC3904" w:rsidRDefault="00EE69F3" w:rsidP="00EE69F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69F3" w:rsidRPr="00AC3904" w:rsidRDefault="00EE69F3" w:rsidP="00EE69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3904">
        <w:rPr>
          <w:rFonts w:ascii="Times New Roman" w:eastAsia="Calibri" w:hAnsi="Times New Roman" w:cs="Times New Roman"/>
          <w:b/>
          <w:sz w:val="28"/>
          <w:szCs w:val="28"/>
        </w:rPr>
        <w:t>РІШЕННЯ ПІДГОТУВАЛА:</w:t>
      </w:r>
    </w:p>
    <w:p w:rsidR="00EE69F3" w:rsidRPr="00AC3904" w:rsidRDefault="00EE69F3" w:rsidP="00EE69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2633"/>
        <w:gridCol w:w="1336"/>
      </w:tblGrid>
      <w:tr w:rsidR="00EE69F3" w:rsidRPr="00AC3904" w:rsidTr="004C1102">
        <w:tc>
          <w:tcPr>
            <w:tcW w:w="3964" w:type="dxa"/>
          </w:tcPr>
          <w:p w:rsidR="00EE69F3" w:rsidRPr="00AC3904" w:rsidRDefault="009551A7" w:rsidP="004C1102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КУ</w:t>
            </w:r>
          </w:p>
        </w:tc>
        <w:tc>
          <w:tcPr>
            <w:tcW w:w="1560" w:type="dxa"/>
          </w:tcPr>
          <w:p w:rsidR="00EE69F3" w:rsidRPr="00AC3904" w:rsidRDefault="00EE69F3" w:rsidP="004C1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904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2633" w:type="dxa"/>
          </w:tcPr>
          <w:p w:rsidR="00EE69F3" w:rsidRPr="00AC3904" w:rsidRDefault="009551A7" w:rsidP="004C1102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К.В. РАБОЩУК</w:t>
            </w:r>
          </w:p>
        </w:tc>
        <w:tc>
          <w:tcPr>
            <w:tcW w:w="1336" w:type="dxa"/>
          </w:tcPr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904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EE69F3" w:rsidRPr="00AC3904" w:rsidRDefault="00EE69F3" w:rsidP="00EE69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3904">
        <w:rPr>
          <w:rFonts w:ascii="Times New Roman" w:eastAsia="Calibri" w:hAnsi="Times New Roman" w:cs="Times New Roman"/>
          <w:b/>
          <w:sz w:val="28"/>
          <w:szCs w:val="28"/>
        </w:rPr>
        <w:t>ПОГОДЖЕНО:</w:t>
      </w:r>
    </w:p>
    <w:tbl>
      <w:tblPr>
        <w:tblStyle w:val="1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2693"/>
        <w:gridCol w:w="1336"/>
      </w:tblGrid>
      <w:tr w:rsidR="00EE69F3" w:rsidRPr="00AC3904" w:rsidTr="00B329D9">
        <w:tc>
          <w:tcPr>
            <w:tcW w:w="3969" w:type="dxa"/>
          </w:tcPr>
          <w:p w:rsidR="00EE69F3" w:rsidRPr="00AC3904" w:rsidRDefault="009551A7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560" w:type="dxa"/>
          </w:tcPr>
          <w:p w:rsidR="00EE69F3" w:rsidRPr="00AC3904" w:rsidRDefault="00EE69F3" w:rsidP="005B76B6">
            <w:pPr>
              <w:rPr>
                <w:rFonts w:ascii="Times New Roman" w:hAnsi="Times New Roman"/>
                <w:sz w:val="20"/>
                <w:szCs w:val="20"/>
              </w:rPr>
            </w:pPr>
            <w:r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904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2693" w:type="dxa"/>
          </w:tcPr>
          <w:p w:rsidR="00EE69F3" w:rsidRPr="00AC3904" w:rsidRDefault="009551A7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 ЛУНГОЛ</w:t>
            </w:r>
          </w:p>
        </w:tc>
        <w:tc>
          <w:tcPr>
            <w:tcW w:w="1336" w:type="dxa"/>
          </w:tcPr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904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EE69F3" w:rsidRPr="00AC3904" w:rsidRDefault="00EE69F3" w:rsidP="00EE69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2410"/>
        <w:gridCol w:w="283"/>
        <w:gridCol w:w="1135"/>
        <w:gridCol w:w="283"/>
      </w:tblGrid>
      <w:tr w:rsidR="00EE69F3" w:rsidRPr="00AC3904" w:rsidTr="00B329D9">
        <w:tc>
          <w:tcPr>
            <w:tcW w:w="3544" w:type="dxa"/>
          </w:tcPr>
          <w:p w:rsidR="00EE69F3" w:rsidRPr="00F75F2D" w:rsidRDefault="00EE69F3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1" w:name="_Hlk155692243"/>
            <w:r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  <w:r w:rsidR="00F75F2D">
              <w:rPr>
                <w:rFonts w:ascii="Times New Roman" w:hAnsi="Times New Roman"/>
                <w:sz w:val="28"/>
                <w:szCs w:val="28"/>
              </w:rPr>
              <w:t>сільської ради</w:t>
            </w:r>
          </w:p>
        </w:tc>
        <w:tc>
          <w:tcPr>
            <w:tcW w:w="1985" w:type="dxa"/>
          </w:tcPr>
          <w:p w:rsidR="00EE69F3" w:rsidRPr="00AC3904" w:rsidRDefault="009551A7" w:rsidP="004C1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E69F3"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9551A7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E69F3" w:rsidRPr="00AC3904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2693" w:type="dxa"/>
            <w:gridSpan w:val="2"/>
          </w:tcPr>
          <w:p w:rsidR="00EE69F3" w:rsidRPr="00AC3904" w:rsidRDefault="00972532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E69F3" w:rsidRPr="00AC3904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BF37F4">
              <w:rPr>
                <w:rFonts w:ascii="Times New Roman" w:hAnsi="Times New Roman"/>
                <w:sz w:val="28"/>
                <w:szCs w:val="28"/>
              </w:rPr>
              <w:t>ПАНЧЕНКО</w:t>
            </w:r>
          </w:p>
        </w:tc>
        <w:tc>
          <w:tcPr>
            <w:tcW w:w="1418" w:type="dxa"/>
            <w:gridSpan w:val="2"/>
          </w:tcPr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904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</w:p>
          <w:p w:rsidR="00EE69F3" w:rsidRPr="00AC3904" w:rsidRDefault="00EE69F3" w:rsidP="004C110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904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  <w:bookmarkEnd w:id="1"/>
      <w:tr w:rsidR="00EE69F3" w:rsidRPr="00AC3904" w:rsidTr="00B329D9">
        <w:trPr>
          <w:gridAfter w:val="1"/>
          <w:wAfter w:w="283" w:type="dxa"/>
        </w:trPr>
        <w:tc>
          <w:tcPr>
            <w:tcW w:w="3544" w:type="dxa"/>
          </w:tcPr>
          <w:p w:rsidR="00EE69F3" w:rsidRPr="00972532" w:rsidRDefault="00EE69F3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EE69F3" w:rsidRPr="00972532" w:rsidRDefault="00EE69F3" w:rsidP="004C1102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EE69F3" w:rsidRPr="00972532" w:rsidRDefault="00EE69F3" w:rsidP="004C1102">
            <w:pPr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EE69F3" w:rsidRPr="00972532" w:rsidRDefault="00EE69F3" w:rsidP="004C1102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</w:tbl>
    <w:tbl>
      <w:tblPr>
        <w:tblStyle w:val="aa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2551"/>
        <w:gridCol w:w="1336"/>
      </w:tblGrid>
      <w:tr w:rsidR="00B329D9" w:rsidRPr="00B329D9" w:rsidTr="00B329D9">
        <w:tc>
          <w:tcPr>
            <w:tcW w:w="3686" w:type="dxa"/>
          </w:tcPr>
          <w:p w:rsidR="00B329D9" w:rsidRPr="00B329D9" w:rsidRDefault="009551A7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1A7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сільського голови</w:t>
            </w:r>
          </w:p>
        </w:tc>
        <w:tc>
          <w:tcPr>
            <w:tcW w:w="1843" w:type="dxa"/>
          </w:tcPr>
          <w:p w:rsidR="00B329D9" w:rsidRPr="00B329D9" w:rsidRDefault="009551A7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B329D9" w:rsidRPr="00B3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329D9" w:rsidRPr="00B329D9" w:rsidRDefault="00B329D9" w:rsidP="00B329D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</w:t>
            </w:r>
            <w:r w:rsidR="009551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551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B329D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551" w:type="dxa"/>
          </w:tcPr>
          <w:p w:rsidR="00B329D9" w:rsidRPr="00B329D9" w:rsidRDefault="009551A7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1A7">
              <w:rPr>
                <w:rFonts w:ascii="Times New Roman" w:eastAsia="Calibri" w:hAnsi="Times New Roman" w:cs="Times New Roman"/>
                <w:sz w:val="28"/>
                <w:szCs w:val="28"/>
              </w:rPr>
              <w:t>Н.С. РЕВТА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</w:tcPr>
          <w:p w:rsidR="00B329D9" w:rsidRPr="00B329D9" w:rsidRDefault="00B329D9" w:rsidP="00B329D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</w:t>
            </w:r>
          </w:p>
          <w:p w:rsidR="00B329D9" w:rsidRPr="00B329D9" w:rsidRDefault="00B329D9" w:rsidP="00B329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B329D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</w:tr>
      <w:tr w:rsidR="000C5B41" w:rsidRPr="00B329D9" w:rsidTr="00B329D9">
        <w:tc>
          <w:tcPr>
            <w:tcW w:w="3686" w:type="dxa"/>
          </w:tcPr>
          <w:p w:rsidR="000C5B41" w:rsidRDefault="000C5B41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5B41" w:rsidRPr="00B329D9" w:rsidRDefault="000C5B41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B41" w:rsidRPr="00B329D9" w:rsidRDefault="000C5B41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5B41" w:rsidRPr="00B329D9" w:rsidRDefault="000C5B41" w:rsidP="00B329D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0C5B41" w:rsidRPr="00B329D9" w:rsidRDefault="000C5B41" w:rsidP="00B329D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E69F3" w:rsidRPr="00AC3904" w:rsidRDefault="00EE69F3" w:rsidP="00EE69F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9F3" w:rsidRPr="00AC3904" w:rsidRDefault="00EE69F3" w:rsidP="00EE69F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Зауваження, пропозиції до проекту:</w:t>
      </w:r>
    </w:p>
    <w:p w:rsidR="00EE69F3" w:rsidRPr="00AC3904" w:rsidRDefault="00EE69F3" w:rsidP="00EE69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9F3" w:rsidRPr="00AC3904" w:rsidRDefault="00EE69F3" w:rsidP="00EE69F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Рішення надіслати:</w:t>
      </w:r>
    </w:p>
    <w:p w:rsidR="00EE69F3" w:rsidRPr="00AC3904" w:rsidRDefault="00EE69F3" w:rsidP="00EE69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E69F3" w:rsidRPr="00AC3904" w:rsidRDefault="00EE69F3" w:rsidP="00EE69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390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E69F3" w:rsidRPr="00AC3904" w:rsidRDefault="00EE69F3" w:rsidP="00EE69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9F3" w:rsidRDefault="00EE69F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F64BF" w:rsidRPr="006421EB" w:rsidRDefault="006421EB" w:rsidP="006421EB">
      <w:pPr>
        <w:spacing w:after="0" w:line="276" w:lineRule="auto"/>
        <w:ind w:left="808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ПРОЄКТ</w:t>
      </w:r>
    </w:p>
    <w:p w:rsidR="006421EB" w:rsidRDefault="006421EB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E6BC9EA" wp14:editId="482DFB76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r w:rsidR="00BF37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 району Миколаївської</w:t>
      </w:r>
      <w:r w:rsidR="00BF37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BF" w:rsidRPr="007F64BF" w:rsidRDefault="007F64BF" w:rsidP="00F1791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</w:t>
      </w:r>
      <w:r w:rsidR="00293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7F64BF" w:rsidRDefault="007F64BF" w:rsidP="00E0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                          </w:t>
      </w:r>
      <w:r w:rsidR="0059171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              від </w:t>
      </w:r>
      <w:r w:rsidR="009551A7">
        <w:rPr>
          <w:rFonts w:ascii="Times New Roman" w:hAnsi="Times New Roman" w:cs="Times New Roman"/>
          <w:sz w:val="28"/>
          <w:szCs w:val="28"/>
        </w:rPr>
        <w:t>22</w:t>
      </w:r>
      <w:r w:rsidR="00B22CC8">
        <w:rPr>
          <w:rFonts w:ascii="Times New Roman" w:hAnsi="Times New Roman" w:cs="Times New Roman"/>
          <w:sz w:val="28"/>
          <w:szCs w:val="28"/>
        </w:rPr>
        <w:t xml:space="preserve"> січня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9551A7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F1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44D" w:rsidRDefault="00EB179E" w:rsidP="00A70E08">
      <w:pPr>
        <w:pStyle w:val="3"/>
        <w:shd w:val="clear" w:color="auto" w:fill="FFFFFF"/>
        <w:ind w:right="4819"/>
        <w:jc w:val="both"/>
        <w:rPr>
          <w:rFonts w:eastAsia="Times New Roman"/>
          <w:sz w:val="28"/>
          <w:szCs w:val="28"/>
        </w:rPr>
      </w:pPr>
      <w:bookmarkStart w:id="2" w:name="_GoBack"/>
      <w:r>
        <w:rPr>
          <w:rFonts w:eastAsia="Times New Roman"/>
          <w:sz w:val="28"/>
          <w:szCs w:val="28"/>
        </w:rPr>
        <w:t>П</w:t>
      </w:r>
      <w:r w:rsidR="00A70E08" w:rsidRPr="00A70E08">
        <w:rPr>
          <w:rFonts w:eastAsia="Times New Roman"/>
          <w:sz w:val="28"/>
          <w:szCs w:val="28"/>
        </w:rPr>
        <w:t>ро роботу Комунальної установи «Центр надання соціальних послуг» Костянтинівської сільської ради за 2025 рік та затвердження плану роботи Комунальної установи «Центр надання соціальних послуг» Костянтинівської сільської ради на 2026 р.</w:t>
      </w:r>
    </w:p>
    <w:bookmarkEnd w:id="2"/>
    <w:p w:rsidR="00A70E08" w:rsidRPr="00A70E08" w:rsidRDefault="00A70E08" w:rsidP="00A70E08">
      <w:pPr>
        <w:rPr>
          <w:lang w:eastAsia="ru-RU"/>
        </w:rPr>
      </w:pPr>
    </w:p>
    <w:p w:rsidR="0082184D" w:rsidRPr="00650401" w:rsidRDefault="00EB179E" w:rsidP="0082184D">
      <w:pPr>
        <w:pStyle w:val="3"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sz w:val="28"/>
        </w:rPr>
        <w:t xml:space="preserve">   </w:t>
      </w:r>
      <w:r w:rsidR="004B6038">
        <w:rPr>
          <w:sz w:val="28"/>
        </w:rPr>
        <w:t xml:space="preserve">Заслухавши звіт </w:t>
      </w:r>
      <w:r w:rsidR="00A70E08">
        <w:rPr>
          <w:sz w:val="28"/>
        </w:rPr>
        <w:t xml:space="preserve">директора </w:t>
      </w:r>
      <w:r w:rsidR="00A70E08" w:rsidRPr="00A70E08">
        <w:rPr>
          <w:sz w:val="28"/>
        </w:rPr>
        <w:t>Комунальної установи «Центр надання соціальних послуг» Костянтинівської сільської ради за 2025 рік</w:t>
      </w:r>
      <w:r w:rsidR="004B6038">
        <w:rPr>
          <w:sz w:val="28"/>
        </w:rPr>
        <w:t xml:space="preserve"> про роботу відділу</w:t>
      </w:r>
      <w:r w:rsidR="005E7498">
        <w:rPr>
          <w:sz w:val="28"/>
        </w:rPr>
        <w:t>,</w:t>
      </w:r>
      <w:r w:rsidR="004B6038">
        <w:rPr>
          <w:sz w:val="28"/>
        </w:rPr>
        <w:t xml:space="preserve"> </w:t>
      </w:r>
      <w:r w:rsidR="005E7498">
        <w:rPr>
          <w:sz w:val="28"/>
        </w:rPr>
        <w:t>к</w:t>
      </w:r>
      <w:r w:rsidR="0082184D" w:rsidRPr="00650401">
        <w:rPr>
          <w:sz w:val="28"/>
        </w:rPr>
        <w:t>еруючись</w:t>
      </w:r>
      <w:r w:rsidR="00DF09D3">
        <w:rPr>
          <w:sz w:val="28"/>
        </w:rPr>
        <w:t xml:space="preserve"> ст. 34,</w:t>
      </w:r>
      <w:r w:rsidR="0082184D" w:rsidRPr="00650401">
        <w:rPr>
          <w:sz w:val="28"/>
        </w:rPr>
        <w:t xml:space="preserve"> част</w:t>
      </w:r>
      <w:r w:rsidR="00DF09D3">
        <w:rPr>
          <w:sz w:val="28"/>
        </w:rPr>
        <w:t>.</w:t>
      </w:r>
      <w:r w:rsidR="0082184D" w:rsidRPr="00650401">
        <w:rPr>
          <w:sz w:val="28"/>
        </w:rPr>
        <w:t xml:space="preserve"> 6 ст</w:t>
      </w:r>
      <w:r w:rsidR="00DF09D3">
        <w:rPr>
          <w:sz w:val="28"/>
        </w:rPr>
        <w:t>.</w:t>
      </w:r>
      <w:r w:rsidR="0082184D" w:rsidRPr="00650401">
        <w:rPr>
          <w:sz w:val="28"/>
        </w:rPr>
        <w:t xml:space="preserve"> 59 Закону України «Про місцеве самоврядування в Україні», </w:t>
      </w:r>
      <w:r w:rsidR="00EE69F3" w:rsidRPr="00EE69F3">
        <w:rPr>
          <w:sz w:val="28"/>
          <w:szCs w:val="28"/>
        </w:rPr>
        <w:t>виконавчий комітет Костянтинівської сільської ради</w:t>
      </w:r>
    </w:p>
    <w:p w:rsidR="00B828FB" w:rsidRDefault="00B828FB" w:rsidP="00F1791D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F1791D" w:rsidRDefault="00F1791D" w:rsidP="00F1791D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E26D55">
        <w:rPr>
          <w:rFonts w:ascii="Times New Roman" w:hAnsi="Times New Roman" w:cs="Times New Roman"/>
          <w:sz w:val="28"/>
          <w:szCs w:val="28"/>
        </w:rPr>
        <w:t>ВИРІШИВ:</w:t>
      </w:r>
    </w:p>
    <w:p w:rsidR="00B828FB" w:rsidRPr="00E26D55" w:rsidRDefault="00B828FB" w:rsidP="00AE5BA4">
      <w:pPr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82184D" w:rsidRDefault="00BC0CAF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7B34">
        <w:rPr>
          <w:rFonts w:ascii="Times New Roman" w:hAnsi="Times New Roman" w:cs="Times New Roman"/>
          <w:sz w:val="28"/>
          <w:szCs w:val="28"/>
        </w:rPr>
        <w:t xml:space="preserve">1. </w:t>
      </w:r>
      <w:r w:rsidR="00A70E08" w:rsidRPr="00A70E08">
        <w:rPr>
          <w:rFonts w:ascii="Times New Roman" w:hAnsi="Times New Roman" w:cs="Times New Roman"/>
          <w:sz w:val="28"/>
          <w:szCs w:val="28"/>
        </w:rPr>
        <w:t>Звіт про роботу Комунальної установи «Центр надання соціальних послуг» Костянтинівської сільської ради за 2025 рік</w:t>
      </w:r>
      <w:r w:rsidR="008218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2184D" w:rsidRPr="00B14CC1">
        <w:rPr>
          <w:rFonts w:ascii="Times New Roman" w:hAnsi="Times New Roman" w:cs="Times New Roman"/>
          <w:sz w:val="28"/>
          <w:szCs w:val="28"/>
        </w:rPr>
        <w:t>взяти до відома (дода</w:t>
      </w:r>
      <w:r w:rsidR="00D50867">
        <w:rPr>
          <w:rFonts w:ascii="Times New Roman" w:hAnsi="Times New Roman" w:cs="Times New Roman"/>
          <w:sz w:val="28"/>
          <w:szCs w:val="28"/>
        </w:rPr>
        <w:t>ток 1</w:t>
      </w:r>
      <w:r w:rsidR="0082184D" w:rsidRPr="00B14CC1">
        <w:rPr>
          <w:rFonts w:ascii="Times New Roman" w:hAnsi="Times New Roman" w:cs="Times New Roman"/>
          <w:sz w:val="28"/>
          <w:szCs w:val="28"/>
        </w:rPr>
        <w:t>).</w:t>
      </w:r>
    </w:p>
    <w:p w:rsidR="00885EE4" w:rsidRDefault="00AE5BA4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0E08" w:rsidRPr="00A70E08">
        <w:rPr>
          <w:rFonts w:ascii="Times New Roman" w:hAnsi="Times New Roman" w:cs="Times New Roman"/>
          <w:sz w:val="28"/>
          <w:szCs w:val="28"/>
        </w:rPr>
        <w:t>Директору Комунальної установи «Центр надання соціальних послуг» Костянтинівської сільської ради забезпечити виконання заходів, спрямованих на подальше підвищення якості та доступності соціальних послуг населенню громади.</w:t>
      </w:r>
    </w:p>
    <w:p w:rsidR="00AE5BA4" w:rsidRDefault="00885EE4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Затвердити</w:t>
      </w:r>
      <w:r w:rsidRPr="00AE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5BA4" w:rsidRPr="00AE5BA4">
        <w:rPr>
          <w:rFonts w:ascii="Times New Roman" w:hAnsi="Times New Roman" w:cs="Times New Roman"/>
          <w:sz w:val="28"/>
          <w:szCs w:val="28"/>
        </w:rPr>
        <w:t>лан</w:t>
      </w:r>
      <w:r w:rsidR="00AE5BA4">
        <w:rPr>
          <w:rFonts w:ascii="Times New Roman" w:hAnsi="Times New Roman" w:cs="Times New Roman"/>
          <w:sz w:val="28"/>
          <w:szCs w:val="28"/>
        </w:rPr>
        <w:t xml:space="preserve"> 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A70E08" w:rsidRPr="00A70E08">
        <w:rPr>
          <w:rFonts w:ascii="Times New Roman" w:hAnsi="Times New Roman" w:cs="Times New Roman"/>
          <w:sz w:val="28"/>
          <w:szCs w:val="28"/>
        </w:rPr>
        <w:t>Комунальної установи «Центр надання соціальних послуг» Костянтинівської сільської ради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 на 202</w:t>
      </w:r>
      <w:r w:rsidR="00A70E08">
        <w:rPr>
          <w:rFonts w:ascii="Times New Roman" w:hAnsi="Times New Roman" w:cs="Times New Roman"/>
          <w:sz w:val="28"/>
          <w:szCs w:val="28"/>
        </w:rPr>
        <w:t>6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 рік</w:t>
      </w:r>
      <w:r w:rsidR="00AE5BA4">
        <w:rPr>
          <w:rFonts w:ascii="Times New Roman" w:hAnsi="Times New Roman" w:cs="Times New Roman"/>
          <w:sz w:val="28"/>
          <w:szCs w:val="28"/>
        </w:rPr>
        <w:t xml:space="preserve"> (додат</w:t>
      </w:r>
      <w:r w:rsidR="00D50867">
        <w:rPr>
          <w:rFonts w:ascii="Times New Roman" w:hAnsi="Times New Roman" w:cs="Times New Roman"/>
          <w:sz w:val="28"/>
          <w:szCs w:val="28"/>
        </w:rPr>
        <w:t>ок 2</w:t>
      </w:r>
      <w:r w:rsidR="00AE5BA4">
        <w:rPr>
          <w:rFonts w:ascii="Times New Roman" w:hAnsi="Times New Roman" w:cs="Times New Roman"/>
          <w:sz w:val="28"/>
          <w:szCs w:val="28"/>
        </w:rPr>
        <w:t>).</w:t>
      </w:r>
    </w:p>
    <w:p w:rsidR="00C62616" w:rsidRPr="00E4644D" w:rsidRDefault="00906BEB" w:rsidP="00AE5BA4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2616" w:rsidRPr="00E4644D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r w:rsidR="006F0181" w:rsidRPr="00E4644D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C62616" w:rsidRPr="00E4644D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6421EB" w:rsidRPr="00E4644D">
        <w:rPr>
          <w:rFonts w:ascii="Times New Roman" w:hAnsi="Times New Roman" w:cs="Times New Roman"/>
          <w:sz w:val="28"/>
          <w:szCs w:val="28"/>
        </w:rPr>
        <w:t>першого заступника сільського голови Ніну РЕВТУ</w:t>
      </w:r>
      <w:r w:rsidR="00C62616" w:rsidRPr="00E4644D">
        <w:rPr>
          <w:rFonts w:ascii="Times New Roman" w:hAnsi="Times New Roman" w:cs="Times New Roman"/>
          <w:sz w:val="28"/>
          <w:szCs w:val="28"/>
        </w:rPr>
        <w:t>.</w:t>
      </w:r>
    </w:p>
    <w:p w:rsidR="00BC0CAF" w:rsidRPr="00CC512B" w:rsidRDefault="00BC0CAF" w:rsidP="00AE5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AE5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0C0C37">
      <w:pPr>
        <w:spacing w:after="0" w:line="240" w:lineRule="auto"/>
        <w:jc w:val="both"/>
      </w:pPr>
      <w:r w:rsidRPr="00CC512B">
        <w:rPr>
          <w:rFonts w:ascii="Times New Roman" w:hAnsi="Times New Roman" w:cs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  <w:t>Антон ПАЄНТКО</w:t>
      </w:r>
      <w:r w:rsidR="00591719">
        <w:rPr>
          <w:rFonts w:ascii="Times New Roman" w:hAnsi="Times New Roman" w:cs="Times New Roman"/>
          <w:sz w:val="28"/>
          <w:szCs w:val="28"/>
        </w:rPr>
        <w:br w:type="page"/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 xml:space="preserve">Додаток </w:t>
      </w:r>
      <w:r w:rsidR="00D5086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1</w:t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рішення виконавчого комітету від 2</w:t>
      </w:r>
      <w:r w:rsidR="00A70E0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.01.202</w:t>
      </w:r>
      <w:r w:rsidR="00A70E0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EC538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8</w:t>
      </w:r>
    </w:p>
    <w:p w:rsidR="00BC0CAF" w:rsidRPr="00AE5BA4" w:rsidRDefault="00BC0CAF" w:rsidP="00BC0C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6B3CAE" w:rsidRDefault="00A70E08" w:rsidP="006B3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Звіт про роботу Комунальної установи «Центр надання соціальних послуг» Костянтинівської сільської ради за 2025 рік</w:t>
      </w:r>
    </w:p>
    <w:p w:rsidR="00A70E08" w:rsidRPr="00EB2014" w:rsidRDefault="00A70E08" w:rsidP="006B3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B2014" w:rsidRDefault="00DE3DDA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Відповідно до Положення про</w:t>
      </w:r>
      <w:r w:rsidR="00A70E08"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Комунальної установи «Центр надання соціальних послуг» Костянтинівської сільської рад</w:t>
      </w:r>
      <w:r w:rsid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(далі – КУ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є виконавчим органом Костянтинівської </w:t>
      </w:r>
      <w:r w:rsidR="00EB156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сільської ради</w:t>
      </w:r>
      <w:r w:rsidR="00EB201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що нею утворюється для реалізації завдань місцевого самоврядування у сфері </w:t>
      </w:r>
      <w:r w:rsidR="00A70E08"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надання соціальних послуг населенню громади, роботу з вразливими категоріями населення, сім’ями, які перебувають у складних життєвих обставинах, ветеранами війни та членами їхніх сімей</w:t>
      </w:r>
      <w:r w:rsid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EB201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які потребують допомоги і соціальної підтримки з боку держави та місцевого самоврядування.</w:t>
      </w:r>
    </w:p>
    <w:p w:rsidR="009B1847" w:rsidRDefault="00A6205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Комунальна установа «Центр надання соціальних послуг» Костянтинівської сільської ради була створена рішенням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XXXII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сесії восьмого скликання </w:t>
      </w: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Костянтинівської сільської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від 11 квітня 2025 року </w:t>
      </w: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 метою реалізації державної політики у сфері соціального захисту населення та забезпечення надання базових соціальних послуг жителям громади, які перебувають у складних життєвих обставинах.</w:t>
      </w:r>
    </w:p>
    <w:p w:rsidR="00A62052" w:rsidRDefault="00DE3DDA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Станом на 2025 рік штатна чисельність Комунальної установи «Центр надання соціальних послуг» становить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21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штатних одиниць, з яких фактично працює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15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осіб. До складу установи входять директор,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завідувач відділенням соціальної роботи, бухгалтер,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фахівці із соціальної роботи,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соціальні робітники,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фахівець із супроводу ветеранів війни та демобілізованих осіб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62052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E3DDA"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Окремо слід зазначити, що у 2025 році було розпочато ремонт приміщення, в якому в подальшому буде розміщуватися Комунальна установа «Центр надання соціальних послуг» Костянтинівської сільської ради. Проведення ремонтних робіт спрямоване на створення належних умов праці для працівників установи та забезпечення комфортного і доступного прийому громадян. Ремонт здійснюється за рахунок коштів місцевого бюджету з урахуванням вимог безбар’єрності, зокрема забезпечення доступності приміщення для осіб з інвалідністю та інших маломобільних груп населення. Завершення ремонтних робіт та повноцінне розміщення установи у зазначеному приміщенні планується після виконання запланованого комплексу робіт.</w:t>
      </w:r>
    </w:p>
    <w:p w:rsidR="00A62052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</w:t>
      </w:r>
      <w:r w:rsidRPr="009B18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році було приділено фінансовому забезпеченню функціонування Комунальної установи. Видатки місцевого бюджету були спрямовані на оплату праці працівників установи, нарахування на заробітну плату, придбання організаційної та комп’ютерної техніки, канцелярських товарів,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меблів для приміщення КУ,</w:t>
      </w:r>
      <w:r w:rsidRPr="009B18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необхідних для забезпечення безперервної роботи установи.</w:t>
      </w:r>
    </w:p>
    <w:p w:rsidR="0026643E" w:rsidRPr="004B56EA" w:rsidRDefault="0026643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Кошторисом було затверджено:</w:t>
      </w:r>
    </w:p>
    <w:p w:rsidR="00FD42A2" w:rsidRDefault="00FD42A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КПКВ 2111 (заробітна плата): 1 890 900 </w:t>
      </w:r>
      <w:r w:rsid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грн, з них використано 1 127 751,96;</w:t>
      </w:r>
    </w:p>
    <w:p w:rsidR="00FD42A2" w:rsidRPr="00C00810" w:rsidRDefault="00FD42A2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КПВКВ 2120 (нарахування ЄСВ): 416 000 </w:t>
      </w:r>
      <w:r w:rsid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C00810" w:rsidRP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251 400,00;</w:t>
      </w:r>
    </w:p>
    <w:p w:rsidR="007E695A" w:rsidRDefault="00FD42A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КПВКВ 2210 (товари): 500 000 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7E695A"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498 900,16</w:t>
      </w:r>
    </w:p>
    <w:p w:rsidR="007E695A" w:rsidRDefault="007E695A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Комп’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ютерна техніка;</w:t>
      </w:r>
    </w:p>
    <w:p w:rsidR="007E695A" w:rsidRDefault="007E695A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Канцелярські товари; </w:t>
      </w:r>
    </w:p>
    <w:p w:rsidR="002E459E" w:rsidRDefault="002E459E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Меблі;</w:t>
      </w:r>
    </w:p>
    <w:p w:rsidR="002E459E" w:rsidRPr="007E695A" w:rsidRDefault="002E459E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Сантехніка.</w:t>
      </w:r>
    </w:p>
    <w:p w:rsidR="00FD42A2" w:rsidRDefault="00FD42A2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КПВКВ 2240 (послуги): 150 000 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7E695A"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26 385,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26</w:t>
      </w:r>
    </w:p>
    <w:p w:rsid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Програми;</w:t>
      </w:r>
    </w:p>
    <w:p w:rsid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Проходження медичного огляду для працівників;</w:t>
      </w:r>
    </w:p>
    <w:p w:rsidR="002E459E" w:rsidRP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Заправка картриджів. </w:t>
      </w:r>
    </w:p>
    <w:p w:rsidR="00C00810" w:rsidRDefault="002E459E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 було отримано безкоштовно від благодійного</w:t>
      </w:r>
      <w:r w:rsidR="00A35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фонду планшет, для використання в роботі фахівця із супроводу ветеранів та демобілізованих осіб.</w:t>
      </w:r>
    </w:p>
    <w:p w:rsidR="00A352A4" w:rsidRDefault="00D60AA3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 році було прийнято Виконавчим комітетом Костянтинівської сільської ради перелік соціальних послуг, які має право надавати надавач соціальних послуг</w:t>
      </w:r>
      <w:r w:rsid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Догляд вдома;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адаптація;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Представництво інтересів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профілактика;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сімей, у яких виховуються діти сироти і діти, позбавленні батьківського піклування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сімей/осіб, які перебувають 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складних життєвих обставинах;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Екстрене (кризове) втручання;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інтеграція та реінтеграція;</w:t>
      </w:r>
    </w:p>
    <w:p w:rsidR="00200C55" w:rsidRP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Посередництво.</w:t>
      </w:r>
    </w:p>
    <w:p w:rsidR="00A62052" w:rsidRDefault="0029465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46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Робота установи у 2025 році була спрямована на забезпечення доступності та якості соціальних послуг відповідно до чинного законодавства та потреб жителів Костянтинівської сільської територіальної громади.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Протягом звітного року: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здійснювалося виявлення сімей та осіб, які перебувають у складних життєвих обставинах, та організовувався їх соціальний супровід;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надавалися соціальні послуги з консультування, інформування, соціальної профілактики, представництва інтересів;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забезпечувалася робота з сім’ями з дітьми, які потребують особливої уваги, у тісній взаємодії зі службою у справах дітей, закладами освіти, охорони здоров’я, поліцією;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проводилася робота з ветеранами війни та членами їхніх сімей, зокрема щодо інформування про пільги, державні та місцеві програми підтримки, сприяння отриманню соціальних послуг;</w:t>
      </w:r>
    </w:p>
    <w:p w:rsid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здійснювалася міжвідомча взаємодія з органами виконавчої влади, структурними підрозділами сільської ради, громадськими та благодійними організаціями.</w:t>
      </w:r>
    </w:p>
    <w:p w:rsidR="00D60AA3" w:rsidRDefault="00D60AA3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60A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Комунальної установи «Центр надання соціальних послуг» Костянтинівської сільської ради здійснює внесення та реєстрацію заяв на всі види допомог, пільг та компенсацій через Єдину інформаційну систему соціальної сфери (ЄІССС).</w:t>
      </w:r>
    </w:p>
    <w:p w:rsidR="004F00E4" w:rsidRPr="00EB2014" w:rsidRDefault="004F00E4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91F9E" w:rsidRPr="00D60AA3" w:rsidRDefault="0029465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202</w:t>
      </w:r>
      <w:r w:rsid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працівники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КУ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фахівці</w:t>
      </w:r>
      <w:r w:rsidR="00EB2014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із соціальної роботи, які працюють в старостинських округах 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прийняли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672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 від мешканців Костянтинівської громади та внутрішньо переміщених осіб</w:t>
      </w:r>
      <w:r w:rsidR="00EA72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щодо отримання державних допомог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972532" w:rsidRPr="001F6D97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Новопетрівський старостинський округ </w:t>
      </w:r>
      <w:r w:rsidR="00972532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прийняв  заяв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471CFF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на соціальні послуги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972532" w:rsidRDefault="00972532" w:rsidP="00955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Консультування</w:t>
      </w: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191</w:t>
      </w: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F91F9E" w:rsidRPr="00D60AA3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 116.</w:t>
      </w:r>
    </w:p>
    <w:p w:rsidR="00972532" w:rsidRPr="005D4F2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r w:rsidR="00972532" w:rsidRPr="005D4F2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Баловненський старостинський округ прийняв  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5D4F2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972532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 w:rsidRP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Консультування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204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;</w:t>
      </w:r>
    </w:p>
    <w:p w:rsidR="00E46E19" w:rsidRPr="00026B59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Акти оцінки потреб –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60;</w:t>
      </w:r>
    </w:p>
    <w:p w:rsidR="00972532" w:rsidRPr="00026B59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 w:rsidRP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Соціальний супровід сімей/осіб, які перебувають у складних життєвих обставинах   –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F91F9E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сімей, у яких виховуються діти сироти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 діти, позбавленні батьківського піклування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72532" w:rsidRPr="00F91F9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Себинський старостинський округ 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72532" w:rsidRPr="001F6D97" w:rsidRDefault="000346A5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Консультування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40BB7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101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26643E" w:rsidRPr="00D60AA3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42</w:t>
      </w: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72532" w:rsidRPr="00F91F9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Кандибинський та Новоінгульський старостинські округи прийняли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346A5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F91F9E" w:rsidRPr="001F6D97" w:rsidRDefault="000346A5" w:rsidP="00F52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346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 –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61.</w:t>
      </w:r>
    </w:p>
    <w:p w:rsidR="00972532" w:rsidRDefault="000346A5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Гур’ївський старостинський округ 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прийняв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прийняли заяви на соціальні</w:t>
      </w:r>
      <w:r w:rsidRPr="000346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послуги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704891" w:rsidRDefault="00704891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 –115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;</w:t>
      </w:r>
    </w:p>
    <w:p w:rsidR="0026643E" w:rsidRPr="00704891" w:rsidRDefault="0026643E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 82;</w:t>
      </w:r>
    </w:p>
    <w:p w:rsidR="00704891" w:rsidRPr="001F6D97" w:rsidRDefault="00704891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сімей/осіб, які перебувають у скл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адних життєвих обставинах   – 1.</w:t>
      </w:r>
    </w:p>
    <w:p w:rsidR="00704891" w:rsidRDefault="00704891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E4" w:rsidRDefault="00A352A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35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Комунальної установи «Центр надання соціальних послуг» Костянтинівської сільської ради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здійснює </w:t>
      </w:r>
      <w:r w:rsidR="00A135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внесення та реєстрацію заяв на всі види допомог, пільг та компенсацій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="00A135EB" w:rsidRPr="00A135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Єдину інформаційну систему соціальної сфери (ЄІССС).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Протягом звітного року: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здійснювалося виявлення сімей та осіб, які перебувають у складних життєвих обставинах, та організо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вувався їх соціальний супровід;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надавалися соціальні послуги з консультування, інформування, соціальної профілак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тики, представництва інтересів;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забезпечувалася робота з сім’ями з дітьми, які потребують особливої уваги, у тісній взаємодії зі службою у справах дітей, закладами осві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ти, охорони здоров’я, поліцією;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проводилася робота з ветеранами війни та членами їхніх сімей, зокрема щодо інформування про пільги, державні та місцеві програми підтримки, сприян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ня отриманню соціальних послуг;</w:t>
      </w:r>
    </w:p>
    <w:p w:rsid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здійснювалася міжвідомча взаємодія з органами виконавчої влади, структурними підрозділами сільської ради, громадськими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благодійними організаціями.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B1847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8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результатами роботи у 2025 році можна зробити висновок, що Комунальна установа «Центр надання соціальних послуг» Костянтинівської сільської ради виконувала покладені на неї завдання у повному обсязі, а робота була спрямована на підтримку найбільш вразливих категорій населення громади.</w:t>
      </w:r>
    </w:p>
    <w:p w:rsidR="009B1847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11D1F" w:rsidRPr="00EB2014" w:rsidRDefault="00F11D1F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E5BA4" w:rsidRDefault="009B1847" w:rsidP="00680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Каріне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РАБОЩУК</w:t>
      </w:r>
      <w:r w:rsidR="00AE5BA4">
        <w:rPr>
          <w:rFonts w:ascii="Times New Roman" w:hAnsi="Times New Roman" w:cs="Times New Roman"/>
          <w:sz w:val="28"/>
          <w:lang w:val="ru-RU"/>
        </w:rPr>
        <w:br w:type="page"/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bookmarkStart w:id="3" w:name="_Hlk156206439"/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>Додаток 2</w:t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рішення виконавчого комітету від 2</w:t>
      </w:r>
      <w:r w:rsidR="00B820D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.01.202</w:t>
      </w:r>
      <w:r w:rsidR="00B820D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EC538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8</w:t>
      </w:r>
    </w:p>
    <w:p w:rsidR="00AE5BA4" w:rsidRPr="00AE5BA4" w:rsidRDefault="00AE5BA4" w:rsidP="00AE5BA4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4" w:name="_Hlk156206535"/>
      <w:bookmarkEnd w:id="3"/>
    </w:p>
    <w:p w:rsidR="00AE5BA4" w:rsidRPr="00AE5BA4" w:rsidRDefault="00AE5BA4" w:rsidP="00AE5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5BA4">
        <w:rPr>
          <w:rFonts w:ascii="Times New Roman" w:hAnsi="Times New Roman" w:cs="Times New Roman"/>
          <w:b/>
          <w:sz w:val="28"/>
        </w:rPr>
        <w:t>ПЛАН</w:t>
      </w:r>
    </w:p>
    <w:p w:rsidR="00AE5BA4" w:rsidRDefault="00AE5BA4" w:rsidP="00B30A3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AE5BA4">
        <w:rPr>
          <w:rFonts w:ascii="Times New Roman" w:hAnsi="Times New Roman" w:cs="Times New Roman"/>
          <w:b/>
          <w:sz w:val="28"/>
        </w:rPr>
        <w:t xml:space="preserve">роботи </w:t>
      </w:r>
      <w:r w:rsidR="004412C4" w:rsidRPr="004412C4">
        <w:rPr>
          <w:rFonts w:ascii="Times New Roman" w:hAnsi="Times New Roman" w:cs="Times New Roman"/>
          <w:b/>
          <w:sz w:val="28"/>
        </w:rPr>
        <w:t xml:space="preserve">Комунальної установи «Центр надання соціальних послуг» Костянтинівської сільської ради </w:t>
      </w:r>
      <w:r w:rsidRPr="00AE5BA4">
        <w:rPr>
          <w:rFonts w:ascii="Times New Roman" w:hAnsi="Times New Roman" w:cs="Times New Roman"/>
          <w:b/>
          <w:sz w:val="28"/>
        </w:rPr>
        <w:t>на 202</w:t>
      </w:r>
      <w:r w:rsidR="004412C4">
        <w:rPr>
          <w:rFonts w:ascii="Times New Roman" w:hAnsi="Times New Roman" w:cs="Times New Roman"/>
          <w:b/>
          <w:sz w:val="28"/>
        </w:rPr>
        <w:t>6</w:t>
      </w:r>
      <w:r w:rsidR="003441A2">
        <w:rPr>
          <w:rFonts w:ascii="Times New Roman" w:hAnsi="Times New Roman" w:cs="Times New Roman"/>
          <w:b/>
          <w:sz w:val="28"/>
        </w:rPr>
        <w:t xml:space="preserve"> </w:t>
      </w:r>
      <w:r w:rsidRPr="00AE5BA4">
        <w:rPr>
          <w:rFonts w:ascii="Times New Roman" w:hAnsi="Times New Roman" w:cs="Times New Roman"/>
          <w:b/>
          <w:sz w:val="28"/>
        </w:rPr>
        <w:t>рік</w:t>
      </w:r>
    </w:p>
    <w:p w:rsidR="00B1267D" w:rsidRPr="00B1267D" w:rsidRDefault="00B1267D" w:rsidP="00B126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267D">
        <w:rPr>
          <w:rFonts w:ascii="Times New Roman" w:hAnsi="Times New Roman" w:cs="Times New Roman"/>
          <w:sz w:val="28"/>
        </w:rPr>
        <w:t>План роботи Комунальної установи «Центр надання соціальних послуг» Костянтинівської сільської ради на 2026 рік розроблено з метою забезпечення реалізації державної та місцевої соціальної політики, підвищення якості та доступності соціальних послуг для населення громади, а також ефективної організації діяльності установи.</w:t>
      </w:r>
    </w:p>
    <w:bookmarkEnd w:id="4"/>
    <w:p w:rsidR="00AE5BA4" w:rsidRPr="00AC1134" w:rsidRDefault="00AE5BA4" w:rsidP="00AE5BA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2"/>
        <w:tblW w:w="9461" w:type="dxa"/>
        <w:tblInd w:w="-5" w:type="dxa"/>
        <w:tblLook w:val="04A0" w:firstRow="1" w:lastRow="0" w:firstColumn="1" w:lastColumn="0" w:noHBand="0" w:noVBand="1"/>
      </w:tblPr>
      <w:tblGrid>
        <w:gridCol w:w="568"/>
        <w:gridCol w:w="3118"/>
        <w:gridCol w:w="1698"/>
        <w:gridCol w:w="2573"/>
        <w:gridCol w:w="1459"/>
        <w:gridCol w:w="45"/>
      </w:tblGrid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з/п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Зміст заходу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 виконання</w:t>
            </w:r>
          </w:p>
        </w:tc>
        <w:tc>
          <w:tcPr>
            <w:tcW w:w="2573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Примітка</w:t>
            </w:r>
          </w:p>
        </w:tc>
      </w:tr>
      <w:tr w:rsidR="00FB6819" w:rsidRPr="00AC1134" w:rsidTr="008B7FBD">
        <w:trPr>
          <w:gridAfter w:val="1"/>
          <w:wAfter w:w="45" w:type="dxa"/>
        </w:trPr>
        <w:tc>
          <w:tcPr>
            <w:tcW w:w="9416" w:type="dxa"/>
            <w:gridSpan w:val="5"/>
          </w:tcPr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Організаційна та управлінська діяльність</w:t>
            </w:r>
          </w:p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 стабільного функціонування КУ «ЦНСП» відповідно до вимог чинного законодавства;</w:t>
            </w: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AC1134" w:rsidRPr="00AC1134" w:rsidRDefault="00FB6819" w:rsidP="00AC1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134"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 роботи відповідно до затвердженого Положення та штатного розпису;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 роботи відповідно до затвердженого Положення та штатного розпису;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ведення діловодства, звітності, підготовка інформаційних та аналітичних матеріалів;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  <w:p w:rsidR="00FB6819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засіданнях виконавчого комітету, нарадах, робочих групах;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завершення ремонтних робіт у приміщенні та організація розміщення установи.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Забезпечення реалізації державної політики з 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питань соціального захисту населення на рівні громади.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Постійно</w:t>
            </w:r>
          </w:p>
        </w:tc>
        <w:tc>
          <w:tcPr>
            <w:tcW w:w="2573" w:type="dxa"/>
            <w:hideMark/>
          </w:tcPr>
          <w:p w:rsidR="00AC113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Інформування населення з питань, що належать до компетенції відділу, через засоби масової інформації.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C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Завідувач відділенням соціальної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 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Ващенко О.П.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Надання консультацій та роз’яснень громадянам, що звернулись на прийом.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онлайн, офлайн навчаннях.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авідувач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відділенням соціальної роботи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hideMark/>
          </w:tcPr>
          <w:p w:rsidR="00AE5BA4" w:rsidRPr="00AC1134" w:rsidRDefault="00AE5BA4" w:rsidP="00AC1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Забезпечення виконання рішень сільської ради, виконавчого комітету, розпоряджень сільського голови з питань, що віднесенні до компетенції </w:t>
            </w:r>
            <w:r w:rsid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формуванні, реалізації заходів, проектів та програм щодо соціального захисту населення громади.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потребою</w:t>
            </w:r>
          </w:p>
        </w:tc>
        <w:tc>
          <w:tcPr>
            <w:tcW w:w="2573" w:type="dxa"/>
            <w:hideMark/>
          </w:tcPr>
          <w:p w:rsidR="00AE5BA4" w:rsidRPr="00AC1134" w:rsidRDefault="00AC1134" w:rsidP="00AC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відувач відділенням соціальної роботи  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56E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4B56E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8" w:type="dxa"/>
          </w:tcPr>
          <w:p w:rsidR="004B56EA" w:rsidRPr="00AC1134" w:rsidRDefault="004B56EA" w:rsidP="004B5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і складання звітів в межах повноважень відділу.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8" w:type="dxa"/>
          </w:tcPr>
          <w:p w:rsidR="004B56EA" w:rsidRPr="00AC1134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2573" w:type="dxa"/>
          </w:tcPr>
          <w:p w:rsidR="004B56EA" w:rsidRP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4B56EA" w:rsidRP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  <w:p w:rsid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</w:p>
        </w:tc>
        <w:tc>
          <w:tcPr>
            <w:tcW w:w="1459" w:type="dxa"/>
          </w:tcPr>
          <w:p w:rsidR="004B56EA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819" w:rsidRPr="00AC1134" w:rsidTr="00C674E6">
        <w:trPr>
          <w:gridAfter w:val="1"/>
          <w:wAfter w:w="45" w:type="dxa"/>
        </w:trPr>
        <w:tc>
          <w:tcPr>
            <w:tcW w:w="9416" w:type="dxa"/>
            <w:gridSpan w:val="5"/>
          </w:tcPr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Надання соціальних послуг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Оновлення інформації щодо кількості 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вразливих верств населення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Щокварталу</w:t>
            </w:r>
          </w:p>
        </w:tc>
        <w:tc>
          <w:tcPr>
            <w:tcW w:w="2573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Завідувач відділенням </w:t>
            </w: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соціальної роботи  Ващенко О.П.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 осіб і сімей, які перебувають у складних життєвих обставинах;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8" w:type="dxa"/>
          </w:tcPr>
          <w:p w:rsidR="0066743A" w:rsidRPr="0066743A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надання соціальних послуг з консультування, інформування, соціальної профілактики, представництва інтересів;</w:t>
            </w:r>
          </w:p>
        </w:tc>
        <w:tc>
          <w:tcPr>
            <w:tcW w:w="1698" w:type="dxa"/>
          </w:tcPr>
          <w:p w:rsidR="0066743A" w:rsidRPr="0066743A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66743A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здійснення соціального супроводу сімей та осіб, які цього потребують;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робота з особами похилого віку, особами з інвалідністю, внутрішньо переміщеними особами.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моніторингу та оцінку якості надання соціальних послуг в громаді.</w:t>
            </w:r>
          </w:p>
        </w:tc>
        <w:tc>
          <w:tcPr>
            <w:tcW w:w="1698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1.06.2026</w:t>
            </w:r>
          </w:p>
        </w:tc>
        <w:tc>
          <w:tcPr>
            <w:tcW w:w="2573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Здійснення обстеження матеріально-побутових умов проживання громадян, які потребують соціальної допомоги.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56E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4B56E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8" w:type="dxa"/>
          </w:tcPr>
          <w:p w:rsidR="004B56EA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Організація роботи щодо запобігання домашнього насильства, протидії торгівлі людьми, забезпечення рівних 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прав та можливостей жінок і чоловіків,</w:t>
            </w:r>
          </w:p>
        </w:tc>
        <w:tc>
          <w:tcPr>
            <w:tcW w:w="1698" w:type="dxa"/>
          </w:tcPr>
          <w:p w:rsidR="004B56EA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Протягом року</w:t>
            </w:r>
          </w:p>
        </w:tc>
        <w:tc>
          <w:tcPr>
            <w:tcW w:w="2573" w:type="dxa"/>
          </w:tcPr>
          <w:p w:rsid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95660" w:rsidRPr="00AC1134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ахівці із соціальної роботи</w:t>
            </w:r>
          </w:p>
        </w:tc>
        <w:tc>
          <w:tcPr>
            <w:tcW w:w="1459" w:type="dxa"/>
          </w:tcPr>
          <w:p w:rsidR="004B56EA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063" w:rsidRPr="00AC1134" w:rsidTr="001E53A5">
        <w:trPr>
          <w:gridAfter w:val="1"/>
          <w:wAfter w:w="45" w:type="dxa"/>
        </w:trPr>
        <w:tc>
          <w:tcPr>
            <w:tcW w:w="9416" w:type="dxa"/>
            <w:gridSpan w:val="5"/>
          </w:tcPr>
          <w:p w:rsidR="00F54063" w:rsidRPr="00F54063" w:rsidRDefault="00F54063" w:rsidP="00F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0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Робота з сім’ями та дітьми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8" w:type="dxa"/>
            <w:hideMark/>
          </w:tcPr>
          <w:p w:rsidR="00AE5BA4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півпраця зі службою у справах дітей, закладами освіти, охорони здоров’я;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8" w:type="dxa"/>
            <w:hideMark/>
          </w:tcPr>
          <w:p w:rsidR="00AE5BA4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роведення профілактичних заходів щодо запобігання домашньому насильству.</w:t>
            </w:r>
          </w:p>
        </w:tc>
        <w:tc>
          <w:tcPr>
            <w:tcW w:w="1698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5660" w:rsidRPr="00AC1134" w:rsidTr="00043D97">
        <w:trPr>
          <w:gridAfter w:val="1"/>
          <w:wAfter w:w="45" w:type="dxa"/>
        </w:trPr>
        <w:tc>
          <w:tcPr>
            <w:tcW w:w="9416" w:type="dxa"/>
            <w:gridSpan w:val="5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Робота з ветеранами війни та членами їхніх сімей</w:t>
            </w: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18" w:type="dxa"/>
          </w:tcPr>
          <w:p w:rsid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абезпечення діяльності фахівця із супроводу ветеранів війни та демобілізованих осіб;</w:t>
            </w:r>
          </w:p>
        </w:tc>
        <w:tc>
          <w:tcPr>
            <w:tcW w:w="1698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C95660" w:rsidRPr="004B56EA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8" w:type="dxa"/>
          </w:tcPr>
          <w:p w:rsidR="00C95660" w:rsidRP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нформування про пільги, гарантії та державні програми підтримки;</w:t>
            </w:r>
          </w:p>
        </w:tc>
        <w:tc>
          <w:tcPr>
            <w:tcW w:w="1698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8" w:type="dxa"/>
          </w:tcPr>
          <w:p w:rsid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прияння отриманню соціальних, реабілітаційних та психологічних послуг;</w:t>
            </w:r>
          </w:p>
        </w:tc>
        <w:tc>
          <w:tcPr>
            <w:tcW w:w="1698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8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заємодія з органами влади та громадськими організаціями ветеранського спрямування.</w:t>
            </w:r>
          </w:p>
        </w:tc>
        <w:tc>
          <w:tcPr>
            <w:tcW w:w="1698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37F" w:rsidRPr="00AC1134" w:rsidTr="00C36BFD">
        <w:trPr>
          <w:gridAfter w:val="1"/>
          <w:wAfter w:w="45" w:type="dxa"/>
        </w:trPr>
        <w:tc>
          <w:tcPr>
            <w:tcW w:w="9416" w:type="dxa"/>
            <w:gridSpan w:val="5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Кадрова робота та підвищення кваліфікації</w:t>
            </w:r>
          </w:p>
        </w:tc>
      </w:tr>
      <w:tr w:rsidR="0018237F" w:rsidRPr="00AC1134" w:rsidTr="0018237F">
        <w:tc>
          <w:tcPr>
            <w:tcW w:w="56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18237F">
              <w:rPr>
                <w:rFonts w:ascii="Times New Roman" w:hAnsi="Times New Roman" w:cs="Times New Roman"/>
                <w:sz w:val="28"/>
              </w:rPr>
              <w:t>абезпечення укомплектованості штату;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</w:t>
            </w:r>
          </w:p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Рабощук К.В.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8237F">
              <w:rPr>
                <w:rFonts w:ascii="Times New Roman" w:hAnsi="Times New Roman" w:cs="Times New Roman"/>
                <w:sz w:val="28"/>
              </w:rPr>
              <w:t>ідвищення професійного рівня працівників;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</w:t>
            </w:r>
          </w:p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Рабощук К.В.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29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18237F">
              <w:rPr>
                <w:rFonts w:ascii="Times New Roman" w:hAnsi="Times New Roman" w:cs="Times New Roman"/>
                <w:sz w:val="28"/>
              </w:rPr>
              <w:t>часть у навчаннях, семінарах, тренінгах;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11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8237F">
              <w:rPr>
                <w:rFonts w:ascii="Times New Roman" w:hAnsi="Times New Roman" w:cs="Times New Roman"/>
                <w:sz w:val="28"/>
              </w:rPr>
              <w:t>роведення інструктажів з охорони праці та пожежної безпеки.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 та завідувач відділенням соціальної роботи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5BA4" w:rsidRPr="00AC1134" w:rsidTr="004C1102">
        <w:tc>
          <w:tcPr>
            <w:tcW w:w="9461" w:type="dxa"/>
            <w:gridSpan w:val="6"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</w:rPr>
              <w:t>Бухгалтерський облік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18237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кошторису витрат та плану асигнувань на утримання відділу, розрахунків до нього та штатного розпису.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18237F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5BA4" w:rsidRPr="00AC1134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Забезпечити оптимізацію бюджетних видатків з метою недопущення будь-якої кредиторської заборгованості.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Рабощук К.В. бухгалтер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квартальної фінансової та бюджетної звітності про виконання кошторису витрат по кожному коду функціональної класифікації видатків.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до 5 числа місяця наступного за звітним кварталом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довідок про внесення змін до кошторису та плану асигнувань.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Проведення інвентаризації.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Грудень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Нарахування амортизації.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 xml:space="preserve">Складання квартальної звітності по об’єднаній звітності з ПДФО та ЄСВ. 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Щокварталу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5BA4" w:rsidRPr="00AC1134" w:rsidRDefault="00A94FEF" w:rsidP="00AE5BA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Директор</w:t>
      </w:r>
      <w:r w:rsidR="00AE5BA4" w:rsidRPr="00AC1134">
        <w:rPr>
          <w:rFonts w:ascii="Times New Roman" w:hAnsi="Times New Roman" w:cs="Times New Roman"/>
          <w:sz w:val="28"/>
          <w:szCs w:val="24"/>
        </w:rPr>
        <w:t xml:space="preserve"> </w:t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</w:t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Каріне РАБОЩУК</w:t>
      </w:r>
    </w:p>
    <w:p w:rsidR="00870833" w:rsidRPr="00AC1134" w:rsidRDefault="00870833" w:rsidP="00870833">
      <w:pPr>
        <w:jc w:val="both"/>
        <w:rPr>
          <w:rFonts w:ascii="Times New Roman" w:hAnsi="Times New Roman" w:cs="Times New Roman"/>
          <w:sz w:val="28"/>
        </w:rPr>
      </w:pPr>
    </w:p>
    <w:p w:rsidR="00A85047" w:rsidRPr="00AC1134" w:rsidRDefault="00A85047" w:rsidP="00F54063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A85047" w:rsidRPr="00AC1134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4A" w:rsidRDefault="00B8074A" w:rsidP="0073529D">
      <w:pPr>
        <w:spacing w:after="0" w:line="240" w:lineRule="auto"/>
      </w:pPr>
      <w:r>
        <w:separator/>
      </w:r>
    </w:p>
  </w:endnote>
  <w:endnote w:type="continuationSeparator" w:id="0">
    <w:p w:rsidR="00B8074A" w:rsidRDefault="00B8074A" w:rsidP="0073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4A" w:rsidRDefault="00B8074A" w:rsidP="0073529D">
      <w:pPr>
        <w:spacing w:after="0" w:line="240" w:lineRule="auto"/>
      </w:pPr>
      <w:r>
        <w:separator/>
      </w:r>
    </w:p>
  </w:footnote>
  <w:footnote w:type="continuationSeparator" w:id="0">
    <w:p w:rsidR="00B8074A" w:rsidRDefault="00B8074A" w:rsidP="0073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1E45"/>
    <w:multiLevelType w:val="hybridMultilevel"/>
    <w:tmpl w:val="F550B7D4"/>
    <w:lvl w:ilvl="0" w:tplc="ED1013E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76AA7"/>
    <w:multiLevelType w:val="hybridMultilevel"/>
    <w:tmpl w:val="745A1408"/>
    <w:lvl w:ilvl="0" w:tplc="893C4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02CFE"/>
    <w:multiLevelType w:val="hybridMultilevel"/>
    <w:tmpl w:val="E1B6A250"/>
    <w:lvl w:ilvl="0" w:tplc="741E3A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E51"/>
    <w:multiLevelType w:val="hybridMultilevel"/>
    <w:tmpl w:val="5D5C125C"/>
    <w:lvl w:ilvl="0" w:tplc="D72C7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076A3"/>
    <w:multiLevelType w:val="hybridMultilevel"/>
    <w:tmpl w:val="52168EE2"/>
    <w:lvl w:ilvl="0" w:tplc="F482D9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95E98"/>
    <w:multiLevelType w:val="hybridMultilevel"/>
    <w:tmpl w:val="8D5EE48A"/>
    <w:lvl w:ilvl="0" w:tplc="4ECEBD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BF"/>
    <w:rsid w:val="0002193A"/>
    <w:rsid w:val="00026B59"/>
    <w:rsid w:val="000346A5"/>
    <w:rsid w:val="00045296"/>
    <w:rsid w:val="0007142E"/>
    <w:rsid w:val="000801A9"/>
    <w:rsid w:val="00084C27"/>
    <w:rsid w:val="00086105"/>
    <w:rsid w:val="000962EB"/>
    <w:rsid w:val="000B01AD"/>
    <w:rsid w:val="000C0C37"/>
    <w:rsid w:val="000C229D"/>
    <w:rsid w:val="000C5B41"/>
    <w:rsid w:val="000D371F"/>
    <w:rsid w:val="00133CB3"/>
    <w:rsid w:val="001356C7"/>
    <w:rsid w:val="00143931"/>
    <w:rsid w:val="0018237F"/>
    <w:rsid w:val="001B413A"/>
    <w:rsid w:val="001D5F9B"/>
    <w:rsid w:val="001E7427"/>
    <w:rsid w:val="001F6D97"/>
    <w:rsid w:val="00200586"/>
    <w:rsid w:val="00200C55"/>
    <w:rsid w:val="00204D06"/>
    <w:rsid w:val="00210090"/>
    <w:rsid w:val="00216945"/>
    <w:rsid w:val="0022661B"/>
    <w:rsid w:val="002633CA"/>
    <w:rsid w:val="0026643E"/>
    <w:rsid w:val="00267F8F"/>
    <w:rsid w:val="002836F5"/>
    <w:rsid w:val="0029350F"/>
    <w:rsid w:val="0029465E"/>
    <w:rsid w:val="002A05AE"/>
    <w:rsid w:val="002A3AC2"/>
    <w:rsid w:val="002C3E15"/>
    <w:rsid w:val="002D1141"/>
    <w:rsid w:val="002E459E"/>
    <w:rsid w:val="002F2968"/>
    <w:rsid w:val="00311F64"/>
    <w:rsid w:val="003139DD"/>
    <w:rsid w:val="00324DE4"/>
    <w:rsid w:val="003441A2"/>
    <w:rsid w:val="00355CE1"/>
    <w:rsid w:val="00386366"/>
    <w:rsid w:val="003C6BE9"/>
    <w:rsid w:val="003D484B"/>
    <w:rsid w:val="003E57A4"/>
    <w:rsid w:val="003F7A1F"/>
    <w:rsid w:val="00401D21"/>
    <w:rsid w:val="004135CC"/>
    <w:rsid w:val="004350DD"/>
    <w:rsid w:val="004412C4"/>
    <w:rsid w:val="00466C08"/>
    <w:rsid w:val="00470CA8"/>
    <w:rsid w:val="00471CFF"/>
    <w:rsid w:val="004B10AA"/>
    <w:rsid w:val="004B56EA"/>
    <w:rsid w:val="004B6038"/>
    <w:rsid w:val="004C1102"/>
    <w:rsid w:val="004C1893"/>
    <w:rsid w:val="004F00E4"/>
    <w:rsid w:val="00507750"/>
    <w:rsid w:val="00522A03"/>
    <w:rsid w:val="00525335"/>
    <w:rsid w:val="005612AD"/>
    <w:rsid w:val="005779D0"/>
    <w:rsid w:val="00585AA4"/>
    <w:rsid w:val="00586479"/>
    <w:rsid w:val="00590650"/>
    <w:rsid w:val="00591719"/>
    <w:rsid w:val="005B76B6"/>
    <w:rsid w:val="005D4F2E"/>
    <w:rsid w:val="005D597C"/>
    <w:rsid w:val="005E6BF7"/>
    <w:rsid w:val="005E7498"/>
    <w:rsid w:val="005F36BA"/>
    <w:rsid w:val="00631E60"/>
    <w:rsid w:val="006421EB"/>
    <w:rsid w:val="00660C4B"/>
    <w:rsid w:val="0066743A"/>
    <w:rsid w:val="00672B85"/>
    <w:rsid w:val="00680987"/>
    <w:rsid w:val="006B3CAE"/>
    <w:rsid w:val="006B54B5"/>
    <w:rsid w:val="006C4425"/>
    <w:rsid w:val="006E7641"/>
    <w:rsid w:val="006E7964"/>
    <w:rsid w:val="006F0181"/>
    <w:rsid w:val="006F6E9C"/>
    <w:rsid w:val="00704891"/>
    <w:rsid w:val="0073529D"/>
    <w:rsid w:val="00735EC1"/>
    <w:rsid w:val="00751FB5"/>
    <w:rsid w:val="00760E5C"/>
    <w:rsid w:val="0079153E"/>
    <w:rsid w:val="007D0FFE"/>
    <w:rsid w:val="007E695A"/>
    <w:rsid w:val="007F64BF"/>
    <w:rsid w:val="00812E54"/>
    <w:rsid w:val="0082184D"/>
    <w:rsid w:val="00826BEC"/>
    <w:rsid w:val="008412C0"/>
    <w:rsid w:val="008536BA"/>
    <w:rsid w:val="00870833"/>
    <w:rsid w:val="00874980"/>
    <w:rsid w:val="00885EE4"/>
    <w:rsid w:val="008C56BE"/>
    <w:rsid w:val="008D1C35"/>
    <w:rsid w:val="008E2A85"/>
    <w:rsid w:val="008E6410"/>
    <w:rsid w:val="00906BEB"/>
    <w:rsid w:val="00913D88"/>
    <w:rsid w:val="00921597"/>
    <w:rsid w:val="00940BB7"/>
    <w:rsid w:val="009551A7"/>
    <w:rsid w:val="0095522A"/>
    <w:rsid w:val="00961E52"/>
    <w:rsid w:val="009664E1"/>
    <w:rsid w:val="009713E6"/>
    <w:rsid w:val="00972532"/>
    <w:rsid w:val="00982118"/>
    <w:rsid w:val="009B1847"/>
    <w:rsid w:val="009D0B79"/>
    <w:rsid w:val="009E1738"/>
    <w:rsid w:val="00A07068"/>
    <w:rsid w:val="00A135EB"/>
    <w:rsid w:val="00A2255D"/>
    <w:rsid w:val="00A352A4"/>
    <w:rsid w:val="00A41FF9"/>
    <w:rsid w:val="00A449D5"/>
    <w:rsid w:val="00A62052"/>
    <w:rsid w:val="00A67304"/>
    <w:rsid w:val="00A70E08"/>
    <w:rsid w:val="00A85047"/>
    <w:rsid w:val="00A87848"/>
    <w:rsid w:val="00A94FEF"/>
    <w:rsid w:val="00AC1134"/>
    <w:rsid w:val="00AC324F"/>
    <w:rsid w:val="00AD035E"/>
    <w:rsid w:val="00AE5BA4"/>
    <w:rsid w:val="00AE64DF"/>
    <w:rsid w:val="00AF4F65"/>
    <w:rsid w:val="00B0553B"/>
    <w:rsid w:val="00B11339"/>
    <w:rsid w:val="00B1267D"/>
    <w:rsid w:val="00B22CC8"/>
    <w:rsid w:val="00B30A38"/>
    <w:rsid w:val="00B329D9"/>
    <w:rsid w:val="00B50B25"/>
    <w:rsid w:val="00B5230E"/>
    <w:rsid w:val="00B56E30"/>
    <w:rsid w:val="00B64640"/>
    <w:rsid w:val="00B8074A"/>
    <w:rsid w:val="00B820D9"/>
    <w:rsid w:val="00B828FB"/>
    <w:rsid w:val="00B86929"/>
    <w:rsid w:val="00B928EE"/>
    <w:rsid w:val="00B9395A"/>
    <w:rsid w:val="00BA1F12"/>
    <w:rsid w:val="00BA2812"/>
    <w:rsid w:val="00BA2818"/>
    <w:rsid w:val="00BB04C6"/>
    <w:rsid w:val="00BB2004"/>
    <w:rsid w:val="00BC0CAF"/>
    <w:rsid w:val="00BD7916"/>
    <w:rsid w:val="00BE236B"/>
    <w:rsid w:val="00BF37F4"/>
    <w:rsid w:val="00C00810"/>
    <w:rsid w:val="00C12C2F"/>
    <w:rsid w:val="00C37C32"/>
    <w:rsid w:val="00C60AF9"/>
    <w:rsid w:val="00C62616"/>
    <w:rsid w:val="00C62D63"/>
    <w:rsid w:val="00C95660"/>
    <w:rsid w:val="00CB0536"/>
    <w:rsid w:val="00CB67CA"/>
    <w:rsid w:val="00CF02BB"/>
    <w:rsid w:val="00CF0340"/>
    <w:rsid w:val="00D50867"/>
    <w:rsid w:val="00D60AA3"/>
    <w:rsid w:val="00D61CD8"/>
    <w:rsid w:val="00D83BA6"/>
    <w:rsid w:val="00D846E8"/>
    <w:rsid w:val="00D92691"/>
    <w:rsid w:val="00DA0B3A"/>
    <w:rsid w:val="00DD35C9"/>
    <w:rsid w:val="00DE3DDA"/>
    <w:rsid w:val="00DF09D3"/>
    <w:rsid w:val="00E02969"/>
    <w:rsid w:val="00E113D6"/>
    <w:rsid w:val="00E17B34"/>
    <w:rsid w:val="00E4644D"/>
    <w:rsid w:val="00E46E19"/>
    <w:rsid w:val="00E60269"/>
    <w:rsid w:val="00E92A56"/>
    <w:rsid w:val="00EA3642"/>
    <w:rsid w:val="00EA72A3"/>
    <w:rsid w:val="00EB1564"/>
    <w:rsid w:val="00EB179E"/>
    <w:rsid w:val="00EB2014"/>
    <w:rsid w:val="00EC20DD"/>
    <w:rsid w:val="00EC5382"/>
    <w:rsid w:val="00ED37E6"/>
    <w:rsid w:val="00ED3E86"/>
    <w:rsid w:val="00EE69F3"/>
    <w:rsid w:val="00F01245"/>
    <w:rsid w:val="00F0207C"/>
    <w:rsid w:val="00F04CD9"/>
    <w:rsid w:val="00F05BD1"/>
    <w:rsid w:val="00F11D1F"/>
    <w:rsid w:val="00F13105"/>
    <w:rsid w:val="00F1791D"/>
    <w:rsid w:val="00F31E88"/>
    <w:rsid w:val="00F5178D"/>
    <w:rsid w:val="00F52860"/>
    <w:rsid w:val="00F54063"/>
    <w:rsid w:val="00F66ACD"/>
    <w:rsid w:val="00F71DC9"/>
    <w:rsid w:val="00F75F2D"/>
    <w:rsid w:val="00F91F9E"/>
    <w:rsid w:val="00FB6819"/>
    <w:rsid w:val="00FC3436"/>
    <w:rsid w:val="00FC507C"/>
    <w:rsid w:val="00FD3AB7"/>
    <w:rsid w:val="00FD42A2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5F8F"/>
  <w15:docId w15:val="{3EF81527-89A0-470D-84C9-BC2AB27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60"/>
    <w:rPr>
      <w:lang w:val="uk-UA"/>
    </w:rPr>
  </w:style>
  <w:style w:type="paragraph" w:styleId="3">
    <w:name w:val="heading 3"/>
    <w:basedOn w:val="a"/>
    <w:next w:val="a"/>
    <w:link w:val="30"/>
    <w:qFormat/>
    <w:rsid w:val="0082184D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character" w:styleId="a9">
    <w:name w:val="Hyperlink"/>
    <w:basedOn w:val="a0"/>
    <w:uiPriority w:val="99"/>
    <w:unhideWhenUsed/>
    <w:rsid w:val="00F0124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2184D"/>
    <w:rPr>
      <w:rFonts w:ascii="Times New Roman" w:eastAsia="SimSun" w:hAnsi="Times New Roman" w:cs="Times New Roman"/>
      <w:sz w:val="32"/>
      <w:szCs w:val="20"/>
      <w:lang w:val="uk-UA" w:eastAsia="ru-RU"/>
    </w:rPr>
  </w:style>
  <w:style w:type="table" w:customStyle="1" w:styleId="1">
    <w:name w:val="Сетка таблицы1"/>
    <w:basedOn w:val="a1"/>
    <w:next w:val="aa"/>
    <w:uiPriority w:val="39"/>
    <w:rsid w:val="00EE6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E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AE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529D"/>
    <w:rPr>
      <w:lang w:val="uk-UA"/>
    </w:rPr>
  </w:style>
  <w:style w:type="paragraph" w:styleId="ad">
    <w:name w:val="footer"/>
    <w:basedOn w:val="a"/>
    <w:link w:val="ae"/>
    <w:uiPriority w:val="99"/>
    <w:unhideWhenUsed/>
    <w:rsid w:val="0073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529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F247-4477-40E1-B72E-85175921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10504</Words>
  <Characters>5988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3</cp:revision>
  <cp:lastPrinted>2025-01-23T11:28:00Z</cp:lastPrinted>
  <dcterms:created xsi:type="dcterms:W3CDTF">2026-01-15T12:04:00Z</dcterms:created>
  <dcterms:modified xsi:type="dcterms:W3CDTF">2026-01-15T12:16:00Z</dcterms:modified>
</cp:coreProperties>
</file>