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F650C" w14:textId="77777777" w:rsidR="0055521A" w:rsidRPr="0055521A" w:rsidRDefault="0055521A" w:rsidP="00D07973">
      <w:pPr>
        <w:widowControl w:val="0"/>
        <w:autoSpaceDE w:val="0"/>
        <w:autoSpaceDN w:val="0"/>
        <w:spacing w:after="0" w:line="240" w:lineRule="auto"/>
        <w:ind w:left="5529" w:right="13" w:firstLine="708"/>
        <w:outlineLvl w:val="0"/>
        <w:rPr>
          <w:rFonts w:ascii="Times New Roman" w:eastAsia="Times New Roman" w:hAnsi="Times New Roman" w:cs="Times New Roman"/>
          <w:bCs/>
          <w:sz w:val="24"/>
          <w:szCs w:val="24"/>
          <w:lang w:val="uk-UA"/>
        </w:rPr>
      </w:pPr>
      <w:bookmarkStart w:id="0" w:name="_GoBack"/>
      <w:bookmarkEnd w:id="0"/>
      <w:r w:rsidRPr="0055521A">
        <w:rPr>
          <w:rFonts w:ascii="Times New Roman" w:eastAsia="Times New Roman" w:hAnsi="Times New Roman" w:cs="Times New Roman"/>
          <w:bCs/>
          <w:sz w:val="24"/>
          <w:szCs w:val="24"/>
          <w:lang w:val="uk-UA"/>
        </w:rPr>
        <w:t>Додаток</w:t>
      </w:r>
    </w:p>
    <w:p w14:paraId="0B34686F" w14:textId="77777777" w:rsidR="0055521A" w:rsidRPr="0055521A" w:rsidRDefault="0055521A" w:rsidP="0055521A">
      <w:pPr>
        <w:widowControl w:val="0"/>
        <w:autoSpaceDE w:val="0"/>
        <w:autoSpaceDN w:val="0"/>
        <w:spacing w:after="0" w:line="240" w:lineRule="auto"/>
        <w:ind w:left="6237" w:right="13"/>
        <w:outlineLvl w:val="0"/>
        <w:rPr>
          <w:rFonts w:ascii="Times New Roman" w:eastAsia="Times New Roman" w:hAnsi="Times New Roman" w:cs="Times New Roman"/>
          <w:bCs/>
          <w:sz w:val="24"/>
          <w:szCs w:val="24"/>
          <w:lang w:val="uk-UA"/>
        </w:rPr>
      </w:pPr>
      <w:r w:rsidRPr="0055521A">
        <w:rPr>
          <w:rFonts w:ascii="Times New Roman" w:eastAsia="Times New Roman" w:hAnsi="Times New Roman" w:cs="Times New Roman"/>
          <w:bCs/>
          <w:sz w:val="24"/>
          <w:szCs w:val="24"/>
          <w:lang w:val="uk-UA"/>
        </w:rPr>
        <w:t>до рішення виконавчого комітету Кароліно-Бугазької сільської ради</w:t>
      </w:r>
    </w:p>
    <w:p w14:paraId="74973387" w14:textId="7F41E810" w:rsidR="0055521A" w:rsidRPr="0055521A" w:rsidRDefault="0055521A" w:rsidP="0055521A">
      <w:pPr>
        <w:widowControl w:val="0"/>
        <w:tabs>
          <w:tab w:val="left" w:pos="9639"/>
        </w:tabs>
        <w:autoSpaceDE w:val="0"/>
        <w:autoSpaceDN w:val="0"/>
        <w:spacing w:after="0" w:line="240" w:lineRule="auto"/>
        <w:ind w:left="6237" w:right="154"/>
        <w:outlineLvl w:val="0"/>
        <w:rPr>
          <w:rFonts w:ascii="Times New Roman" w:eastAsia="Times New Roman" w:hAnsi="Times New Roman" w:cs="Times New Roman"/>
          <w:bCs/>
          <w:sz w:val="24"/>
          <w:szCs w:val="24"/>
          <w:lang w:val="uk-UA"/>
        </w:rPr>
      </w:pPr>
      <w:r w:rsidRPr="0055521A">
        <w:rPr>
          <w:rFonts w:ascii="Times New Roman" w:eastAsia="Times New Roman" w:hAnsi="Times New Roman" w:cs="Times New Roman"/>
          <w:bCs/>
          <w:sz w:val="24"/>
          <w:szCs w:val="24"/>
          <w:lang w:val="uk-UA"/>
        </w:rPr>
        <w:t xml:space="preserve">від </w:t>
      </w:r>
      <w:r w:rsidR="0019649D">
        <w:rPr>
          <w:rFonts w:ascii="Times New Roman" w:eastAsia="Times New Roman" w:hAnsi="Times New Roman" w:cs="Times New Roman"/>
          <w:bCs/>
          <w:sz w:val="24"/>
          <w:szCs w:val="24"/>
          <w:lang w:val="uk-UA"/>
        </w:rPr>
        <w:t>22</w:t>
      </w:r>
      <w:r w:rsidRPr="0055521A">
        <w:rPr>
          <w:rFonts w:ascii="Times New Roman" w:eastAsia="Times New Roman" w:hAnsi="Times New Roman" w:cs="Times New Roman"/>
          <w:bCs/>
          <w:sz w:val="24"/>
          <w:szCs w:val="24"/>
          <w:lang w:val="uk-UA"/>
        </w:rPr>
        <w:t xml:space="preserve"> серпня 2025р. № </w:t>
      </w:r>
      <w:r w:rsidR="0019649D">
        <w:rPr>
          <w:rFonts w:ascii="Times New Roman" w:eastAsia="Times New Roman" w:hAnsi="Times New Roman" w:cs="Times New Roman"/>
          <w:bCs/>
          <w:sz w:val="24"/>
          <w:szCs w:val="24"/>
          <w:lang w:val="uk-UA"/>
        </w:rPr>
        <w:t>90</w:t>
      </w:r>
    </w:p>
    <w:p w14:paraId="67A0ADA3" w14:textId="77777777" w:rsidR="0055521A" w:rsidRPr="0055521A" w:rsidRDefault="0055521A" w:rsidP="0055521A">
      <w:pPr>
        <w:widowControl w:val="0"/>
        <w:tabs>
          <w:tab w:val="left" w:pos="9639"/>
        </w:tabs>
        <w:autoSpaceDE w:val="0"/>
        <w:autoSpaceDN w:val="0"/>
        <w:spacing w:after="0" w:line="240" w:lineRule="auto"/>
        <w:ind w:left="6237" w:right="154"/>
        <w:outlineLvl w:val="0"/>
        <w:rPr>
          <w:rFonts w:ascii="Times New Roman" w:eastAsia="Times New Roman" w:hAnsi="Times New Roman" w:cs="Times New Roman"/>
          <w:bCs/>
          <w:sz w:val="24"/>
          <w:szCs w:val="24"/>
          <w:lang w:val="uk-UA"/>
        </w:rPr>
      </w:pPr>
    </w:p>
    <w:p w14:paraId="1A324020" w14:textId="77777777" w:rsidR="0055521A" w:rsidRPr="0055521A" w:rsidRDefault="0055521A" w:rsidP="0055521A">
      <w:pPr>
        <w:shd w:val="clear" w:color="auto" w:fill="FFFFFF"/>
        <w:tabs>
          <w:tab w:val="left" w:pos="0"/>
        </w:tabs>
        <w:spacing w:before="300" w:after="450" w:line="240" w:lineRule="auto"/>
        <w:ind w:right="450"/>
        <w:jc w:val="center"/>
        <w:rPr>
          <w:rFonts w:ascii="Times New Roman" w:eastAsia="Times New Roman" w:hAnsi="Times New Roman" w:cs="Times New Roman"/>
          <w:b/>
          <w:bCs/>
          <w:sz w:val="26"/>
          <w:szCs w:val="26"/>
          <w:lang w:val="uk-UA" w:eastAsia="uk-UA"/>
        </w:rPr>
      </w:pPr>
      <w:r w:rsidRPr="0055521A">
        <w:rPr>
          <w:rFonts w:ascii="Times New Roman" w:eastAsia="Times New Roman" w:hAnsi="Times New Roman" w:cs="Times New Roman"/>
          <w:b/>
          <w:bCs/>
          <w:sz w:val="28"/>
          <w:szCs w:val="28"/>
          <w:lang w:val="uk-UA" w:eastAsia="uk-UA"/>
        </w:rPr>
        <w:t>ПОРЯДОК</w:t>
      </w:r>
      <w:r w:rsidRPr="0055521A">
        <w:rPr>
          <w:rFonts w:ascii="Times New Roman" w:eastAsia="Times New Roman" w:hAnsi="Times New Roman" w:cs="Times New Roman"/>
          <w:sz w:val="28"/>
          <w:szCs w:val="28"/>
          <w:lang w:val="uk-UA" w:eastAsia="uk-UA"/>
        </w:rPr>
        <w:br/>
      </w:r>
      <w:r w:rsidRPr="0055521A">
        <w:rPr>
          <w:rFonts w:ascii="Times New Roman" w:eastAsia="Times New Roman" w:hAnsi="Times New Roman" w:cs="Times New Roman"/>
          <w:b/>
          <w:bCs/>
          <w:sz w:val="28"/>
          <w:szCs w:val="28"/>
          <w:lang w:val="uk-UA" w:eastAsia="uk-UA"/>
        </w:rPr>
        <w:t xml:space="preserve">розподілу коштів місцевого  бюджету на підготовку та реалізацію </w:t>
      </w:r>
      <w:r w:rsidRPr="0055521A">
        <w:rPr>
          <w:rFonts w:ascii="Times New Roman" w:eastAsia="Times New Roman" w:hAnsi="Times New Roman" w:cs="Times New Roman"/>
          <w:b/>
          <w:bCs/>
          <w:sz w:val="26"/>
          <w:szCs w:val="26"/>
          <w:lang w:val="uk-UA" w:eastAsia="uk-UA"/>
        </w:rPr>
        <w:t>публічних інвестиційних проектів та програм публічних інвестицій</w:t>
      </w:r>
    </w:p>
    <w:p w14:paraId="14D2D369" w14:textId="77777777" w:rsidR="0055521A" w:rsidRPr="0055521A" w:rsidRDefault="0055521A" w:rsidP="0055521A">
      <w:pPr>
        <w:shd w:val="clear" w:color="auto" w:fill="FFFFFF"/>
        <w:spacing w:after="150" w:line="240" w:lineRule="auto"/>
        <w:jc w:val="both"/>
        <w:rPr>
          <w:rFonts w:ascii="Times New Roman" w:eastAsia="Times New Roman" w:hAnsi="Times New Roman" w:cs="Times New Roman"/>
          <w:sz w:val="26"/>
          <w:szCs w:val="26"/>
          <w:lang w:val="uk-UA" w:eastAsia="uk-UA"/>
        </w:rPr>
      </w:pPr>
      <w:bookmarkStart w:id="1" w:name="n75"/>
      <w:bookmarkEnd w:id="1"/>
      <w:r w:rsidRPr="0055521A">
        <w:rPr>
          <w:rFonts w:ascii="Times New Roman" w:eastAsia="Times New Roman" w:hAnsi="Times New Roman" w:cs="Times New Roman"/>
          <w:sz w:val="26"/>
          <w:szCs w:val="26"/>
          <w:lang w:val="uk-UA" w:eastAsia="uk-UA"/>
        </w:rPr>
        <w:t>1. Цей Порядок визначає механізм розподілу коштів місцевого  бюджету на підготовку та реалізацію публічних інвестиційних проектів та програм публічних інвестицій єдиного проектного портфеля публічних інвестицій Кароліно-Бугазької сільської територіальної громади з урахуванням обсягу державних гарантій, що надаються для забезпечення виконання боргових зобов’язань за кредитами (позиками), які залучаються для підготовки та реалізації публічних інвестиційних проектів та програм (далі - публічні інвестиції).</w:t>
      </w:r>
    </w:p>
    <w:p w14:paraId="77051711" w14:textId="77777777" w:rsidR="0055521A" w:rsidRPr="0055521A" w:rsidRDefault="0055521A" w:rsidP="0055521A">
      <w:pPr>
        <w:shd w:val="clear" w:color="auto" w:fill="FFFFFF"/>
        <w:spacing w:after="150" w:line="240" w:lineRule="auto"/>
        <w:jc w:val="both"/>
        <w:rPr>
          <w:rFonts w:ascii="Times New Roman" w:eastAsia="Times New Roman" w:hAnsi="Times New Roman" w:cs="Times New Roman"/>
          <w:sz w:val="26"/>
          <w:szCs w:val="26"/>
          <w:lang w:val="uk-UA" w:eastAsia="uk-UA"/>
        </w:rPr>
      </w:pPr>
      <w:bookmarkStart w:id="2" w:name="n76"/>
      <w:bookmarkEnd w:id="2"/>
      <w:r w:rsidRPr="0055521A">
        <w:rPr>
          <w:rFonts w:ascii="Times New Roman" w:eastAsia="Times New Roman" w:hAnsi="Times New Roman" w:cs="Times New Roman"/>
          <w:sz w:val="26"/>
          <w:szCs w:val="26"/>
          <w:lang w:val="uk-UA" w:eastAsia="uk-UA"/>
        </w:rPr>
        <w:t>2. У цьому Порядку терміни вживаються в такому значенні:</w:t>
      </w:r>
    </w:p>
    <w:p w14:paraId="1952E2A9"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3" w:name="n77"/>
      <w:bookmarkEnd w:id="3"/>
      <w:r w:rsidRPr="0055521A">
        <w:rPr>
          <w:rFonts w:ascii="Times New Roman" w:eastAsia="Times New Roman" w:hAnsi="Times New Roman" w:cs="Times New Roman"/>
          <w:sz w:val="26"/>
          <w:szCs w:val="26"/>
          <w:lang w:val="uk-UA" w:eastAsia="uk-UA"/>
        </w:rPr>
        <w:t>життєвий цикл публічного інвестиційного проекту - період часу, який складається з послідовних дій та етапів, кожен з яких має свої часові межі, та спрямований на досягнення результатів публічного інвестиційного проекту;</w:t>
      </w:r>
    </w:p>
    <w:p w14:paraId="1BCE2E0F"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4" w:name="n78"/>
      <w:bookmarkEnd w:id="4"/>
      <w:r w:rsidRPr="0055521A">
        <w:rPr>
          <w:rFonts w:ascii="Times New Roman" w:eastAsia="Times New Roman" w:hAnsi="Times New Roman" w:cs="Times New Roman"/>
          <w:sz w:val="26"/>
          <w:szCs w:val="26"/>
          <w:lang w:val="uk-UA" w:eastAsia="uk-UA"/>
        </w:rPr>
        <w:t>моніторинг стану підготовки та реалізації публічного інвестиційного проекту та програми публічних інвестицій - комплекс заходів щодо постійного і безперервного аналізу інформації про стан підготовки та реалізації публічного інвестиційного проекту та програми публічних інвестицій для здійснення контролю за відповідністю запланованих витрат, результатів, плану реалізації проекту та програми фактичним даним з метою вчасного виявлення відхилень від плану та ефективного впровадження публічного інвестиційного проекту та програми публічних інвестицій;</w:t>
      </w:r>
    </w:p>
    <w:p w14:paraId="4FC9C5EC"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5" w:name="n79"/>
      <w:bookmarkEnd w:id="5"/>
      <w:r w:rsidRPr="0055521A">
        <w:rPr>
          <w:rFonts w:ascii="Times New Roman" w:eastAsia="Times New Roman" w:hAnsi="Times New Roman" w:cs="Times New Roman"/>
          <w:sz w:val="26"/>
          <w:szCs w:val="26"/>
          <w:lang w:val="uk-UA" w:eastAsia="uk-UA"/>
        </w:rPr>
        <w:t>новий публічний інвестиційний проект або нова програма публічних інвестицій - публічний інвестиційний проект або програма публічних інвестицій, фінансове забезпечення яких або будь-яких їх складових не здійснювалося у попередні бюджетні періоди;</w:t>
      </w:r>
    </w:p>
    <w:p w14:paraId="0ABACBB9"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6" w:name="n80"/>
      <w:bookmarkEnd w:id="6"/>
      <w:r w:rsidRPr="0055521A">
        <w:rPr>
          <w:rFonts w:ascii="Times New Roman" w:eastAsia="Times New Roman" w:hAnsi="Times New Roman" w:cs="Times New Roman"/>
          <w:sz w:val="26"/>
          <w:szCs w:val="26"/>
          <w:lang w:val="uk-UA" w:eastAsia="uk-UA"/>
        </w:rPr>
        <w:t>підготовка публічного інвестиційного проекту - передінвестиційний етап життєвого циклу публічного інвестиційного проекту, який включає розроблення проекту, здійснення передінвестиційних досліджень (попереднє і повне техніко-економічне обґрунтування), оцінку проекту, прийняття рішення щодо його доцільності та включення до секторального портфеля публічних інвестицій, прийняття рішення Місцевою  інвестиційною радою щодо включення проекту до єдиного проектного портфеля публічних інвестицій держави;</w:t>
      </w:r>
    </w:p>
    <w:p w14:paraId="3B263BA5"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7" w:name="n81"/>
      <w:bookmarkEnd w:id="7"/>
      <w:r w:rsidRPr="0055521A">
        <w:rPr>
          <w:rFonts w:ascii="Times New Roman" w:eastAsia="Times New Roman" w:hAnsi="Times New Roman" w:cs="Times New Roman"/>
          <w:sz w:val="26"/>
          <w:szCs w:val="26"/>
          <w:lang w:val="uk-UA" w:eastAsia="uk-UA"/>
        </w:rPr>
        <w:t>реалізація програми публічних інвестицій - здійснення заходів, передбачених програмою публічних інвестицій для досягнення встановлених цільових показників, зокрема відбір публічних інвестиційних проектів, що відповідають затвердженим у рамках програми критеріям, розподіл відповідних коштів місцевого  бюджету в межах загального обсягу програми та моніторинг реалізації відібраних проектів;</w:t>
      </w:r>
    </w:p>
    <w:p w14:paraId="44CAEEB3"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8" w:name="n82"/>
      <w:bookmarkEnd w:id="8"/>
      <w:r w:rsidRPr="0055521A">
        <w:rPr>
          <w:rFonts w:ascii="Times New Roman" w:eastAsia="Times New Roman" w:hAnsi="Times New Roman" w:cs="Times New Roman"/>
          <w:sz w:val="26"/>
          <w:szCs w:val="26"/>
          <w:lang w:val="uk-UA" w:eastAsia="uk-UA"/>
        </w:rPr>
        <w:t xml:space="preserve">реалізація публічного інвестиційного проекту - інвестиційний етап життєвого циклу публічного інвестиційного проекту, який включає, зокрема, розроблення </w:t>
      </w:r>
      <w:r w:rsidRPr="0055521A">
        <w:rPr>
          <w:rFonts w:ascii="Times New Roman" w:eastAsia="Times New Roman" w:hAnsi="Times New Roman" w:cs="Times New Roman"/>
          <w:sz w:val="26"/>
          <w:szCs w:val="26"/>
          <w:lang w:val="uk-UA" w:eastAsia="uk-UA"/>
        </w:rPr>
        <w:lastRenderedPageBreak/>
        <w:t>проектної документації та її затвердження, отримання відповідних дозволів, підготовку та проведення процедур закупівель, укладення договорів, виконання будівельних робіт, придбання та встановлення обладнання, управління заходами проекту, навчання персоналу, прийняття в експлуатацію;</w:t>
      </w:r>
    </w:p>
    <w:p w14:paraId="383426FD"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9" w:name="n83"/>
      <w:bookmarkEnd w:id="9"/>
      <w:r w:rsidRPr="0055521A">
        <w:rPr>
          <w:rFonts w:ascii="Times New Roman" w:eastAsia="Times New Roman" w:hAnsi="Times New Roman" w:cs="Times New Roman"/>
          <w:sz w:val="26"/>
          <w:szCs w:val="26"/>
          <w:lang w:val="uk-UA" w:eastAsia="uk-UA"/>
        </w:rPr>
        <w:t>розпочатий публічний інвестиційний проект або розпочата програма публічних інвестицій - публічний інвестиційний проект або програма публічних інвестицій, фінансове забезпечення яких або будь-яких їх складових здійснювалося у попередні бюджетні періоди на будь-якому етапі їх життєвого циклу.</w:t>
      </w:r>
    </w:p>
    <w:p w14:paraId="43C88935"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0" w:name="n84"/>
      <w:bookmarkEnd w:id="10"/>
      <w:r w:rsidRPr="0055521A">
        <w:rPr>
          <w:rFonts w:ascii="Times New Roman" w:eastAsia="Times New Roman" w:hAnsi="Times New Roman" w:cs="Times New Roman"/>
          <w:sz w:val="26"/>
          <w:szCs w:val="26"/>
          <w:lang w:val="uk-UA" w:eastAsia="uk-UA"/>
        </w:rPr>
        <w:t>Інші терміни вживаються у значенні, наведеному в </w:t>
      </w:r>
      <w:hyperlink r:id="rId5" w:tgtFrame="_blank" w:history="1">
        <w:r w:rsidRPr="0055521A">
          <w:rPr>
            <w:rFonts w:ascii="Times New Roman" w:eastAsia="Times New Roman" w:hAnsi="Times New Roman" w:cs="Times New Roman"/>
            <w:sz w:val="26"/>
            <w:szCs w:val="26"/>
            <w:u w:val="single"/>
            <w:lang w:val="uk-UA" w:eastAsia="uk-UA"/>
          </w:rPr>
          <w:t>Бюджетному кодексі України</w:t>
        </w:r>
      </w:hyperlink>
      <w:r w:rsidRPr="0055521A">
        <w:rPr>
          <w:rFonts w:ascii="Times New Roman" w:eastAsia="Times New Roman" w:hAnsi="Times New Roman" w:cs="Times New Roman"/>
          <w:sz w:val="26"/>
          <w:szCs w:val="26"/>
          <w:lang w:val="uk-UA" w:eastAsia="uk-UA"/>
        </w:rPr>
        <w:t>.</w:t>
      </w:r>
    </w:p>
    <w:p w14:paraId="7F449329"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1" w:name="n85"/>
      <w:bookmarkEnd w:id="11"/>
      <w:r w:rsidRPr="0055521A">
        <w:rPr>
          <w:rFonts w:ascii="Times New Roman" w:eastAsia="Times New Roman" w:hAnsi="Times New Roman" w:cs="Times New Roman"/>
          <w:sz w:val="26"/>
          <w:szCs w:val="26"/>
          <w:lang w:val="uk-UA" w:eastAsia="uk-UA"/>
        </w:rPr>
        <w:t>3. З метою здійснення розподілу публічних інвестицій на плановий бюджетний період та два наступні за плановим бюджетні періоди Кароліно-Бугазька сільська територіальна громада  у межах орієнтовного розподілу коштів за основними напрямами публічного інвестування у розрізі сфер діяльності у затвердженому середньостроковому плані пріоритетних публічних інвестицій територіальної громади формують на основі схваленого Місцевою інвестиційною радою єдиного проектного портфеля публічних інвестицій Кароліно-Бугазької сільської територіальної громади за формою згідно з додатком з урахуванням таких критеріїв:</w:t>
      </w:r>
    </w:p>
    <w:p w14:paraId="04CE9518"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2" w:name="n86"/>
      <w:bookmarkEnd w:id="12"/>
      <w:r w:rsidRPr="0055521A">
        <w:rPr>
          <w:rFonts w:ascii="Times New Roman" w:eastAsia="Times New Roman" w:hAnsi="Times New Roman" w:cs="Times New Roman"/>
          <w:sz w:val="26"/>
          <w:szCs w:val="26"/>
          <w:lang w:val="uk-UA" w:eastAsia="uk-UA"/>
        </w:rPr>
        <w:t>1) пріоритетність - до переліку включаються публічні інвестиційні проекти з найвищими балами пріоритезації в єдиному проектному портфелі публічних інвестицій територіальної громади у відповідному секторі;</w:t>
      </w:r>
    </w:p>
    <w:p w14:paraId="043A5D50"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3" w:name="n87"/>
      <w:bookmarkEnd w:id="13"/>
      <w:r w:rsidRPr="0055521A">
        <w:rPr>
          <w:rFonts w:ascii="Times New Roman" w:eastAsia="Times New Roman" w:hAnsi="Times New Roman" w:cs="Times New Roman"/>
          <w:sz w:val="26"/>
          <w:szCs w:val="26"/>
          <w:lang w:val="uk-UA" w:eastAsia="uk-UA"/>
        </w:rPr>
        <w:t>2) ступінь готовності - до переліку насамперед включаються вже розпочаті публічні інвестиційні проекти та програми публічних інвестицій, стратегічна доцільність яких залишається актуальною, нові публічні інвестиційні проекти, які мають завершені передінвестиційні дослідження (попереднє техніко-економічне обґрунтування для проектів вартістю до 50 млн. гривень, повне техніко-економічне обґрунтування для проектів вартістю понад 50 млн. гривень), успішно пройшли відповідну оцінку та готові до реалізації, нові публічні інвестиційні проекти та програми, які визначені Місцевою інвестиційною радою пріоритетними для подальшої підготовки, але не відповідають критеріям наявних програм з підтримки підготовки проектів;</w:t>
      </w:r>
    </w:p>
    <w:p w14:paraId="4E1A8441"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4" w:name="n88"/>
      <w:bookmarkEnd w:id="14"/>
      <w:r w:rsidRPr="0055521A">
        <w:rPr>
          <w:rFonts w:ascii="Times New Roman" w:eastAsia="Times New Roman" w:hAnsi="Times New Roman" w:cs="Times New Roman"/>
          <w:sz w:val="26"/>
          <w:szCs w:val="26"/>
          <w:lang w:val="uk-UA" w:eastAsia="uk-UA"/>
        </w:rPr>
        <w:t>3) наявність відповідного джерела фінансового забезпечення - до переліку включаються нові програми публічних інвестицій у разі наявності підтвердженого джерела фінансового забезпечення, нові публічні інвестиційні проекти - у разі наявності джерела фінансового забезпечення, що відповідає характеристикам такого проекту згідно з методикою визначення джерел і механізмів фінансового забезпечення публічних інвестиційних проектів та програм публічних інвестицій, затвердженою Мінфіном.</w:t>
      </w:r>
    </w:p>
    <w:p w14:paraId="6A50824F"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5" w:name="n89"/>
      <w:bookmarkEnd w:id="15"/>
      <w:r w:rsidRPr="0055521A">
        <w:rPr>
          <w:rFonts w:ascii="Times New Roman" w:eastAsia="Times New Roman" w:hAnsi="Times New Roman" w:cs="Times New Roman"/>
          <w:sz w:val="26"/>
          <w:szCs w:val="26"/>
          <w:lang w:val="uk-UA" w:eastAsia="uk-UA"/>
        </w:rPr>
        <w:t>4. Місцева інвестиційна рада подає сформовані переліки публічних інвестиційних проектів та програм публічних інвестицій  до 10 липня року, що передує плановому, разом з обґрунтуванням відповідності критеріям.</w:t>
      </w:r>
    </w:p>
    <w:p w14:paraId="2DA40297"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6" w:name="n90"/>
      <w:bookmarkEnd w:id="16"/>
      <w:r w:rsidRPr="0055521A">
        <w:rPr>
          <w:rFonts w:ascii="Times New Roman" w:eastAsia="Times New Roman" w:hAnsi="Times New Roman" w:cs="Times New Roman"/>
          <w:sz w:val="26"/>
          <w:szCs w:val="26"/>
          <w:lang w:val="uk-UA" w:eastAsia="uk-UA"/>
        </w:rPr>
        <w:t xml:space="preserve">5. Місцева комісія з питань розподілу публічних інвестицій  здійснює аналіз поданих  переліків публічних інвестиційних проектів та програм публічних інвестицій на відповідність орієнтовному розподілу коштів за основними напрямами публічного інвестування у розрізі сфер діяльності, інформації, що міститься в єдиному проектному портфелі публічних інвестицій  територіальної громади, та підходам до визначення джерел і механізмів фінансового забезпечення, а також щодо </w:t>
      </w:r>
      <w:r w:rsidRPr="0055521A">
        <w:rPr>
          <w:rFonts w:ascii="Times New Roman" w:eastAsia="Times New Roman" w:hAnsi="Times New Roman" w:cs="Times New Roman"/>
          <w:sz w:val="26"/>
          <w:szCs w:val="26"/>
          <w:lang w:val="uk-UA" w:eastAsia="uk-UA"/>
        </w:rPr>
        <w:lastRenderedPageBreak/>
        <w:t>обґрунтованості зазначеної потреби у фінансовому забезпеченні з огляду на поточний стан та плани реалізації відповідних проектів та програм.</w:t>
      </w:r>
    </w:p>
    <w:p w14:paraId="0804384B"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7" w:name="n91"/>
      <w:bookmarkStart w:id="18" w:name="n98"/>
      <w:bookmarkEnd w:id="17"/>
      <w:bookmarkEnd w:id="18"/>
      <w:r w:rsidRPr="0055521A">
        <w:rPr>
          <w:rFonts w:ascii="Times New Roman" w:eastAsia="Times New Roman" w:hAnsi="Times New Roman" w:cs="Times New Roman"/>
          <w:sz w:val="26"/>
          <w:szCs w:val="26"/>
          <w:lang w:val="uk-UA" w:eastAsia="uk-UA"/>
        </w:rPr>
        <w:t>6. Комісія на підставі інформації, отриманої від Місцевої інвестиційної ради  у тижневий строк приймає на своєму засіданні рішення щодо розподілу публічних інвестицій на підготовку та реалізацію публічних інвестиційних проектів та програм публічних інвестицій у розрізі таких проектів та програм із зазначенням відповідних джерел і механізмів їх фінансового забезпечення з урахуванням вимог </w:t>
      </w:r>
      <w:hyperlink r:id="rId6" w:anchor="n3452" w:tgtFrame="_blank" w:history="1">
        <w:r w:rsidRPr="0055521A">
          <w:rPr>
            <w:rFonts w:ascii="Times New Roman" w:eastAsia="Times New Roman" w:hAnsi="Times New Roman" w:cs="Times New Roman"/>
            <w:sz w:val="26"/>
            <w:szCs w:val="26"/>
            <w:u w:val="single"/>
            <w:lang w:val="uk-UA" w:eastAsia="uk-UA"/>
          </w:rPr>
          <w:t>статті 33</w:t>
        </w:r>
      </w:hyperlink>
      <w:hyperlink r:id="rId7" w:anchor="n3452" w:tgtFrame="_blank" w:history="1">
        <w:r w:rsidRPr="0055521A">
          <w:rPr>
            <w:rFonts w:ascii="Times New Roman" w:eastAsia="Times New Roman" w:hAnsi="Times New Roman" w:cs="Times New Roman"/>
            <w:b/>
            <w:bCs/>
            <w:sz w:val="26"/>
            <w:szCs w:val="26"/>
            <w:u w:val="single"/>
            <w:vertAlign w:val="superscript"/>
            <w:lang w:val="uk-UA" w:eastAsia="uk-UA"/>
          </w:rPr>
          <w:t>-1</w:t>
        </w:r>
      </w:hyperlink>
      <w:r w:rsidRPr="0055521A">
        <w:rPr>
          <w:rFonts w:ascii="Times New Roman" w:eastAsia="Times New Roman" w:hAnsi="Times New Roman" w:cs="Times New Roman"/>
          <w:sz w:val="26"/>
          <w:szCs w:val="26"/>
          <w:lang w:val="uk-UA" w:eastAsia="uk-UA"/>
        </w:rPr>
        <w:t xml:space="preserve"> Бюджетного кодексу України </w:t>
      </w:r>
    </w:p>
    <w:p w14:paraId="24F05C21"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19" w:name="n99"/>
      <w:bookmarkEnd w:id="19"/>
      <w:r w:rsidRPr="0055521A">
        <w:rPr>
          <w:rFonts w:ascii="Times New Roman" w:eastAsia="Times New Roman" w:hAnsi="Times New Roman" w:cs="Times New Roman"/>
          <w:sz w:val="26"/>
          <w:szCs w:val="26"/>
          <w:lang w:val="uk-UA" w:eastAsia="uk-UA"/>
        </w:rPr>
        <w:t>Рішення Комісії та консолідований перелік розміщуються на офіційному веб-сайті Кароліно-Бугазької сільської територіальної громади.</w:t>
      </w:r>
    </w:p>
    <w:p w14:paraId="340B3162"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20" w:name="n100"/>
      <w:bookmarkEnd w:id="20"/>
      <w:r w:rsidRPr="0055521A">
        <w:rPr>
          <w:rFonts w:ascii="Times New Roman" w:eastAsia="Times New Roman" w:hAnsi="Times New Roman" w:cs="Times New Roman"/>
          <w:sz w:val="26"/>
          <w:szCs w:val="26"/>
          <w:lang w:val="uk-UA" w:eastAsia="uk-UA"/>
        </w:rPr>
        <w:t>7. На підставі розподілу публічних інвестицій, головні розпорядники коштів місцевого бюджету подають Місцевій інвестиційній раді  у встановленому порядку бюджетні запити за бюджетними програмами, в рамках яких передбачаються підготовка та реалізація відповідних публічних інвестиційних проектів та програм публічних інвестицій.</w:t>
      </w:r>
    </w:p>
    <w:p w14:paraId="2C725CD0" w14:textId="77777777"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21" w:name="n101"/>
      <w:bookmarkStart w:id="22" w:name="n102"/>
      <w:bookmarkEnd w:id="21"/>
      <w:bookmarkEnd w:id="22"/>
      <w:r w:rsidRPr="0055521A">
        <w:rPr>
          <w:rFonts w:ascii="Times New Roman" w:eastAsia="Times New Roman" w:hAnsi="Times New Roman" w:cs="Times New Roman"/>
          <w:sz w:val="26"/>
          <w:szCs w:val="26"/>
          <w:lang w:val="uk-UA" w:eastAsia="uk-UA"/>
        </w:rPr>
        <w:t>8. Якщо протягом бюджетного періоду за результатами піврічного моніторингу стану підготовки та реалізації публічних інвестиційних проектів та програм публічних інвестицій встановлено порушення строків розроблення або реалізації проекту або програми, або підвищення вартості проекту або програми більш як на 10 відсотків, або виявлено невідповідність предмета закупівель меті та кінцевому результату, якого планується досягти в результаті реалізації проекту або програми, такі проекти або програми за пропозицією місцевої комісії з питань розподілу публічних інвестицій підлягають повторному розгляду  в установленому порядку. Рішення Комісії є підставою для розгляду питання про передачу коштів місцевого бюджету на публічні інвестиційні проекти та програми публічних інвестицій, які реалізуються у визначені строки, у встановленому бюджетним законодавством порядку.</w:t>
      </w:r>
    </w:p>
    <w:p w14:paraId="3A5F53BB" w14:textId="7762EC91" w:rsidR="0055521A" w:rsidRPr="0055521A" w:rsidRDefault="0055521A" w:rsidP="0055521A">
      <w:pPr>
        <w:shd w:val="clear" w:color="auto" w:fill="FFFFFF"/>
        <w:spacing w:after="150" w:line="240" w:lineRule="auto"/>
        <w:ind w:firstLine="450"/>
        <w:jc w:val="both"/>
        <w:rPr>
          <w:rFonts w:ascii="Times New Roman" w:eastAsia="Times New Roman" w:hAnsi="Times New Roman" w:cs="Times New Roman"/>
          <w:sz w:val="26"/>
          <w:szCs w:val="26"/>
          <w:lang w:val="uk-UA" w:eastAsia="uk-UA"/>
        </w:rPr>
      </w:pPr>
      <w:bookmarkStart w:id="23" w:name="n103"/>
      <w:bookmarkEnd w:id="23"/>
      <w:r w:rsidRPr="0055521A">
        <w:rPr>
          <w:rFonts w:ascii="Times New Roman" w:eastAsia="Times New Roman" w:hAnsi="Times New Roman" w:cs="Times New Roman"/>
          <w:sz w:val="26"/>
          <w:szCs w:val="26"/>
          <w:lang w:val="uk-UA" w:eastAsia="uk-UA"/>
        </w:rPr>
        <w:t xml:space="preserve">9. У разі встановлення за результатами піврічного моніторингу випадків </w:t>
      </w:r>
      <w:r w:rsidR="0019649D" w:rsidRPr="0055521A">
        <w:rPr>
          <w:rFonts w:ascii="Times New Roman" w:eastAsia="Times New Roman" w:hAnsi="Times New Roman" w:cs="Times New Roman"/>
          <w:sz w:val="26"/>
          <w:szCs w:val="26"/>
          <w:lang w:val="uk-UA" w:eastAsia="uk-UA"/>
        </w:rPr>
        <w:t>не набрання</w:t>
      </w:r>
      <w:r w:rsidRPr="0055521A">
        <w:rPr>
          <w:rFonts w:ascii="Times New Roman" w:eastAsia="Times New Roman" w:hAnsi="Times New Roman" w:cs="Times New Roman"/>
          <w:sz w:val="26"/>
          <w:szCs w:val="26"/>
          <w:lang w:val="uk-UA" w:eastAsia="uk-UA"/>
        </w:rPr>
        <w:t xml:space="preserve"> чинності кредитними угодами в рамках підготовки та реалізації публічних інвестиційних проектів, під які передбачалося надання державних гарантій відповідно до розподілу,  за пропозицією Місцева  комісія з питань розподілу публічних інвестицій може здійснювати перегляд переліку таких проектів. За результатами такого перегляду та у випадку наявності в єдиному проектному портфелі публічних інвестицій  проектів, під які можуть надаватися місцеві  гарантії і які перебувають на відповідній стадії готовності, Комісія може приймати рішення про заміну або включення додаткових проектів до переліку з дотриманням граничного обсягу надання місцевих  гарантій.</w:t>
      </w:r>
    </w:p>
    <w:p w14:paraId="761C014D" w14:textId="77777777" w:rsidR="0055521A" w:rsidRPr="0055521A" w:rsidRDefault="0055521A" w:rsidP="0055521A">
      <w:pPr>
        <w:widowControl w:val="0"/>
        <w:tabs>
          <w:tab w:val="left" w:pos="9639"/>
        </w:tabs>
        <w:autoSpaceDE w:val="0"/>
        <w:autoSpaceDN w:val="0"/>
        <w:spacing w:after="0" w:line="240" w:lineRule="auto"/>
        <w:ind w:right="154"/>
        <w:jc w:val="both"/>
        <w:outlineLvl w:val="0"/>
        <w:rPr>
          <w:rFonts w:ascii="Times New Roman" w:eastAsia="Times New Roman" w:hAnsi="Times New Roman" w:cs="Times New Roman"/>
          <w:bCs/>
          <w:sz w:val="26"/>
          <w:szCs w:val="26"/>
          <w:lang w:val="uk-UA"/>
        </w:rPr>
      </w:pPr>
      <w:bookmarkStart w:id="24" w:name="n104"/>
      <w:bookmarkEnd w:id="24"/>
    </w:p>
    <w:p w14:paraId="2B6AD50B" w14:textId="77777777" w:rsidR="0055521A" w:rsidRPr="0055521A" w:rsidRDefault="0055521A" w:rsidP="0055521A">
      <w:pPr>
        <w:spacing w:after="0" w:line="240" w:lineRule="auto"/>
        <w:jc w:val="both"/>
        <w:rPr>
          <w:rFonts w:ascii="Times New Roman" w:eastAsia="Calibri" w:hAnsi="Times New Roman" w:cs="Times New Roman"/>
          <w:sz w:val="26"/>
          <w:szCs w:val="26"/>
          <w:lang w:val="uk-UA"/>
        </w:rPr>
      </w:pPr>
    </w:p>
    <w:p w14:paraId="3C7BDA64" w14:textId="4129A892" w:rsidR="0055521A" w:rsidRPr="0055521A" w:rsidRDefault="0055521A" w:rsidP="0019649D">
      <w:pPr>
        <w:spacing w:line="240" w:lineRule="auto"/>
        <w:jc w:val="center"/>
        <w:rPr>
          <w:rFonts w:ascii="Times New Roman" w:eastAsia="Calibri" w:hAnsi="Times New Roman" w:cs="Times New Roman"/>
          <w:b/>
          <w:i/>
          <w:sz w:val="26"/>
          <w:szCs w:val="26"/>
          <w:lang w:val="uk-UA"/>
        </w:rPr>
      </w:pPr>
      <w:r w:rsidRPr="0055521A">
        <w:rPr>
          <w:rFonts w:ascii="Times New Roman" w:eastAsia="Calibri" w:hAnsi="Times New Roman" w:cs="Times New Roman"/>
          <w:b/>
          <w:i/>
          <w:sz w:val="26"/>
          <w:szCs w:val="26"/>
          <w:lang w:val="uk-UA"/>
        </w:rPr>
        <w:t xml:space="preserve">Сільський голова              </w:t>
      </w:r>
      <w:r w:rsidRPr="0055521A">
        <w:rPr>
          <w:rFonts w:ascii="Times New Roman" w:eastAsia="Calibri" w:hAnsi="Times New Roman" w:cs="Times New Roman"/>
          <w:b/>
          <w:i/>
          <w:sz w:val="26"/>
          <w:szCs w:val="26"/>
          <w:lang w:val="uk-UA"/>
        </w:rPr>
        <w:tab/>
      </w:r>
      <w:r w:rsidR="0019649D">
        <w:rPr>
          <w:rFonts w:ascii="Times New Roman" w:eastAsia="Calibri" w:hAnsi="Times New Roman" w:cs="Times New Roman"/>
          <w:b/>
          <w:i/>
          <w:sz w:val="26"/>
          <w:szCs w:val="26"/>
          <w:lang w:val="uk-UA"/>
        </w:rPr>
        <w:tab/>
      </w:r>
      <w:r w:rsidR="0019649D">
        <w:rPr>
          <w:rFonts w:ascii="Times New Roman" w:eastAsia="Calibri" w:hAnsi="Times New Roman" w:cs="Times New Roman"/>
          <w:b/>
          <w:i/>
          <w:sz w:val="26"/>
          <w:szCs w:val="26"/>
          <w:lang w:val="uk-UA"/>
        </w:rPr>
        <w:tab/>
      </w:r>
      <w:r w:rsidR="0019649D">
        <w:rPr>
          <w:rFonts w:ascii="Times New Roman" w:eastAsia="Calibri" w:hAnsi="Times New Roman" w:cs="Times New Roman"/>
          <w:b/>
          <w:i/>
          <w:sz w:val="26"/>
          <w:szCs w:val="26"/>
          <w:lang w:val="uk-UA"/>
        </w:rPr>
        <w:tab/>
      </w:r>
      <w:r w:rsidR="0019649D">
        <w:rPr>
          <w:rFonts w:ascii="Times New Roman" w:eastAsia="Calibri" w:hAnsi="Times New Roman" w:cs="Times New Roman"/>
          <w:b/>
          <w:i/>
          <w:sz w:val="26"/>
          <w:szCs w:val="26"/>
          <w:lang w:val="uk-UA"/>
        </w:rPr>
        <w:tab/>
        <w:t xml:space="preserve">   </w:t>
      </w:r>
      <w:r w:rsidRPr="0055521A">
        <w:rPr>
          <w:rFonts w:ascii="Times New Roman" w:eastAsia="Calibri" w:hAnsi="Times New Roman" w:cs="Times New Roman"/>
          <w:b/>
          <w:i/>
          <w:sz w:val="26"/>
          <w:szCs w:val="26"/>
          <w:lang w:val="uk-UA"/>
        </w:rPr>
        <w:t xml:space="preserve"> Андрій АПАНАСЕНО</w:t>
      </w:r>
    </w:p>
    <w:p w14:paraId="76760E88" w14:textId="77777777" w:rsidR="0055521A" w:rsidRPr="0055521A" w:rsidRDefault="0055521A" w:rsidP="0055521A">
      <w:pPr>
        <w:spacing w:after="0" w:line="240" w:lineRule="auto"/>
        <w:jc w:val="both"/>
        <w:rPr>
          <w:rFonts w:ascii="Times New Roman" w:eastAsia="Calibri" w:hAnsi="Times New Roman" w:cs="Times New Roman"/>
          <w:sz w:val="26"/>
          <w:szCs w:val="26"/>
          <w:lang w:val="uk-UA"/>
        </w:rPr>
      </w:pPr>
    </w:p>
    <w:p w14:paraId="6FF349AA" w14:textId="77777777" w:rsidR="0055521A" w:rsidRPr="0050743E" w:rsidRDefault="0055521A" w:rsidP="00DD088C">
      <w:pPr>
        <w:spacing w:after="0" w:line="240" w:lineRule="auto"/>
        <w:rPr>
          <w:rFonts w:ascii="Times New Roman" w:hAnsi="Times New Roman" w:cs="Times New Roman"/>
          <w:sz w:val="26"/>
          <w:szCs w:val="26"/>
          <w:lang w:val="uk-UA"/>
        </w:rPr>
      </w:pPr>
    </w:p>
    <w:sectPr w:rsidR="0055521A" w:rsidRPr="0050743E" w:rsidSect="00DD088C">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3C"/>
    <w:rsid w:val="0002063C"/>
    <w:rsid w:val="00056118"/>
    <w:rsid w:val="0019649D"/>
    <w:rsid w:val="001A2873"/>
    <w:rsid w:val="0042509F"/>
    <w:rsid w:val="0050743E"/>
    <w:rsid w:val="0055521A"/>
    <w:rsid w:val="005E4AE0"/>
    <w:rsid w:val="009114D7"/>
    <w:rsid w:val="00A6536E"/>
    <w:rsid w:val="00BE3CB1"/>
    <w:rsid w:val="00D07973"/>
    <w:rsid w:val="00D7124D"/>
    <w:rsid w:val="00DD08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D7"/>
    <w:pPr>
      <w:spacing w:line="256" w:lineRule="auto"/>
    </w:pPr>
    <w:rPr>
      <w:lang w:val="ru-UA"/>
    </w:rPr>
  </w:style>
  <w:style w:type="paragraph" w:styleId="1">
    <w:name w:val="heading 1"/>
    <w:basedOn w:val="a"/>
    <w:next w:val="a"/>
    <w:link w:val="10"/>
    <w:uiPriority w:val="9"/>
    <w:qFormat/>
    <w:rsid w:val="0042509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9114D7"/>
    <w:pPr>
      <w:keepNext/>
      <w:keepLines/>
      <w:spacing w:before="40" w:after="0" w:line="254" w:lineRule="auto"/>
      <w:outlineLvl w:val="2"/>
    </w:pPr>
    <w:rPr>
      <w:rFonts w:asciiTheme="majorHAnsi" w:eastAsiaTheme="majorEastAsia" w:hAnsiTheme="majorHAnsi" w:cstheme="majorBidi"/>
      <w:color w:val="1F3763" w:themeColor="accent1" w:themeShade="7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114D7"/>
    <w:rPr>
      <w:rFonts w:asciiTheme="majorHAnsi" w:eastAsiaTheme="majorEastAsia" w:hAnsiTheme="majorHAnsi" w:cstheme="majorBidi"/>
      <w:color w:val="1F3763" w:themeColor="accent1" w:themeShade="7F"/>
      <w:sz w:val="24"/>
      <w:szCs w:val="24"/>
    </w:rPr>
  </w:style>
  <w:style w:type="paragraph" w:styleId="a3">
    <w:name w:val="Block Text"/>
    <w:basedOn w:val="a"/>
    <w:semiHidden/>
    <w:unhideWhenUsed/>
    <w:rsid w:val="009114D7"/>
    <w:pPr>
      <w:spacing w:after="0" w:line="240" w:lineRule="auto"/>
      <w:ind w:left="851" w:right="-569"/>
    </w:pPr>
    <w:rPr>
      <w:rFonts w:ascii="Times New Roman" w:eastAsia="Times New Roman" w:hAnsi="Times New Roman" w:cs="Times New Roman"/>
      <w:sz w:val="24"/>
      <w:szCs w:val="20"/>
      <w:lang w:val="uk-UA" w:eastAsia="ru-RU"/>
    </w:rPr>
  </w:style>
  <w:style w:type="character" w:customStyle="1" w:styleId="2">
    <w:name w:val="Основной текст (2)_"/>
    <w:basedOn w:val="a0"/>
    <w:link w:val="20"/>
    <w:uiPriority w:val="99"/>
    <w:locked/>
    <w:rsid w:val="009114D7"/>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9114D7"/>
    <w:pPr>
      <w:widowControl w:val="0"/>
      <w:shd w:val="clear" w:color="auto" w:fill="FFFFFF"/>
      <w:spacing w:before="540" w:after="0" w:line="264" w:lineRule="exact"/>
    </w:pPr>
    <w:rPr>
      <w:rFonts w:ascii="Times New Roman" w:hAnsi="Times New Roman" w:cs="Times New Roman"/>
      <w:sz w:val="26"/>
      <w:szCs w:val="26"/>
      <w:lang w:val="uk-UA"/>
    </w:rPr>
  </w:style>
  <w:style w:type="paragraph" w:styleId="a4">
    <w:name w:val="Balloon Text"/>
    <w:basedOn w:val="a"/>
    <w:link w:val="a5"/>
    <w:uiPriority w:val="99"/>
    <w:semiHidden/>
    <w:unhideWhenUsed/>
    <w:rsid w:val="00425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09F"/>
    <w:rPr>
      <w:rFonts w:ascii="Tahoma" w:hAnsi="Tahoma" w:cs="Tahoma"/>
      <w:sz w:val="16"/>
      <w:szCs w:val="16"/>
      <w:lang w:val="ru-UA"/>
    </w:rPr>
  </w:style>
  <w:style w:type="character" w:customStyle="1" w:styleId="10">
    <w:name w:val="Заголовок 1 Знак"/>
    <w:basedOn w:val="a0"/>
    <w:link w:val="1"/>
    <w:uiPriority w:val="9"/>
    <w:rsid w:val="0042509F"/>
    <w:rPr>
      <w:rFonts w:asciiTheme="majorHAnsi" w:eastAsiaTheme="majorEastAsia" w:hAnsiTheme="majorHAnsi" w:cstheme="majorBidi"/>
      <w:b/>
      <w:bCs/>
      <w:color w:val="2F5496" w:themeColor="accent1" w:themeShade="BF"/>
      <w:sz w:val="28"/>
      <w:szCs w:val="28"/>
      <w:lang w:val="ru-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D7"/>
    <w:pPr>
      <w:spacing w:line="256" w:lineRule="auto"/>
    </w:pPr>
    <w:rPr>
      <w:lang w:val="ru-UA"/>
    </w:rPr>
  </w:style>
  <w:style w:type="paragraph" w:styleId="1">
    <w:name w:val="heading 1"/>
    <w:basedOn w:val="a"/>
    <w:next w:val="a"/>
    <w:link w:val="10"/>
    <w:uiPriority w:val="9"/>
    <w:qFormat/>
    <w:rsid w:val="0042509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9114D7"/>
    <w:pPr>
      <w:keepNext/>
      <w:keepLines/>
      <w:spacing w:before="40" w:after="0" w:line="254" w:lineRule="auto"/>
      <w:outlineLvl w:val="2"/>
    </w:pPr>
    <w:rPr>
      <w:rFonts w:asciiTheme="majorHAnsi" w:eastAsiaTheme="majorEastAsia" w:hAnsiTheme="majorHAnsi" w:cstheme="majorBidi"/>
      <w:color w:val="1F3763" w:themeColor="accent1" w:themeShade="7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114D7"/>
    <w:rPr>
      <w:rFonts w:asciiTheme="majorHAnsi" w:eastAsiaTheme="majorEastAsia" w:hAnsiTheme="majorHAnsi" w:cstheme="majorBidi"/>
      <w:color w:val="1F3763" w:themeColor="accent1" w:themeShade="7F"/>
      <w:sz w:val="24"/>
      <w:szCs w:val="24"/>
    </w:rPr>
  </w:style>
  <w:style w:type="paragraph" w:styleId="a3">
    <w:name w:val="Block Text"/>
    <w:basedOn w:val="a"/>
    <w:semiHidden/>
    <w:unhideWhenUsed/>
    <w:rsid w:val="009114D7"/>
    <w:pPr>
      <w:spacing w:after="0" w:line="240" w:lineRule="auto"/>
      <w:ind w:left="851" w:right="-569"/>
    </w:pPr>
    <w:rPr>
      <w:rFonts w:ascii="Times New Roman" w:eastAsia="Times New Roman" w:hAnsi="Times New Roman" w:cs="Times New Roman"/>
      <w:sz w:val="24"/>
      <w:szCs w:val="20"/>
      <w:lang w:val="uk-UA" w:eastAsia="ru-RU"/>
    </w:rPr>
  </w:style>
  <w:style w:type="character" w:customStyle="1" w:styleId="2">
    <w:name w:val="Основной текст (2)_"/>
    <w:basedOn w:val="a0"/>
    <w:link w:val="20"/>
    <w:uiPriority w:val="99"/>
    <w:locked/>
    <w:rsid w:val="009114D7"/>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9114D7"/>
    <w:pPr>
      <w:widowControl w:val="0"/>
      <w:shd w:val="clear" w:color="auto" w:fill="FFFFFF"/>
      <w:spacing w:before="540" w:after="0" w:line="264" w:lineRule="exact"/>
    </w:pPr>
    <w:rPr>
      <w:rFonts w:ascii="Times New Roman" w:hAnsi="Times New Roman" w:cs="Times New Roman"/>
      <w:sz w:val="26"/>
      <w:szCs w:val="26"/>
      <w:lang w:val="uk-UA"/>
    </w:rPr>
  </w:style>
  <w:style w:type="paragraph" w:styleId="a4">
    <w:name w:val="Balloon Text"/>
    <w:basedOn w:val="a"/>
    <w:link w:val="a5"/>
    <w:uiPriority w:val="99"/>
    <w:semiHidden/>
    <w:unhideWhenUsed/>
    <w:rsid w:val="00425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09F"/>
    <w:rPr>
      <w:rFonts w:ascii="Tahoma" w:hAnsi="Tahoma" w:cs="Tahoma"/>
      <w:sz w:val="16"/>
      <w:szCs w:val="16"/>
      <w:lang w:val="ru-UA"/>
    </w:rPr>
  </w:style>
  <w:style w:type="character" w:customStyle="1" w:styleId="10">
    <w:name w:val="Заголовок 1 Знак"/>
    <w:basedOn w:val="a0"/>
    <w:link w:val="1"/>
    <w:uiPriority w:val="9"/>
    <w:rsid w:val="0042509F"/>
    <w:rPr>
      <w:rFonts w:asciiTheme="majorHAnsi" w:eastAsiaTheme="majorEastAsia" w:hAnsiTheme="majorHAnsi" w:cstheme="majorBidi"/>
      <w:b/>
      <w:bCs/>
      <w:color w:val="2F5496" w:themeColor="accent1" w:themeShade="BF"/>
      <w:sz w:val="28"/>
      <w:szCs w:val="28"/>
      <w:lang w:val="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456-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456-17" TargetMode="External"/><Relationship Id="rId5" Type="http://schemas.openxmlformats.org/officeDocument/2006/relationships/hyperlink" Target="https://zakon.rada.gov.ua/laws/show/2456-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5819</Words>
  <Characters>3318</Characters>
  <Application>Microsoft Office Word</Application>
  <DocSecurity>0</DocSecurity>
  <Lines>27</Lines>
  <Paragraphs>18</Paragraphs>
  <ScaleCrop>false</ScaleCrop>
  <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13</cp:revision>
  <cp:lastPrinted>2025-08-25T12:59:00Z</cp:lastPrinted>
  <dcterms:created xsi:type="dcterms:W3CDTF">2023-01-23T11:45:00Z</dcterms:created>
  <dcterms:modified xsi:type="dcterms:W3CDTF">2025-08-28T07:41:00Z</dcterms:modified>
</cp:coreProperties>
</file>