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66" w:rsidRDefault="003E6866" w:rsidP="00D375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3832BE" w:rsidRPr="003832BE" w:rsidRDefault="003832BE" w:rsidP="00D375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3832B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Інформація про виконання бюджету</w:t>
      </w:r>
    </w:p>
    <w:p w:rsidR="003832BE" w:rsidRPr="003832BE" w:rsidRDefault="003832BE" w:rsidP="003832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3832B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Кароліно-Бугазької сільської територіальної  громади</w:t>
      </w:r>
    </w:p>
    <w:p w:rsidR="003E6866" w:rsidRDefault="001A1A54" w:rsidP="003E686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3832B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за </w:t>
      </w:r>
      <w:r w:rsidR="00B95C6D" w:rsidRPr="00381422">
        <w:rPr>
          <w:rFonts w:ascii="Times New Roman" w:eastAsia="Calibri" w:hAnsi="Times New Roman" w:cs="Times New Roman"/>
          <w:b/>
          <w:bCs/>
          <w:color w:val="000099"/>
          <w:sz w:val="24"/>
          <w:szCs w:val="24"/>
          <w:lang w:val="uk-UA"/>
        </w:rPr>
        <w:t>січень</w:t>
      </w:r>
      <w:r w:rsidR="00B95C6D" w:rsidRPr="00B95C6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 w:rsidR="00B95C6D" w:rsidRPr="00B95C6D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2022</w:t>
      </w:r>
      <w:r w:rsidRPr="00B95C6D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 w:rsidRPr="003832B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року</w:t>
      </w:r>
    </w:p>
    <w:p w:rsidR="003E6866" w:rsidRPr="003832BE" w:rsidRDefault="003E6866" w:rsidP="003E686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381422" w:rsidRPr="00A531EB" w:rsidRDefault="00381422" w:rsidP="003814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таном за 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січень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2022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 до бюджету Кароліно-Бугазької сільської ТГ надійшли </w:t>
      </w:r>
      <w:r w:rsidR="00B310A7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6323,5</w:t>
      </w:r>
      <w:r w:rsidRPr="0038142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тис. грн., у тому числі до  загального фонду – </w:t>
      </w:r>
      <w:r w:rsidR="00B310A7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6186,6</w:t>
      </w:r>
      <w:r w:rsidRPr="000C47CC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тис. грн., до спеціального фонду </w:t>
      </w:r>
      <w:r w:rsidR="00B310A7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136,9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тис. грн..</w:t>
      </w:r>
    </w:p>
    <w:p w:rsidR="00381422" w:rsidRPr="00A531EB" w:rsidRDefault="00381422" w:rsidP="00381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 </w:t>
      </w: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ab/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Податків, зборів та інших доходів надійшло у сумі </w:t>
      </w:r>
      <w:r w:rsidR="00B310A7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5267,6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тис. грн., рівень виконання становить </w:t>
      </w:r>
      <w:r w:rsidR="00D3397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158,7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відсотків, понад план надійшло </w:t>
      </w:r>
      <w:r w:rsidR="00AE5530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1947,5</w:t>
      </w:r>
      <w:r w:rsidRPr="00AE5530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тис. грн. Міжбюджетні трансферти надійшли у сумі </w:t>
      </w:r>
      <w:r w:rsidR="00D3397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919,0</w:t>
      </w:r>
      <w:r w:rsidRPr="00A531EB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тис. грн., або виконані на </w:t>
      </w:r>
      <w:r w:rsidRPr="00D3397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100</w:t>
      </w: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відсотків.</w:t>
      </w:r>
    </w:p>
    <w:p w:rsidR="00381422" w:rsidRPr="00A531EB" w:rsidRDefault="00381422" w:rsidP="0038142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 розрізі найбільших податків надходження становлять:</w:t>
      </w:r>
    </w:p>
    <w:p w:rsidR="00381422" w:rsidRPr="00A531EB" w:rsidRDefault="00381422" w:rsidP="0038142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земельний податок – </w:t>
      </w:r>
      <w:r w:rsidR="00AE5530">
        <w:rPr>
          <w:rFonts w:ascii="Times New Roman" w:eastAsia="Times New Roman" w:hAnsi="Times New Roman" w:cs="Times New Roman"/>
          <w:color w:val="000099"/>
          <w:sz w:val="28"/>
          <w:szCs w:val="28"/>
          <w:lang w:val="uk-UA" w:eastAsia="ru-RU"/>
        </w:rPr>
        <w:t>1910,0</w:t>
      </w:r>
      <w:r w:rsidRPr="00381422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тис. грн.;</w:t>
      </w:r>
    </w:p>
    <w:p w:rsidR="00381422" w:rsidRPr="00A531EB" w:rsidRDefault="00381422" w:rsidP="0038142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 xml:space="preserve">орендна плата – </w:t>
      </w:r>
      <w:r w:rsidR="00AE5530">
        <w:rPr>
          <w:rFonts w:ascii="Times New Roman" w:eastAsia="Times New Roman" w:hAnsi="Times New Roman" w:cs="Times New Roman"/>
          <w:color w:val="000099"/>
          <w:sz w:val="28"/>
          <w:szCs w:val="28"/>
          <w:lang w:val="uk-UA" w:eastAsia="ru-RU"/>
        </w:rPr>
        <w:t>1003,0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тис. грн.;</w:t>
      </w:r>
    </w:p>
    <w:p w:rsidR="00381422" w:rsidRPr="00A531EB" w:rsidRDefault="00381422" w:rsidP="0038142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податок на доходи фізичних осіб – </w:t>
      </w:r>
      <w:r w:rsidR="00AE5530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945,8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тис. грн.;</w:t>
      </w:r>
    </w:p>
    <w:p w:rsidR="00381422" w:rsidRPr="00A531EB" w:rsidRDefault="00381422" w:rsidP="0038142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податок на нерухоме майно – </w:t>
      </w:r>
      <w:r w:rsidR="00AE5530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1021,6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тис. грн.;</w:t>
      </w:r>
    </w:p>
    <w:p w:rsidR="00381422" w:rsidRPr="00A531EB" w:rsidRDefault="00381422" w:rsidP="0038142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єдиний податок – </w:t>
      </w:r>
      <w:r w:rsidR="00AE5530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315,5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 </w:t>
      </w: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тис. грн.;</w:t>
      </w:r>
    </w:p>
    <w:p w:rsidR="00490DBA" w:rsidRPr="00490DBA" w:rsidRDefault="00381422" w:rsidP="00490DBA">
      <w:pPr>
        <w:pStyle w:val="a5"/>
        <w:numPr>
          <w:ilvl w:val="0"/>
          <w:numId w:val="2"/>
        </w:numPr>
        <w:shd w:val="clear" w:color="auto" w:fill="FFFFFF"/>
        <w:spacing w:line="240" w:lineRule="auto"/>
        <w:ind w:right="45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акцизний податок – </w:t>
      </w:r>
      <w:r w:rsidR="00AE5530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>47,2</w:t>
      </w:r>
      <w:r w:rsidRPr="00381422">
        <w:rPr>
          <w:rFonts w:ascii="Times New Roman" w:eastAsia="Times New Roman" w:hAnsi="Times New Roman" w:cs="Times New Roman"/>
          <w:color w:val="000099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531E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тис. грн.</w:t>
      </w:r>
    </w:p>
    <w:tbl>
      <w:tblPr>
        <w:tblW w:w="9215" w:type="dxa"/>
        <w:tblInd w:w="93" w:type="dxa"/>
        <w:tblLook w:val="04A0" w:firstRow="1" w:lastRow="0" w:firstColumn="1" w:lastColumn="0" w:noHBand="0" w:noVBand="1"/>
      </w:tblPr>
      <w:tblGrid>
        <w:gridCol w:w="4782"/>
        <w:gridCol w:w="1123"/>
        <w:gridCol w:w="1123"/>
        <w:gridCol w:w="1052"/>
        <w:gridCol w:w="1135"/>
      </w:tblGrid>
      <w:tr w:rsidR="00490DBA" w:rsidRPr="00490DBA" w:rsidTr="00490DBA">
        <w:trPr>
          <w:trHeight w:val="324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Інформація щодо надходжень податків і зборів за січень місяць 2022 року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90DBA" w:rsidRPr="00490DBA" w:rsidTr="00490DBA">
        <w:trPr>
          <w:trHeight w:val="324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Кароліно-Бугазької сільської ТГ    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490DBA" w:rsidRPr="00490DBA" w:rsidTr="00490DBA">
        <w:trPr>
          <w:trHeight w:val="324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(</w:t>
            </w:r>
            <w:proofErr w:type="spellStart"/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тис.грн</w:t>
            </w:r>
            <w:proofErr w:type="spellEnd"/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.)</w:t>
            </w:r>
          </w:p>
        </w:tc>
      </w:tr>
      <w:tr w:rsidR="00490DBA" w:rsidRPr="00490DBA" w:rsidTr="00490DBA">
        <w:trPr>
          <w:trHeight w:val="1140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Найменування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Уточнений річний план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Уточнений план на період (січень)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Фактично надійшло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  <w:t>% виконання до уточненого плану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Податок на доходи фізичних осіб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15 195,00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495,10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945,77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191,0%</w:t>
            </w:r>
          </w:p>
        </w:tc>
      </w:tr>
      <w:tr w:rsidR="00490DBA" w:rsidRPr="00490DBA" w:rsidTr="00490DBA">
        <w:trPr>
          <w:trHeight w:val="828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Рентна плата за користування надрами для видобування інших корисних копалин загальнодержавного значення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1,24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Пальне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900,00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</w:tr>
      <w:tr w:rsidR="00490DBA" w:rsidRPr="00490DBA" w:rsidTr="00490DBA">
        <w:trPr>
          <w:trHeight w:val="828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5 100,00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40,00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47,20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118,0%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Податок на нерухоме майно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10 675,00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520,00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1 021,61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196,5%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Земельний податок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23 200,00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1 520,00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1 909,95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125,7%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Орендна плата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15 400,00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1 002,96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167,2%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Туристичний збір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5 000,00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9,80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 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Єдиний податок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5 155,00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140,00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315,52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99"/>
                <w:lang w:val="uk-UA" w:eastAsia="uk-UA"/>
              </w:rPr>
              <w:t>225,4%</w:t>
            </w:r>
          </w:p>
        </w:tc>
      </w:tr>
      <w:tr w:rsidR="00490DBA" w:rsidRPr="00490DBA" w:rsidTr="00490DBA">
        <w:trPr>
          <w:trHeight w:val="828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Адміністративні штрафи та штрафні санкції за порушення законодавства у сфері виробництва та обігу алкогольних напоїв та тютюнових виробів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6,80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5,00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</w:tr>
      <w:tr w:rsidR="00490DBA" w:rsidRPr="00490DBA" w:rsidTr="00490DBA">
        <w:trPr>
          <w:trHeight w:val="552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Адміністративний збір за державну реєстрацію речових прав на нерухоме майно та їх обтяжень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30,00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</w:tr>
      <w:tr w:rsidR="00490DBA" w:rsidRPr="00490DBA" w:rsidTr="00490DBA">
        <w:trPr>
          <w:trHeight w:val="828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Надходження від орендної плати за користування майновим комплексом та іншим майном, що перебуває в комунальній власності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110,00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6,51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130,2%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Базова дотація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724,40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60,40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60,40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100,0%</w:t>
            </w:r>
          </w:p>
        </w:tc>
      </w:tr>
      <w:tr w:rsidR="00490DBA" w:rsidRPr="00490DBA" w:rsidTr="00490DBA">
        <w:trPr>
          <w:trHeight w:val="552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Освітня субвенція з державного бюджету місцевим бюджетам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11 150,20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858,60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858,60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lang w:val="uk-UA" w:eastAsia="uk-UA"/>
              </w:rPr>
              <w:t>100,0%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Усього (без врахування трансфертів)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80 770,00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3 320,10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5 267,63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158,7%</w:t>
            </w:r>
          </w:p>
        </w:tc>
      </w:tr>
      <w:tr w:rsidR="00490DBA" w:rsidRPr="00490DBA" w:rsidTr="00490DBA">
        <w:trPr>
          <w:trHeight w:val="276"/>
        </w:trPr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Усього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92 644,60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4 239,10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6 186,63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145,9%</w:t>
            </w:r>
          </w:p>
        </w:tc>
      </w:tr>
    </w:tbl>
    <w:p w:rsidR="00381422" w:rsidRDefault="00381422" w:rsidP="0038142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</w:p>
    <w:tbl>
      <w:tblPr>
        <w:tblW w:w="93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798"/>
        <w:gridCol w:w="1101"/>
        <w:gridCol w:w="1134"/>
        <w:gridCol w:w="1276"/>
        <w:gridCol w:w="1134"/>
      </w:tblGrid>
      <w:tr w:rsidR="00490DBA" w:rsidRPr="00490DBA" w:rsidTr="00490DBA">
        <w:trPr>
          <w:trHeight w:val="399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Інформація про виконання бюджету за видатками за січень місяць 2022 року</w:t>
            </w:r>
          </w:p>
        </w:tc>
      </w:tr>
      <w:tr w:rsidR="00490DBA" w:rsidRPr="00490DBA" w:rsidTr="00490DBA">
        <w:trPr>
          <w:trHeight w:val="264"/>
        </w:trPr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Загальний фонд</w:t>
            </w:r>
          </w:p>
        </w:tc>
      </w:tr>
      <w:tr w:rsidR="00490DBA" w:rsidRPr="00490DBA" w:rsidTr="00490DBA">
        <w:trPr>
          <w:trHeight w:val="24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90DBA" w:rsidRPr="00490DBA" w:rsidTr="00490DBA">
        <w:trPr>
          <w:trHeight w:val="279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Уточнений план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Профінансовано з початку року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% виконання до плану з початку року</w:t>
            </w:r>
          </w:p>
        </w:tc>
      </w:tr>
      <w:tr w:rsidR="00490DBA" w:rsidRPr="00490DBA" w:rsidTr="00490DBA">
        <w:trPr>
          <w:trHeight w:val="684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Річний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 початку року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490DBA" w:rsidRPr="00490DBA" w:rsidTr="00490DBA">
        <w:trPr>
          <w:trHeight w:val="37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Кароліно-Бугазька сільська рада Білгород-Дністровського району Одеської області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36 340,95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4 204,14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1 792,33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36,31 %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Державне управління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23 290,06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1 517,52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1 011,24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66,64 %</w:t>
            </w:r>
          </w:p>
        </w:tc>
      </w:tr>
      <w:tr w:rsidR="00490DBA" w:rsidRPr="00490DBA" w:rsidTr="00490DBA">
        <w:trPr>
          <w:trHeight w:val="7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0110150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23 290,06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1 517,52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1 011,24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66,64 %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16 759,76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886,65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79,67 %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3 687,15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195,06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154,95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79,43 %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621,15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143,15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110,87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77,45 %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39,03 %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водопостачання та водовідведення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2274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природного газу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Інші поточні видатки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72,47 %</w:t>
            </w:r>
          </w:p>
        </w:tc>
      </w:tr>
      <w:tr w:rsidR="00490DBA" w:rsidRPr="00490DBA" w:rsidTr="00490DBA">
        <w:trPr>
          <w:trHeight w:val="40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0112113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Первинна медична допомога населенню, що надається амбулаторно-поліклінічними закладами (відділеннями)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39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2610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39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0112146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Відшкодування вартості лікарських засобів для лікування окремих захворювань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48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2610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7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0112152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Інші програми та заходи у сфері охорони здоров’я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291,66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90,94 %</w:t>
            </w:r>
          </w:p>
        </w:tc>
      </w:tr>
      <w:tr w:rsidR="00490DBA" w:rsidRPr="00490DBA" w:rsidTr="00490DBA">
        <w:trPr>
          <w:trHeight w:val="39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2610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291,66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265,22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90,94 %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Соціальний захист та соціальне забезпечення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39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0113242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2730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Інші виплати населенню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Житлово-комунальне господарство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4 915,96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2 045,07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392,70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6,21 %</w:t>
            </w:r>
          </w:p>
        </w:tc>
      </w:tr>
      <w:tr w:rsidR="00490DBA" w:rsidRPr="00490DBA" w:rsidTr="00490DBA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0116020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3 687,11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816,22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12,02 %</w:t>
            </w:r>
          </w:p>
        </w:tc>
      </w:tr>
      <w:tr w:rsidR="00490DBA" w:rsidRPr="00490DBA" w:rsidTr="00490DBA">
        <w:trPr>
          <w:trHeight w:val="45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2610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3 687,11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816,22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363,85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12,02 %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0116030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Організація благоустрою населених пунктів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1 228,85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1 228,85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2,35 %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lastRenderedPageBreak/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100,00 %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Інша діяльність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1 534,93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62,97 %</w:t>
            </w:r>
          </w:p>
        </w:tc>
      </w:tr>
      <w:tr w:rsidR="00490DBA" w:rsidRPr="00490DBA" w:rsidTr="00490DBA">
        <w:trPr>
          <w:trHeight w:val="21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0118130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Забезпечення діяльності місцевої пожежної охорони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1 534,93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195,60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62,97 %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1 114,70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122,89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82,77 %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245,23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79,32 %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39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2275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інших енергоносіїв та інших комунальних послуг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58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Відділ освіти, культури, сім'ї, молоді та спорту Кароліно-Бугазької сільської ради Білгород-Дністровського району Одеської області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46 694,47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3 928,86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2 090,13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53,20 %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Державне управління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3 192,97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249,23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179,84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72,16 %</w:t>
            </w:r>
          </w:p>
        </w:tc>
      </w:tr>
      <w:tr w:rsidR="00490DBA" w:rsidRPr="00490DBA" w:rsidTr="00490DBA">
        <w:trPr>
          <w:trHeight w:val="37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0610160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3 192,97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249,23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179,84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72,16 %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2 190,27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146,93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146,83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99,93 %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481,86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99,97 %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352,83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2250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Видатки на відрядження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Інші поточні видатки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Освіта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40 183,36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3 412,05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1 786,92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52,37 %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0611010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Надання дошкільної освіти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9 954,21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848,43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374,04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44,09 %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4 961,18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385,43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307,66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79,82 %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1 091,46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78,29 %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365,04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Медикаменти та перев'язувальні матеріали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Продукти харчування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395,05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водопостачання та водовідведення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182,36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39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0611021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14 775,40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1 389,85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441,47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31,76 %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5 606,64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409,25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359,65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87,88 %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1 233,46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88,17 %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578,70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Медикаменти та перев'язувальні матеріали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Продукти харчування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4 340,61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482,29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986,82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2250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Видатки на відрядження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теплопостачання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1 110,48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158,64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водопостачання та водовідведення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404,04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2274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природного газу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2275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інших енергоносіїв та інших комунальних послуг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Інші поточні видатки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39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0611031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11 150,20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97,40 %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9 139,51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703,77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687,38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97,67 %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2 010,69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154,83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96,18 %</w:t>
            </w:r>
          </w:p>
        </w:tc>
      </w:tr>
      <w:tr w:rsidR="00490DBA" w:rsidRPr="00490DBA" w:rsidTr="00490DBA">
        <w:trPr>
          <w:trHeight w:val="399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0611080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Надання спеціалізованої освіти мистецькими школами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4 303,55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315,17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135,10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42,87 %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3 390,35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242,53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52,03 %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lastRenderedPageBreak/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745,88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16,71 %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водопостачання та водовідведення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2274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природного газу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Культура i мистецтво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3 318,15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267,58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123,38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46,11 %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0614030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Забезпечення діяльності бібліотек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57,44 %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71,60 %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71,60 %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39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0614060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iнших</w:t>
            </w:r>
            <w:proofErr w:type="spellEnd"/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клубних закладів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3 041,04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44,97 %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1 968,75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144,06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60,86 %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433,12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68,26 %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2272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водопостачання та водовідведення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40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Відділ фінансів Кароліно-Бугазької сільської ради Білгород-Дністровського району Одеської області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5 895,60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626,32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469,15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74,90 %</w:t>
            </w:r>
          </w:p>
        </w:tc>
      </w:tr>
      <w:tr w:rsidR="00490DBA" w:rsidRPr="00490DBA" w:rsidTr="00490DBA">
        <w:trPr>
          <w:trHeight w:val="24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0100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Державне управління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4 177,25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174,73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70,66 %</w:t>
            </w:r>
          </w:p>
        </w:tc>
      </w:tr>
      <w:tr w:rsidR="00490DBA" w:rsidRPr="00490DBA" w:rsidTr="00490DBA">
        <w:trPr>
          <w:trHeight w:val="37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3710160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4 177,25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174,73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70,66 %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2111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Заробітна плата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3 269,06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165,40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136,98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82,82 %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2120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Нарахування на оплату праці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719,19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82,82 %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Предмети, матеріали, обладнання та інвентар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2240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послуг (крім комунальних)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76,20 %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2273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електроенергії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2274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Оплата природного газу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8700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Резервний фонд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3718710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Резервний фонд місцевого бюджету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2800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Інші поточні видатки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9000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Нерозподілені видатки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0,00 %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9000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Міжбюджетні трансферти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1 518,35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294,41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81,25 %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3719770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Інші субвенції з місцевого бюджету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1 518,35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362,37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294,41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81,25 %</w:t>
            </w:r>
          </w:p>
        </w:tc>
      </w:tr>
      <w:tr w:rsidR="00490DBA" w:rsidRPr="00490DBA" w:rsidTr="00490DBA">
        <w:trPr>
          <w:trHeight w:val="26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2620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1 518,35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362,37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294,41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81,25 %</w:t>
            </w:r>
          </w:p>
        </w:tc>
      </w:tr>
      <w:tr w:rsidR="00490DBA" w:rsidRPr="00490DBA" w:rsidTr="00490DBA">
        <w:trPr>
          <w:trHeight w:val="2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ВСЬОГО: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88 931,03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8 759,32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4 351,61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BA" w:rsidRPr="00490DBA" w:rsidRDefault="00490DBA" w:rsidP="00490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90D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46,65 %</w:t>
            </w:r>
          </w:p>
        </w:tc>
      </w:tr>
    </w:tbl>
    <w:p w:rsidR="00490DBA" w:rsidRPr="00A531EB" w:rsidRDefault="00490DBA" w:rsidP="0038142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</w:p>
    <w:p w:rsidR="007648EC" w:rsidRPr="00580CBC" w:rsidRDefault="00490DBA" w:rsidP="00490D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580CBC">
        <w:rPr>
          <w:rFonts w:ascii="Times New Roman" w:hAnsi="Times New Roman" w:cs="Times New Roman"/>
          <w:sz w:val="24"/>
          <w:szCs w:val="24"/>
          <w:lang w:val="uk-UA"/>
        </w:rPr>
        <w:t>Начальник відділу фінансів</w:t>
      </w:r>
      <w:r w:rsidRPr="00580C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0C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0C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0C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0CB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80CBC">
        <w:rPr>
          <w:rFonts w:ascii="Times New Roman" w:hAnsi="Times New Roman" w:cs="Times New Roman"/>
          <w:sz w:val="24"/>
          <w:szCs w:val="24"/>
          <w:lang w:val="uk-UA"/>
        </w:rPr>
        <w:tab/>
        <w:t>Лариса ЛИСЬОНОК</w:t>
      </w:r>
    </w:p>
    <w:bookmarkEnd w:id="0"/>
    <w:p w:rsidR="00AE5530" w:rsidRDefault="00AE5530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5530" w:rsidRDefault="00AE5530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5530" w:rsidRDefault="00AE5530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5530" w:rsidRDefault="00AE5530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5530" w:rsidSect="00381422"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13" w:rsidRDefault="00BF1013" w:rsidP="00535B95">
      <w:pPr>
        <w:spacing w:after="0" w:line="240" w:lineRule="auto"/>
      </w:pPr>
      <w:r>
        <w:separator/>
      </w:r>
    </w:p>
  </w:endnote>
  <w:endnote w:type="continuationSeparator" w:id="0">
    <w:p w:rsidR="00BF1013" w:rsidRDefault="00BF1013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19496"/>
      <w:docPartObj>
        <w:docPartGallery w:val="Page Numbers (Bottom of Page)"/>
        <w:docPartUnique/>
      </w:docPartObj>
    </w:sdtPr>
    <w:sdtEndPr/>
    <w:sdtContent>
      <w:p w:rsidR="00535B95" w:rsidRDefault="00535B9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CBC">
          <w:rPr>
            <w:noProof/>
          </w:rPr>
          <w:t>4</w:t>
        </w:r>
        <w:r>
          <w:fldChar w:fldCharType="end"/>
        </w:r>
      </w:p>
    </w:sdtContent>
  </w:sdt>
  <w:p w:rsidR="00535B95" w:rsidRDefault="00535B9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13" w:rsidRDefault="00BF1013" w:rsidP="00535B95">
      <w:pPr>
        <w:spacing w:after="0" w:line="240" w:lineRule="auto"/>
      </w:pPr>
      <w:r>
        <w:separator/>
      </w:r>
    </w:p>
  </w:footnote>
  <w:footnote w:type="continuationSeparator" w:id="0">
    <w:p w:rsidR="00BF1013" w:rsidRDefault="00BF1013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DF4DC5"/>
    <w:multiLevelType w:val="hybridMultilevel"/>
    <w:tmpl w:val="925A2A60"/>
    <w:lvl w:ilvl="0" w:tplc="D5FCC62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16816"/>
    <w:rsid w:val="00034C56"/>
    <w:rsid w:val="000A366B"/>
    <w:rsid w:val="000B5936"/>
    <w:rsid w:val="000F4A0D"/>
    <w:rsid w:val="00150C31"/>
    <w:rsid w:val="00184185"/>
    <w:rsid w:val="00186061"/>
    <w:rsid w:val="001A1A54"/>
    <w:rsid w:val="001C572F"/>
    <w:rsid w:val="001D112D"/>
    <w:rsid w:val="0020618F"/>
    <w:rsid w:val="00206BB3"/>
    <w:rsid w:val="002739DF"/>
    <w:rsid w:val="00273BF8"/>
    <w:rsid w:val="002A18E5"/>
    <w:rsid w:val="002D1FF1"/>
    <w:rsid w:val="002E0B28"/>
    <w:rsid w:val="0032638F"/>
    <w:rsid w:val="00355132"/>
    <w:rsid w:val="003726C5"/>
    <w:rsid w:val="00381422"/>
    <w:rsid w:val="003832BE"/>
    <w:rsid w:val="003C463B"/>
    <w:rsid w:val="003C4A00"/>
    <w:rsid w:val="003E30B7"/>
    <w:rsid w:val="003E6866"/>
    <w:rsid w:val="003F595E"/>
    <w:rsid w:val="003F643D"/>
    <w:rsid w:val="00412CB2"/>
    <w:rsid w:val="00415CCB"/>
    <w:rsid w:val="00471849"/>
    <w:rsid w:val="00490DBA"/>
    <w:rsid w:val="004A4B57"/>
    <w:rsid w:val="004C4E64"/>
    <w:rsid w:val="004D21BF"/>
    <w:rsid w:val="004F3CBA"/>
    <w:rsid w:val="00535B95"/>
    <w:rsid w:val="00580CBC"/>
    <w:rsid w:val="00591F66"/>
    <w:rsid w:val="005F5086"/>
    <w:rsid w:val="0060595C"/>
    <w:rsid w:val="00641BA0"/>
    <w:rsid w:val="00644B03"/>
    <w:rsid w:val="006B57D3"/>
    <w:rsid w:val="006B748E"/>
    <w:rsid w:val="006C6742"/>
    <w:rsid w:val="006E1F09"/>
    <w:rsid w:val="006E4C88"/>
    <w:rsid w:val="006F2399"/>
    <w:rsid w:val="00720AB6"/>
    <w:rsid w:val="007337DA"/>
    <w:rsid w:val="007648EC"/>
    <w:rsid w:val="007708A3"/>
    <w:rsid w:val="00772377"/>
    <w:rsid w:val="0077703D"/>
    <w:rsid w:val="007A7970"/>
    <w:rsid w:val="00814CB6"/>
    <w:rsid w:val="00821C93"/>
    <w:rsid w:val="008B1868"/>
    <w:rsid w:val="008D4BC5"/>
    <w:rsid w:val="008F2ACF"/>
    <w:rsid w:val="00975351"/>
    <w:rsid w:val="00983FB1"/>
    <w:rsid w:val="009E11FF"/>
    <w:rsid w:val="00A05711"/>
    <w:rsid w:val="00A06E1B"/>
    <w:rsid w:val="00A0714A"/>
    <w:rsid w:val="00A4041D"/>
    <w:rsid w:val="00AD1148"/>
    <w:rsid w:val="00AD72F1"/>
    <w:rsid w:val="00AE5530"/>
    <w:rsid w:val="00B22FB7"/>
    <w:rsid w:val="00B310A7"/>
    <w:rsid w:val="00B32A5D"/>
    <w:rsid w:val="00B6208B"/>
    <w:rsid w:val="00B664B8"/>
    <w:rsid w:val="00B713DC"/>
    <w:rsid w:val="00B95C6D"/>
    <w:rsid w:val="00BA6472"/>
    <w:rsid w:val="00BB43AA"/>
    <w:rsid w:val="00BD4A08"/>
    <w:rsid w:val="00BF1013"/>
    <w:rsid w:val="00BF3D9C"/>
    <w:rsid w:val="00C12DAD"/>
    <w:rsid w:val="00C7262D"/>
    <w:rsid w:val="00C73808"/>
    <w:rsid w:val="00C87743"/>
    <w:rsid w:val="00CD3830"/>
    <w:rsid w:val="00D12B5E"/>
    <w:rsid w:val="00D33972"/>
    <w:rsid w:val="00D375F8"/>
    <w:rsid w:val="00D4253C"/>
    <w:rsid w:val="00D570CD"/>
    <w:rsid w:val="00D81E03"/>
    <w:rsid w:val="00DD7DA9"/>
    <w:rsid w:val="00DE07F2"/>
    <w:rsid w:val="00DF1ED0"/>
    <w:rsid w:val="00DF6589"/>
    <w:rsid w:val="00E053FC"/>
    <w:rsid w:val="00E4117F"/>
    <w:rsid w:val="00E85855"/>
    <w:rsid w:val="00EE5600"/>
    <w:rsid w:val="00F071EB"/>
    <w:rsid w:val="00F07BEC"/>
    <w:rsid w:val="00F26BF9"/>
    <w:rsid w:val="00F274C2"/>
    <w:rsid w:val="00F81F11"/>
    <w:rsid w:val="00F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B50E-DE25-4981-81BA-6EFA179A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1</Pages>
  <Words>6849</Words>
  <Characters>3905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69</cp:revision>
  <cp:lastPrinted>2024-04-24T13:33:00Z</cp:lastPrinted>
  <dcterms:created xsi:type="dcterms:W3CDTF">2021-04-07T07:13:00Z</dcterms:created>
  <dcterms:modified xsi:type="dcterms:W3CDTF">2026-03-23T12:08:00Z</dcterms:modified>
</cp:coreProperties>
</file>