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23" w:rsidRPr="00B5793E" w:rsidRDefault="00EC5C23" w:rsidP="002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Інформація 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5C23" w:rsidRPr="00B5793E" w:rsidRDefault="00EC5C23" w:rsidP="002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виконання бюджету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Кароліно-Бугазької сільської ТГ </w:t>
      </w:r>
    </w:p>
    <w:p w:rsidR="00EC5C23" w:rsidRPr="00B5793E" w:rsidRDefault="00EC5C23" w:rsidP="002D7B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 </w:t>
      </w:r>
      <w:r w:rsidR="00713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 півріччя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2023 року</w:t>
      </w:r>
    </w:p>
    <w:p w:rsidR="00EC5C23" w:rsidRDefault="00EC5C23" w:rsidP="002D7B79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  <w:t>ДОХОДИ</w:t>
      </w:r>
    </w:p>
    <w:p w:rsidR="00E179C2" w:rsidRPr="00B5793E" w:rsidRDefault="00E179C2" w:rsidP="002D7B79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</w:pPr>
    </w:p>
    <w:p w:rsidR="00AF2DF7" w:rsidRPr="00B5793E" w:rsidRDefault="00AF2DF7" w:rsidP="002D7B79">
      <w:pPr>
        <w:shd w:val="clear" w:color="auto" w:fill="FFFFFF"/>
        <w:tabs>
          <w:tab w:val="left" w:pos="720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За звітний період до </w:t>
      </w:r>
      <w:r w:rsidR="00AC340B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бюджету </w:t>
      </w:r>
      <w:r w:rsidR="00BC3E46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надійшло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(з врахуванням міжбюджетних трансфертів)  </w:t>
      </w:r>
      <w:r w:rsidR="00713F6D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35 070,6</w:t>
      </w:r>
      <w:r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грн.,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або </w:t>
      </w:r>
      <w:r w:rsidR="00713F6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94,3</w:t>
      </w:r>
      <w:r w:rsidR="00956D2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відсотки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плану звітного періоду – </w:t>
      </w:r>
      <w:r w:rsidR="00713F6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37 195,6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з них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доходи загального фонду складають</w:t>
      </w:r>
      <w:r w:rsidR="00B5793E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6C208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–</w:t>
      </w:r>
      <w:r w:rsidR="00534376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26 303,3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</w:t>
      </w:r>
      <w:r w:rsidRPr="00B5793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  <w:t xml:space="preserve">.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грн.,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або</w:t>
      </w:r>
      <w:r w:rsidR="008975A0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89,7</w:t>
      </w:r>
      <w:r w:rsidR="00956D2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відсотків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до планового завдання  </w:t>
      </w:r>
      <w:r w:rsidR="00713F6D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І півріччя</w:t>
      </w:r>
      <w:r w:rsidR="008975A0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2023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року – </w:t>
      </w:r>
      <w:r w:rsidR="00713F6D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29 307,5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</w:t>
      </w:r>
      <w:r w:rsid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офіційні трансферти  загального фонду – </w:t>
      </w:r>
      <w:r w:rsidR="00713F6D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7</w:t>
      </w:r>
      <w:r w:rsidR="00BE09EC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 790,3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 надходження до спеціального фонду (без трансфертів) складають  </w:t>
      </w:r>
      <w:r w:rsidR="00713F6D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977,0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(</w:t>
      </w:r>
      <w:r w:rsidR="00713F6D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713,1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відсотка до плану –</w:t>
      </w:r>
      <w:r w:rsid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137</w:t>
      </w:r>
      <w:r w:rsid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,0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тис.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грн.), офіційних трансфертів не надходило.</w:t>
      </w:r>
    </w:p>
    <w:p w:rsidR="00AF2DF7" w:rsidRPr="00B5793E" w:rsidRDefault="00AF2DF7" w:rsidP="002D7B79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line="240" w:lineRule="auto"/>
        <w:ind w:right="11" w:firstLine="709"/>
        <w:jc w:val="both"/>
        <w:rPr>
          <w:rFonts w:ascii="Times New Roman" w:eastAsia="Times New Roman" w:hAnsi="Times New Roman" w:cs="Times New Roman"/>
          <w:b/>
          <w:color w:val="FF0000"/>
          <w:spacing w:val="1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В складі міжбюджетних трансфертів загального фонду є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: освітня субвенція з державного бюджету місцевим бюджетам – </w:t>
      </w:r>
      <w:r w:rsid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5 450,6</w:t>
      </w:r>
      <w:r w:rsidRPr="00B5793E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(100 відсотків),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базова дотація – </w:t>
      </w:r>
      <w:r w:rsid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2 076,0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тис. грн. (100 відсотків),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</w:t>
      </w:r>
      <w:r w:rsid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18,7</w:t>
      </w:r>
      <w:r w:rsidRPr="00B5793E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 (100 відсотків)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, </w:t>
      </w:r>
      <w:r w:rsid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д</w:t>
      </w:r>
      <w:r w:rsidR="00956D2A" w:rsidRP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в сумі </w:t>
      </w:r>
      <w:r w:rsid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205,8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 та с</w:t>
      </w:r>
      <w:r w:rsidR="00713F6D" w:rsidRP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</w:r>
      <w:r w:rsidR="00956D2A" w:rsidRP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в сумі </w:t>
      </w:r>
      <w:r w:rsidR="00713F6D" w:rsidRP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39,2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тис. грн.</w:t>
      </w:r>
    </w:p>
    <w:p w:rsidR="00E179C2" w:rsidRPr="00E179C2" w:rsidRDefault="00AF2DF7" w:rsidP="00E179C2">
      <w:pPr>
        <w:keepNext/>
        <w:shd w:val="clear" w:color="auto" w:fill="FFFFFF"/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x-none" w:eastAsia="ru-RU"/>
        </w:rPr>
        <w:t>Загальний фонд</w:t>
      </w:r>
    </w:p>
    <w:p w:rsidR="00AF2DF7" w:rsidRPr="00B5793E" w:rsidRDefault="00AF2DF7" w:rsidP="002D7B79">
      <w:pPr>
        <w:shd w:val="clear" w:color="auto" w:fill="FFFFFF"/>
        <w:tabs>
          <w:tab w:val="left" w:pos="2880"/>
        </w:tabs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За  січень - </w:t>
      </w:r>
      <w:r w:rsidR="00713F6D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чер</w:t>
      </w:r>
      <w:r w:rsidR="00BE09E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в</w:t>
      </w:r>
      <w:r w:rsidR="00713F6D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ень</w:t>
      </w:r>
      <w:r w:rsidR="00AC340B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2023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року виконання доходів загального фонду </w:t>
      </w:r>
      <w:r w:rsidR="00AC340B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бюджету (з врахуванням трансфертів) забезпечено на </w:t>
      </w:r>
      <w:r w:rsidR="00BE09EC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34 093,6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грн.,  або </w:t>
      </w:r>
      <w:r w:rsidR="00BE09E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92,0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відсотка (план </w:t>
      </w:r>
      <w:r w:rsidRPr="00B5793E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BE09E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37 058,6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). Виконання плану по вла</w:t>
      </w:r>
      <w:r w:rsidR="006C208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сних та доходах забезпечено на </w:t>
      </w:r>
      <w:r w:rsidR="00BE09E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89,7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відсотка, при  завданні</w:t>
      </w:r>
      <w:r w:rsidR="006C208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BE09E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29 307,5</w:t>
      </w:r>
      <w:r w:rsidR="006C208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тис. грн., до бюджету надійшло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                          </w:t>
      </w:r>
      <w:r w:rsidR="00BE09EC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26 303,3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грн.,</w:t>
      </w:r>
      <w:r w:rsidRPr="00B5793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або на  </w:t>
      </w:r>
      <w:r w:rsidR="00BE09EC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3 004,2</w:t>
      </w:r>
      <w:r w:rsidR="00956D2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т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ис. грн.  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менше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 </w:t>
      </w:r>
      <w:r w:rsidR="00956D2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від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плану. </w:t>
      </w:r>
    </w:p>
    <w:p w:rsidR="00AF2DF7" w:rsidRPr="00B5793E" w:rsidRDefault="00AF2DF7" w:rsidP="002D7B79">
      <w:pPr>
        <w:shd w:val="clear" w:color="auto" w:fill="FFFFFF"/>
        <w:tabs>
          <w:tab w:val="left" w:pos="2880"/>
        </w:tabs>
        <w:spacing w:line="240" w:lineRule="auto"/>
        <w:ind w:left="7" w:right="14" w:firstLine="702"/>
        <w:jc w:val="both"/>
        <w:rPr>
          <w:rFonts w:ascii="Times New Roman" w:eastAsia="Times New Roman" w:hAnsi="Times New Roman" w:cs="Times New Roman"/>
          <w:color w:val="FF0000"/>
          <w:spacing w:val="-3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До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бюджету надійшло: </w:t>
      </w:r>
      <w:r w:rsidR="00BE09EC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8 518,7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тис. грн. податку на доходи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фізичних осіб</w:t>
      </w:r>
      <w:r w:rsidR="00AC340B" w:rsidRPr="00BB5EB3">
        <w:rPr>
          <w:sz w:val="26"/>
          <w:szCs w:val="26"/>
          <w:lang w:val="uk-UA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або </w:t>
      </w:r>
      <w:r w:rsidR="00BE09E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99,4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відсотка до плану звітного періоду, рентної плати за користування надрами – </w:t>
      </w:r>
      <w:r w:rsidR="00956D2A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2,2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акцизного податку</w:t>
      </w:r>
      <w:r w:rsidR="005361D2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– </w:t>
      </w:r>
      <w:r w:rsidR="00BE09E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804</w:t>
      </w:r>
      <w:r w:rsidR="005361D2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,0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  <w:r w:rsidR="00BB5EB3" w:rsidRPr="00BB5EB3">
        <w:rPr>
          <w:lang w:val="uk-UA"/>
        </w:rPr>
        <w:t xml:space="preserve"> </w:t>
      </w:r>
      <w:r w:rsidR="00BB5EB3"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або </w:t>
      </w:r>
      <w:r w:rsidR="00BE09E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292,4</w:t>
      </w:r>
      <w:r w:rsidR="00BB5EB3"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відсотка до плану звітного періоду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податку на нерухоме майно, відмінне від земельної ділянки – </w:t>
      </w:r>
      <w:r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BE09E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4 695,3</w:t>
      </w:r>
      <w:r w:rsidR="008A6ACA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грн., або </w:t>
      </w:r>
      <w:r w:rsidR="00BE09E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149,0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 відсотків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періоду, плати за землю – </w:t>
      </w:r>
      <w:r w:rsidR="00BE09E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uk-UA" w:eastAsia="ru-RU"/>
        </w:rPr>
        <w:t>11 044,1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або </w:t>
      </w:r>
      <w:r w:rsidR="00BE09E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68,4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відсотки,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туристичного збору – </w:t>
      </w:r>
      <w:r w:rsidR="00956D2A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2,8</w:t>
      </w:r>
      <w:r w:rsidR="0058571D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єдиного податку </w:t>
      </w:r>
      <w:r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– </w:t>
      </w:r>
      <w:r w:rsidR="00956D2A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 220,4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план виконаний на </w:t>
      </w:r>
      <w:r w:rsidR="002B7128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106,4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відсотка,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надходження від плати за надання інших адміністративних послуг – 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3,8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грн., надходження від орендної плати за користування майновим комплексом та іншим майном, що перебуває в комунальній власності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12</w:t>
      </w:r>
      <w:r w:rsidR="006E5265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,0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Pr="00B5793E">
        <w:rPr>
          <w:rFonts w:ascii="Times New Roman" w:eastAsia="Times New Roman" w:hAnsi="Times New Roman" w:cs="Times New Roman"/>
          <w:color w:val="FF0000"/>
          <w:spacing w:val="-3"/>
          <w:sz w:val="26"/>
          <w:szCs w:val="26"/>
          <w:lang w:val="uk-UA" w:eastAsia="ru-RU"/>
        </w:rPr>
        <w:t xml:space="preserve"> </w:t>
      </w:r>
    </w:p>
    <w:p w:rsidR="00AF2DF7" w:rsidRPr="003D092B" w:rsidRDefault="00AF2DF7" w:rsidP="002D7B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</w:pPr>
      <w:r w:rsidRPr="003D092B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>Спеціальний фонд</w:t>
      </w:r>
    </w:p>
    <w:p w:rsidR="00E179C2" w:rsidRPr="00AB76D5" w:rsidRDefault="00AF2DF7" w:rsidP="00AB76D5">
      <w:pPr>
        <w:shd w:val="clear" w:color="auto" w:fill="FFFFFF"/>
        <w:tabs>
          <w:tab w:val="left" w:pos="720"/>
          <w:tab w:val="left" w:pos="900"/>
        </w:tabs>
        <w:spacing w:line="240" w:lineRule="auto"/>
        <w:ind w:left="4" w:right="7" w:firstLine="705"/>
        <w:jc w:val="both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</w:pP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спеціального фонду </w:t>
      </w:r>
      <w:r w:rsidR="00AC340B"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бюджету надійшло </w:t>
      </w:r>
      <w:r w:rsidR="002B712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977,0</w:t>
      </w: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</w:t>
      </w:r>
      <w:r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доходів, або </w:t>
      </w:r>
      <w:r w:rsidR="002B7128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713,1</w:t>
      </w:r>
      <w:r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відсотка  до планових показників на період – </w:t>
      </w:r>
      <w:r w:rsidR="002B7128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137</w:t>
      </w:r>
      <w:r w:rsidR="00E9415A"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,0</w:t>
      </w:r>
      <w:r w:rsid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тис. грн</w:t>
      </w:r>
      <w:r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. </w:t>
      </w:r>
      <w:r w:rsidRPr="003D092B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Офіційних трансфертів не надходило.  Надходження  до спеціального фонду </w:t>
      </w:r>
      <w:r w:rsidR="00AC340B" w:rsidRPr="003D092B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сільського</w:t>
      </w:r>
      <w:r w:rsidRPr="003D092B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бюджету (без трансфертів) – це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: -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екологічний податок – 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2,8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, н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адходження від скидів забруднюючих речовин</w:t>
      </w:r>
      <w:r w:rsid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19,7</w:t>
      </w:r>
      <w:r w:rsidR="003D092B" w:rsidRPr="003D092B">
        <w:rPr>
          <w:lang w:val="uk-UA"/>
        </w:rPr>
        <w:t xml:space="preserve">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кошти від продажу земельних ділянок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lastRenderedPageBreak/>
        <w:t xml:space="preserve">несільськогосподарського призначення, що перебувають у комунальній власності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–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21</w:t>
      </w:r>
      <w:r w:rsidR="003D092B" w:rsidRPr="003D092B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0,0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інші неподаткові надходження – 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744,5</w:t>
      </w:r>
      <w:r w:rsidR="00AB76D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</w:p>
    <w:p w:rsidR="00AF2DF7" w:rsidRDefault="00AF2DF7" w:rsidP="002D7B79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378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</w:pPr>
      <w:r w:rsidRPr="0008349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ВИДАТКИ</w:t>
      </w:r>
    </w:p>
    <w:p w:rsidR="00E179C2" w:rsidRPr="00083498" w:rsidRDefault="00E179C2" w:rsidP="002D7B79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378"/>
        <w:jc w:val="center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</w:p>
    <w:p w:rsidR="00B5793E" w:rsidRPr="00083498" w:rsidRDefault="00AF2DF7" w:rsidP="002D7B7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Видаткова частина </w:t>
      </w:r>
      <w:r w:rsidR="00AC340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бюджету за </w:t>
      </w:r>
      <w:r w:rsidR="00713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 півріччя</w:t>
      </w:r>
      <w:r w:rsidR="003D092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2023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виконана в обсязі </w:t>
      </w:r>
      <w:r w:rsidRPr="000834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36 294,4</w:t>
      </w:r>
      <w:r w:rsidR="0003090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3D092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42,3</w:t>
      </w:r>
      <w:r w:rsidR="003D092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 від планових призначень на період – 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85 873,4 </w:t>
      </w:r>
      <w:proofErr w:type="spellStart"/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</w:t>
      </w:r>
      <w:r w:rsidR="003D092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грн</w:t>
      </w:r>
      <w:proofErr w:type="spellEnd"/>
      <w:r w:rsidR="003D092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.),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тому числі по загальному фонду –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35 461,9</w:t>
      </w:r>
      <w:r w:rsidR="00390A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 грн.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 спеціальному –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832,5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</w:t>
      </w:r>
    </w:p>
    <w:p w:rsidR="00AF2DF7" w:rsidRPr="00083498" w:rsidRDefault="00AF2DF7" w:rsidP="002D7B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3498">
        <w:rPr>
          <w:rFonts w:ascii="Times New Roman" w:eastAsia="MS Mincho" w:hAnsi="Times New Roman" w:cs="Times New Roman"/>
          <w:b/>
          <w:bCs/>
          <w:sz w:val="26"/>
          <w:szCs w:val="26"/>
          <w:lang w:val="uk-UA" w:eastAsia="ru-RU"/>
        </w:rPr>
        <w:t>Загальний  фонд</w:t>
      </w:r>
    </w:p>
    <w:p w:rsidR="00AF2DF7" w:rsidRDefault="00AF2DF7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 загальному фонду  </w:t>
      </w:r>
      <w:r w:rsidR="00AC340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бюджету за звітний період  викона</w:t>
      </w:r>
      <w:r w:rsidR="00390A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ння видаткової частини складає </w:t>
      </w:r>
      <w:r w:rsidR="004D7F42" w:rsidRP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35 461,9 </w:t>
      </w:r>
      <w:r w:rsidRPr="000309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ис. грн., що становить 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43,8</w:t>
      </w:r>
      <w:r w:rsidR="00734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відсотки від планових призначень – 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80 906,8</w:t>
      </w:r>
      <w:r w:rsidR="00B5793E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</w:t>
      </w:r>
    </w:p>
    <w:p w:rsidR="00390AFF" w:rsidRPr="00083498" w:rsidRDefault="00390AFF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F2DF7" w:rsidRDefault="00AF2DF7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Із загального обсягу використаних коштів </w:t>
      </w:r>
      <w:r w:rsidR="00AC340B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бюджету за січень - </w:t>
      </w:r>
      <w:r w:rsidR="00713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</w:t>
      </w:r>
      <w:r w:rsidR="00956D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вень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2023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на утримання органів місцевого самоврядування спрямовано 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10 145,4</w:t>
      </w:r>
      <w:r w:rsidRPr="000834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тис. грн., що становить 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56,1</w:t>
      </w:r>
      <w:r w:rsidR="00734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відсотки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 плану, установ і закладів освіти –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12 435,</w:t>
      </w:r>
      <w:r w:rsidR="00734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</w:t>
      </w:r>
      <w:r w:rsidR="00ED5E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75,7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відсотки), охорони здоров’я – 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2 267,2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68,3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відсотки), 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оціальн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захист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соціальне забезпечення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1 319,7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50,7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відсотки),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культури та мистецтва –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525,6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31,4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відсотки), житлово-комунального господарства –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7 794,0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21,9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відсотка), </w:t>
      </w:r>
      <w:r w:rsidR="00083498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інші видатки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1 188,4</w:t>
      </w:r>
      <w:r w:rsidR="00083498" w:rsidRPr="000834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тис. грн. 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44,3</w:t>
      </w:r>
      <w:r w:rsidR="00734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</w:t>
      </w:r>
      <w:r w:rsid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C641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міжбюджетні трансферти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618,6</w:t>
      </w:r>
      <w:r w:rsidR="00734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34E44" w:rsidRPr="000834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66,9</w:t>
      </w:r>
      <w:r w:rsidR="00734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відсотки),</w:t>
      </w:r>
    </w:p>
    <w:p w:rsidR="00CC745A" w:rsidRPr="00B5793E" w:rsidRDefault="00CC745A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AF2DF7" w:rsidRPr="00B5793E" w:rsidRDefault="00AF2DF7" w:rsidP="002D7B7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захищені та першочергові статті</w:t>
      </w:r>
      <w:r w:rsidR="00CC74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</w:t>
      </w:r>
      <w:r w:rsidR="00713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6 місяців </w:t>
      </w:r>
      <w:r w:rsidR="00083498"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поточного року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спрямовано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21 486,8</w:t>
      </w:r>
      <w:r w:rsidR="00C8776C"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тис. грн., що становить 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60,6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відсотки від проведених </w:t>
      </w:r>
      <w:r w:rsidR="00CC74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звітний період </w:t>
      </w:r>
      <w:r w:rsidR="00CC745A" w:rsidRPr="00CC74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касових 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видатків </w:t>
      </w:r>
      <w:r w:rsidR="00CC74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загального фонду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На виплату заробітної  плати з нарахуваннями спрямовано 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19 577,2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55,2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% від загального обсягу видатків</w:t>
      </w:r>
      <w:r w:rsidR="00CC74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загального фонду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на продукти харчування – </w:t>
      </w:r>
      <w:r w:rsidR="00CB63B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368,9</w:t>
      </w:r>
      <w:r w:rsidR="00EC2F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(1,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%), оплату комунальних послуг та інших енергоносіїв –</w:t>
      </w:r>
      <w:r w:rsidR="00EC2F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7F4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1 540,7</w:t>
      </w:r>
      <w:r w:rsidR="00EC2F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(</w:t>
      </w:r>
      <w:r w:rsidR="004D7F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4,3</w:t>
      </w:r>
      <w:r w:rsidR="00C8776C" w:rsidRPr="00C877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%).</w:t>
      </w:r>
    </w:p>
    <w:p w:rsidR="00EC5C23" w:rsidRPr="00C8776C" w:rsidRDefault="00C70A1C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C8776C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   </w:t>
      </w:r>
      <w:r w:rsidR="00EC5C23" w:rsidRPr="00C8776C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                                   </w:t>
      </w:r>
    </w:p>
    <w:p w:rsidR="007648EC" w:rsidRPr="00B5793E" w:rsidRDefault="007648EC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5936" w:rsidRPr="00B5793E" w:rsidRDefault="007648EC" w:rsidP="002D7B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93E"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="00A46D22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>Відділу фінансів</w:t>
      </w:r>
      <w:bookmarkStart w:id="0" w:name="_GoBack"/>
      <w:bookmarkEnd w:id="0"/>
    </w:p>
    <w:p w:rsidR="007648EC" w:rsidRPr="00B5793E" w:rsidRDefault="007648EC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93E">
        <w:rPr>
          <w:rFonts w:ascii="Times New Roman" w:hAnsi="Times New Roman" w:cs="Times New Roman"/>
          <w:sz w:val="26"/>
          <w:szCs w:val="26"/>
          <w:lang w:val="uk-UA"/>
        </w:rPr>
        <w:t>Кароліно-Бугазької сільської ради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F206B"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F206B"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75351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61C0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0B5936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>Лариса ЛИСЬОНОК</w:t>
      </w:r>
    </w:p>
    <w:sectPr w:rsidR="007648EC" w:rsidRPr="00B5793E" w:rsidSect="007A73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C4" w:rsidRDefault="00584FC4" w:rsidP="00535B95">
      <w:pPr>
        <w:spacing w:after="0" w:line="240" w:lineRule="auto"/>
      </w:pPr>
      <w:r>
        <w:separator/>
      </w:r>
    </w:p>
  </w:endnote>
  <w:endnote w:type="continuationSeparator" w:id="0">
    <w:p w:rsidR="00584FC4" w:rsidRDefault="00584FC4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8937C9" w:rsidRDefault="008937C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B4">
          <w:rPr>
            <w:noProof/>
          </w:rPr>
          <w:t>1</w:t>
        </w:r>
        <w:r>
          <w:fldChar w:fldCharType="end"/>
        </w:r>
      </w:p>
    </w:sdtContent>
  </w:sdt>
  <w:p w:rsidR="008937C9" w:rsidRDefault="008937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C4" w:rsidRDefault="00584FC4" w:rsidP="00535B95">
      <w:pPr>
        <w:spacing w:after="0" w:line="240" w:lineRule="auto"/>
      </w:pPr>
      <w:r>
        <w:separator/>
      </w:r>
    </w:p>
  </w:footnote>
  <w:footnote w:type="continuationSeparator" w:id="0">
    <w:p w:rsidR="00584FC4" w:rsidRDefault="00584FC4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16816"/>
    <w:rsid w:val="00030903"/>
    <w:rsid w:val="00034C56"/>
    <w:rsid w:val="00066686"/>
    <w:rsid w:val="00083498"/>
    <w:rsid w:val="000A366B"/>
    <w:rsid w:val="000A7C07"/>
    <w:rsid w:val="000B5936"/>
    <w:rsid w:val="000B7A98"/>
    <w:rsid w:val="000D1702"/>
    <w:rsid w:val="000E27F4"/>
    <w:rsid w:val="000F4A0D"/>
    <w:rsid w:val="00106488"/>
    <w:rsid w:val="00146ABD"/>
    <w:rsid w:val="00150C31"/>
    <w:rsid w:val="0016290C"/>
    <w:rsid w:val="001710BF"/>
    <w:rsid w:val="00184185"/>
    <w:rsid w:val="00186061"/>
    <w:rsid w:val="001A1A54"/>
    <w:rsid w:val="001C1A2B"/>
    <w:rsid w:val="001C572F"/>
    <w:rsid w:val="001D112D"/>
    <w:rsid w:val="001E6513"/>
    <w:rsid w:val="00206BB3"/>
    <w:rsid w:val="002515AD"/>
    <w:rsid w:val="002739DF"/>
    <w:rsid w:val="00273BF8"/>
    <w:rsid w:val="002B7128"/>
    <w:rsid w:val="002D1FF1"/>
    <w:rsid w:val="002D7B79"/>
    <w:rsid w:val="002E0B28"/>
    <w:rsid w:val="002E6411"/>
    <w:rsid w:val="0032638F"/>
    <w:rsid w:val="003321C1"/>
    <w:rsid w:val="00336FA6"/>
    <w:rsid w:val="00355132"/>
    <w:rsid w:val="00355F32"/>
    <w:rsid w:val="00357C21"/>
    <w:rsid w:val="003726C5"/>
    <w:rsid w:val="003832BE"/>
    <w:rsid w:val="00390AFF"/>
    <w:rsid w:val="003C463B"/>
    <w:rsid w:val="003C4A00"/>
    <w:rsid w:val="003D092B"/>
    <w:rsid w:val="003E6866"/>
    <w:rsid w:val="003F643D"/>
    <w:rsid w:val="00412CB2"/>
    <w:rsid w:val="00415CCB"/>
    <w:rsid w:val="004345AE"/>
    <w:rsid w:val="004A0ADA"/>
    <w:rsid w:val="004A4B57"/>
    <w:rsid w:val="004C4E64"/>
    <w:rsid w:val="004D21BF"/>
    <w:rsid w:val="004D7F42"/>
    <w:rsid w:val="004F3CBA"/>
    <w:rsid w:val="00534376"/>
    <w:rsid w:val="00535B95"/>
    <w:rsid w:val="005361D2"/>
    <w:rsid w:val="00584FC4"/>
    <w:rsid w:val="0058571D"/>
    <w:rsid w:val="00591F66"/>
    <w:rsid w:val="005F5086"/>
    <w:rsid w:val="0060595C"/>
    <w:rsid w:val="006261C0"/>
    <w:rsid w:val="00641BA0"/>
    <w:rsid w:val="00644B03"/>
    <w:rsid w:val="006A3EB4"/>
    <w:rsid w:val="006B57D3"/>
    <w:rsid w:val="006C2081"/>
    <w:rsid w:val="006C6742"/>
    <w:rsid w:val="006E1F09"/>
    <w:rsid w:val="006E4C88"/>
    <w:rsid w:val="006E5265"/>
    <w:rsid w:val="006F2399"/>
    <w:rsid w:val="00701D1D"/>
    <w:rsid w:val="00713F6D"/>
    <w:rsid w:val="00714FBB"/>
    <w:rsid w:val="00720AB6"/>
    <w:rsid w:val="007337DA"/>
    <w:rsid w:val="00734E44"/>
    <w:rsid w:val="0075077A"/>
    <w:rsid w:val="007648EC"/>
    <w:rsid w:val="007708A3"/>
    <w:rsid w:val="007A53AF"/>
    <w:rsid w:val="007A734E"/>
    <w:rsid w:val="00802B48"/>
    <w:rsid w:val="00814CB6"/>
    <w:rsid w:val="00821C93"/>
    <w:rsid w:val="00854899"/>
    <w:rsid w:val="008937C9"/>
    <w:rsid w:val="008975A0"/>
    <w:rsid w:val="008A6ACA"/>
    <w:rsid w:val="008B6FF5"/>
    <w:rsid w:val="008D4BC5"/>
    <w:rsid w:val="008F2ACF"/>
    <w:rsid w:val="00956D2A"/>
    <w:rsid w:val="00971BDF"/>
    <w:rsid w:val="00975351"/>
    <w:rsid w:val="0098471C"/>
    <w:rsid w:val="009D2718"/>
    <w:rsid w:val="009E11FF"/>
    <w:rsid w:val="009F206B"/>
    <w:rsid w:val="00A05711"/>
    <w:rsid w:val="00A06E1B"/>
    <w:rsid w:val="00A0714A"/>
    <w:rsid w:val="00A35A07"/>
    <w:rsid w:val="00A4041D"/>
    <w:rsid w:val="00A46D22"/>
    <w:rsid w:val="00A77734"/>
    <w:rsid w:val="00AB3F3D"/>
    <w:rsid w:val="00AB76D5"/>
    <w:rsid w:val="00AC340B"/>
    <w:rsid w:val="00AD1148"/>
    <w:rsid w:val="00AD72F1"/>
    <w:rsid w:val="00AE1422"/>
    <w:rsid w:val="00AF2DF7"/>
    <w:rsid w:val="00B102DC"/>
    <w:rsid w:val="00B22FB7"/>
    <w:rsid w:val="00B32A5D"/>
    <w:rsid w:val="00B36559"/>
    <w:rsid w:val="00B5793E"/>
    <w:rsid w:val="00B6208B"/>
    <w:rsid w:val="00B664B8"/>
    <w:rsid w:val="00B674F5"/>
    <w:rsid w:val="00B713DC"/>
    <w:rsid w:val="00BA6472"/>
    <w:rsid w:val="00BB43AA"/>
    <w:rsid w:val="00BB5EB3"/>
    <w:rsid w:val="00BC3E46"/>
    <w:rsid w:val="00BD4A08"/>
    <w:rsid w:val="00BE09EC"/>
    <w:rsid w:val="00BF3D9C"/>
    <w:rsid w:val="00C411D2"/>
    <w:rsid w:val="00C64179"/>
    <w:rsid w:val="00C70A1C"/>
    <w:rsid w:val="00C7262D"/>
    <w:rsid w:val="00C73808"/>
    <w:rsid w:val="00C87743"/>
    <w:rsid w:val="00C8776C"/>
    <w:rsid w:val="00C946E2"/>
    <w:rsid w:val="00CB63B4"/>
    <w:rsid w:val="00CC745A"/>
    <w:rsid w:val="00CD3830"/>
    <w:rsid w:val="00CF7F5C"/>
    <w:rsid w:val="00D12B5E"/>
    <w:rsid w:val="00D375F8"/>
    <w:rsid w:val="00D4253C"/>
    <w:rsid w:val="00D570CD"/>
    <w:rsid w:val="00D77172"/>
    <w:rsid w:val="00D81E03"/>
    <w:rsid w:val="00D91DF4"/>
    <w:rsid w:val="00DD7DA9"/>
    <w:rsid w:val="00DE07F2"/>
    <w:rsid w:val="00DF1ED0"/>
    <w:rsid w:val="00DF6589"/>
    <w:rsid w:val="00E053FC"/>
    <w:rsid w:val="00E179C2"/>
    <w:rsid w:val="00E4045C"/>
    <w:rsid w:val="00E4117F"/>
    <w:rsid w:val="00E71F6C"/>
    <w:rsid w:val="00E85855"/>
    <w:rsid w:val="00E86FE5"/>
    <w:rsid w:val="00E9415A"/>
    <w:rsid w:val="00E9598B"/>
    <w:rsid w:val="00EC2FBC"/>
    <w:rsid w:val="00EC5C23"/>
    <w:rsid w:val="00ED5EFA"/>
    <w:rsid w:val="00F07BEC"/>
    <w:rsid w:val="00F274C2"/>
    <w:rsid w:val="00F81F11"/>
    <w:rsid w:val="00FA1582"/>
    <w:rsid w:val="00FC3C72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01F3-05E4-48A2-A4E0-7C1BFD8A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3207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cp:lastPrinted>2023-06-21T07:16:00Z</cp:lastPrinted>
  <dcterms:created xsi:type="dcterms:W3CDTF">2022-12-15T06:51:00Z</dcterms:created>
  <dcterms:modified xsi:type="dcterms:W3CDTF">2023-07-11T12:13:00Z</dcterms:modified>
</cp:coreProperties>
</file>