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F469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697D" w:rsidRDefault="004050E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b/>
              </w:rPr>
              <w:t>3700000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r>
              <w:t xml:space="preserve">Відділ фінансів Кароліно-Бугазької сільської ради Білгород-Дністровського району Одеської </w:t>
            </w: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b/>
              </w:rPr>
              <w:t>3710000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r>
              <w:t xml:space="preserve">Відділ фінансів Кароліно-Бугазької сільської ради Білгород-Дністровського району 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b/>
              </w:rPr>
              <w:t>3710160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t xml:space="preserve">  0111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  <w:jc w:val="both"/>
            </w:pPr>
            <w: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r>
              <w:t>4. Мета бюджетної програми:</w:t>
            </w: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t>Керівництво і управління у відповідній сфері</w:t>
            </w: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697D" w:rsidRDefault="004050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5 333 540,00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5 333 540,00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-387 021,50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-387 021,50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5 333 540,00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5 333 540,00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-387 021,50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-387 021,50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від 25 грудня 2024 року №851-VIII «Про місцевий бюджет Кароліно-Бугазької сільської територіальної громади на 2025 рік», рішення від 25 вересня 2025 року №988-VII</w:t>
            </w:r>
            <w:r>
              <w:rPr>
                <w:rFonts w:ascii="Arial" w:eastAsia="Arial" w:hAnsi="Arial" w:cs="Arial"/>
                <w:sz w:val="14"/>
              </w:rPr>
              <w:t>I Про внесення змін до рішення сільської ради від 25 грудня 2024 року №851-VIII «Про місцевий бюджет Кароліно-Бугазької сільської територіальної громади на 2025 рік»  Відхилення касових видатків від планових показників за загальним фондом у сумі 387,0 тис.</w:t>
            </w:r>
            <w:r>
              <w:rPr>
                <w:rFonts w:ascii="Arial" w:eastAsia="Arial" w:hAnsi="Arial" w:cs="Arial"/>
                <w:sz w:val="14"/>
              </w:rPr>
              <w:t xml:space="preserve"> грн. пояснюються залишками невикористаних бюджетних асигнувань, що утворились у апараті управління, зокрема за: КЕКВ 2111 Заробітна плату на 53,4 тис. грн. та КЕКВ 2120 Нарахування на оплату праці на 9,7 тис. грн. за рахунок тимчасово відсутнього працівни</w:t>
            </w:r>
            <w:r>
              <w:rPr>
                <w:rFonts w:ascii="Arial" w:eastAsia="Arial" w:hAnsi="Arial" w:cs="Arial"/>
                <w:sz w:val="14"/>
              </w:rPr>
              <w:t xml:space="preserve">ка; КЕКВ 2210 Предмети, матеріали, обладнання та інвентар на 66,4 тис. грн. за рахунок зменшення потреби; КЕКВ 2240 Оплата послуг (крім комунальних) за рахунок уточнення потреби на закупівлю юридичних послуг та інших послуг на 257,6 тис. грн. 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697D" w:rsidRDefault="004050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матеріально-технічне забезпечення (предмети, матеріали, обладнання та інвентар)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38 645,00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38 645,00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-66 355,00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-66 355,00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потреби;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комунальні послуги та енергоносії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44 467,13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44 467,13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-32,87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-32,87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видатки, які не мають постійного характеру в бюджетних періодах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358 500,00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358 500,00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100 897,20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100 897,20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-257 602,80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-257 602,80</w:t>
            </w: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4697D" w:rsidRDefault="00F4697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 рахунок уточнення потреби на закупівлю юридичних та інших послуг 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оплату праці і нарахування на заробітну плату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4 825 540,00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4 825 540,00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4 762 509,13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4 762 509,13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-63 030,87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-63 030,87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Протягом звітного періоду була наявна вакантна посада.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листів, звернень тощо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529,00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листів, звернень проти запланованих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-10,00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прийнятих нормативно-правових актів проти розроблених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виданих розпорядчих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284,00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284,00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розпорядчих актів, у тому числі за рахунок збільшення звернень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 тощо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132,71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132,71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75,57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75,57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листів, звернень проти запланованих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603 192,50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603 192,50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595 313,64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595 313,64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-7 878,86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-7 878,86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Протягом звітного періоду була наявна вакантна посада.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5 562,50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5 562,50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5 558,39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5 558,39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-4,11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-4,11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13 125,00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13 125,00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4 832,60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4 832,60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-8 292,40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-8 292,40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потреби;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44 812,50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44 812,50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12 612,15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12 612,15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-32 200,35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-32 200,35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 рахунок уточнення потреби на закупівлю юридичних та інших послуг 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-8,57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-8,57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прийнятих нормативно-правових актів проти розроблених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77,14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29,86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29,86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Збільшилась кількість розпорядчих актів, у тому числі за рахунок збільшення звернень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697D" w:rsidRDefault="004050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4 117 504,98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4 117 504,98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120,13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120,13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виконання наданих законодавством повноважень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4 117 504,98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4 117 504,98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4 946 518,50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120,13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b/>
                <w:sz w:val="12"/>
              </w:rPr>
              <w:t>120,13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Відхилення касових видатків від планових показників за загальним фондом у сумі 2517,5 тис. грн. пояснюються залишками невикористаних бюджетних асигнувань, що утворились у апараті сільської ради, зокрема за:КЕКВ 2111 та 2120 за рахунок наявних вакантних пос</w:t>
            </w:r>
            <w:r>
              <w:rPr>
                <w:rFonts w:ascii="Arial" w:eastAsia="Arial" w:hAnsi="Arial" w:cs="Arial"/>
                <w:sz w:val="14"/>
              </w:rPr>
              <w:t>ад протягом усього звітного періоду; КЕКВ 2270 за рахунок зменшення обсягів споживання енергоносіїв та комунальних послуг; КЕКВ 5000 За результатами проведених тендерних процедур та укладених договорів; уточнення потреби на закупівлю окремих товарів та пос</w:t>
            </w:r>
            <w:r>
              <w:rPr>
                <w:rFonts w:ascii="Arial" w:eastAsia="Arial" w:hAnsi="Arial" w:cs="Arial"/>
                <w:sz w:val="14"/>
              </w:rPr>
              <w:t xml:space="preserve">луг 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матеріально-технічне забезпечення (предмети, матеріали, обладнання та інвентар)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62 470,00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62 470,00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38 645,00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38 645,00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61,86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61,86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комунальні послуги та енергоносії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10 554,00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44 467,13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44 467,13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421,33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421,33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видатки, які не мають постійного характеру в бюджетних періодах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263 402,20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263 402,20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100 897,20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100 897,20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38,31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38,31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оплату праці і нарахування на заробітну плату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3 781 078,78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3 781 078,78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4 762 509,13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4 762 509,13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125,96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125,96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довідок про внесення змін до розпису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листів, звернень тощо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929,00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448,79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448,79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місцевих / цільових програм, що реалізуються на території громади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прийнятих нормативно-правових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98,00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51,02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51,02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виданих розпорядчих актів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824,00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181,50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181,50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4697D" w:rsidRDefault="00F4697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підготовлених довідок про внесення змін до розпису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виконаних листів, звернень, заяв тощо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29,57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29,57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132,71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132,71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448,80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448,80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472 634,85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472 634,85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595 313,64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595 313,64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125,96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125,96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8 000,00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5 558,39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5 558,39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69,48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69,48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7 808,75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7 808,75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4 832,60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4 832,60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61,89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61,89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37 628,88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37 628,88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12 612,15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12 612,15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33,52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33,52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розроблених з прийнятих нормативно-правових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виданих розпорядчих актів на одного працівника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64,85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165,00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697D" w:rsidRDefault="004050E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697D" w:rsidRDefault="004050E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F4697D">
            <w:pPr>
              <w:ind w:right="60"/>
              <w:jc w:val="right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 xml:space="preserve">аналіз стану ефективності програми свідчить про те, що керівництвом  в повному обсязі забезпечується  виконання завдань, реалізацію повноважень, визначених законодавством, в повному обсязі,  відповідно до головної мети діяльності за бюджетною програмою по </w:t>
            </w:r>
            <w:r>
              <w:t>КПКВК 3710160.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>Висока ефективність програми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>виконання бюджетної програми свідчить про забезпечення виконання мети, цілей і завдань, які підпорядковуються Відділу фінансів Кароліно-Бугазької сільської ради.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697D" w:rsidRDefault="004050EC">
            <w:r>
              <w:t xml:space="preserve">бюджетна програма і надалі повинна виконувати  свої цілі і  завдання. 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697D" w:rsidRDefault="004050E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4697D" w:rsidRDefault="004050EC">
            <w:r>
              <w:t>Тетяна СТОЯНОВА</w:t>
            </w: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  <w:tr w:rsidR="00F4697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5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260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697D" w:rsidRDefault="004050E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840" w:type="dxa"/>
          </w:tcPr>
          <w:p w:rsidR="00F4697D" w:rsidRDefault="00F4697D">
            <w:pPr>
              <w:pStyle w:val="EMPTYCELLSTYLE"/>
            </w:pPr>
          </w:p>
        </w:tc>
        <w:tc>
          <w:tcPr>
            <w:tcW w:w="400" w:type="dxa"/>
          </w:tcPr>
          <w:p w:rsidR="00F4697D" w:rsidRDefault="00F4697D">
            <w:pPr>
              <w:pStyle w:val="EMPTYCELLSTYLE"/>
            </w:pPr>
          </w:p>
        </w:tc>
      </w:tr>
    </w:tbl>
    <w:p w:rsidR="004050EC" w:rsidRDefault="004050EC"/>
    <w:sectPr w:rsidR="004050E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7D"/>
    <w:rsid w:val="004050EC"/>
    <w:rsid w:val="00521B87"/>
    <w:rsid w:val="00F4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7352</Words>
  <Characters>4191</Characters>
  <Application>Microsoft Office Word</Application>
  <DocSecurity>0</DocSecurity>
  <Lines>34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2026-04-16T05:58:00Z</dcterms:created>
  <dcterms:modified xsi:type="dcterms:W3CDTF">2026-04-16T05:58:00Z</dcterms:modified>
</cp:coreProperties>
</file>