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71" w:rsidRPr="00C03281" w:rsidRDefault="00686371" w:rsidP="00686371">
      <w:pPr>
        <w:pStyle w:val="ShapkaDocumentu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Додаток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br/>
        <w:t xml:space="preserve">до типового договору </w:t>
      </w:r>
    </w:p>
    <w:p w:rsidR="00686371" w:rsidRPr="00C03281" w:rsidRDefault="00686371" w:rsidP="00686371">
      <w:pPr>
        <w:pStyle w:val="a4"/>
        <w:spacing w:before="120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Істотні умови закупівлі послуги з управління побутовими відходами для споживачів, на яких поширюється дія Закону України “Про публічні закупівлі”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1. </w:t>
      </w:r>
      <w:proofErr w:type="gramStart"/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Цей додаток є невід’ємною частиною до договору 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№____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_____ від _____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________ (далі - договір) та визначає істотні умови між виконавцем та споживачами з урахуванням вимог Закону України “Про публічні закупівлі” (у разі визначення одного виконавця послуги з управління побутовими відходами на території територіальної громади за територіальним принципом або за видами).</w:t>
      </w:r>
      <w:proofErr w:type="gramEnd"/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2. </w:t>
      </w:r>
      <w:proofErr w:type="gramStart"/>
      <w:r w:rsidRPr="00C03281">
        <w:rPr>
          <w:rFonts w:ascii="Times New Roman" w:hAnsi="Times New Roman"/>
          <w:noProof/>
          <w:sz w:val="18"/>
          <w:szCs w:val="18"/>
          <w:lang w:val="ru-RU"/>
        </w:rPr>
        <w:t>Для проведення закупівлі послуги з управління побутовими відходами відповідно до норм Закону України “Про публічні закупівлі” до початку закупівлі та перед укладенням договору споживач погоджує у виконавця істотні умови закупівлі (предмет, обсяги послуги, строки надання такої послуги, орієнтовну (очікувану) вартість ціни договору), які вважаються погодженими п</w:t>
      </w:r>
      <w:proofErr w:type="gramEnd"/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ісля підписання сторонами відповідного протоколу переговорів. 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3. </w:t>
      </w:r>
      <w:proofErr w:type="gramStart"/>
      <w:r w:rsidRPr="00C03281">
        <w:rPr>
          <w:rFonts w:ascii="Times New Roman" w:hAnsi="Times New Roman"/>
          <w:noProof/>
          <w:sz w:val="18"/>
          <w:szCs w:val="18"/>
          <w:lang w:val="ru-RU"/>
        </w:rPr>
        <w:t>За договором виконавець зобов’язується своєчасно надавати споживачеві послугу з управління побутовими відходами (згідно з Національним класифікатором України /Єдиний закупівельний словник ДК 021:2015) (далі - послуга), лот № _______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_____ (зазначається у разі, коли закупівля здійснюється за лотами) згідно з умовами цього договору, а споживач зобов’язується оплачувати</w:t>
      </w:r>
      <w:proofErr w:type="gramEnd"/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надану послугу за тарифами, встановленими відповідно до законодавства, у порядку, строки та на умовах, передбачених договором.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4. Місцезнаходження об’єктів надання послуги зазначається в інформаційному листі споживача.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5. Строк надання послуги за договором становить до “__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_” ________________ 202___ року, за умови своєчасної оплати послуги. Виконавець має право обмежувати (припиняти) надання послуги у разі її неоплати або оплати не в повному обсязі. Обмеження (припинення) надання послуги з управління побутовими відходами не звільняє споживача від обов’язку із сплати коштів у повному обсязі за фактично отриману послугу.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6. Типи джерел фінансування ____________________________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(державний бюджет, міський бюджет, районний бюджет, власний бюджет (кошти від господарської діяльності підприємства), бюджет цільових фондів (що не входять до складу державного або місцевого бюджетів) тощо)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7. Тарифи на послугу встановлюються органами місцевого самоврядування відповідно до закону та визначені у пункті 14 договору.</w:t>
      </w:r>
    </w:p>
    <w:p w:rsidR="00686371" w:rsidRPr="00C03281" w:rsidRDefault="00686371" w:rsidP="00A0500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Орієнтовна (очікувана) вартість послуги з урахуванням орієнтовного обсягу послуги, визначеного відповідно до законодавства, складається з вартості послуги у розмірі 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________ гривень ______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 коп. з урахуванням податку на додану вартість (_______________________________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_____________________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____ 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гривень ___________коп.),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br/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    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               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  (словами)</w:t>
      </w:r>
    </w:p>
    <w:p w:rsidR="00686371" w:rsidRPr="00C03281" w:rsidRDefault="00686371" w:rsidP="00686371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розміру плати за абонентське обслуговування за період надання послуги ____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_______________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_____ гривень _______ коп. з урахуванням податку на додану вартість (____________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_________________________________________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_____ гривень _________ коп.).</w:t>
      </w:r>
    </w:p>
    <w:p w:rsidR="00686371" w:rsidRPr="00C03281" w:rsidRDefault="00686371" w:rsidP="00686371">
      <w:pPr>
        <w:pStyle w:val="a3"/>
        <w:spacing w:before="0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             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          (словами)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Усього орієнтовна (очікувана) вартість послуги з управління побутовим відходами становить 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____ гривень 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 коп. з урахуванням податку на додану вартість (______________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_____________________________________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_______ гривень ___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___ коп.).</w:t>
      </w:r>
    </w:p>
    <w:p w:rsidR="00686371" w:rsidRPr="00C03281" w:rsidRDefault="00686371" w:rsidP="00686371">
      <w:pPr>
        <w:pStyle w:val="a3"/>
        <w:spacing w:before="0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                                                       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         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     (словами)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8. На вимогу споживача орієнтовна (очікувана) вартість ціни за договором може бути розподілена помісячно та за узгодженням оформлена у формі документа, погодженою з виконавцем (помісячне узгодження договірної ціни).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9. </w:t>
      </w:r>
      <w:proofErr w:type="gramStart"/>
      <w:r w:rsidRPr="00C03281">
        <w:rPr>
          <w:rFonts w:ascii="Times New Roman" w:hAnsi="Times New Roman"/>
          <w:noProof/>
          <w:sz w:val="18"/>
          <w:szCs w:val="18"/>
          <w:lang w:val="ru-RU"/>
        </w:rPr>
        <w:t>Якщо зміна (збільшення) тарифів, розміру плати за абонентське обслуговування призведуть до перевищення орієнтовної (очікуваної) ціни за договором, споживач за погодженням з виконавцем зобов’язаний внести зміни до договору згідно з пунктом 7 частини п’ятої статті 41 Закону України “Про публічні закупівлі” в частині зміни вартості ц</w:t>
      </w:r>
      <w:proofErr w:type="gramEnd"/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іни за договором без зміни обсягу та якості послуги. </w:t>
      </w:r>
      <w:proofErr w:type="gramStart"/>
      <w:r w:rsidRPr="00C03281">
        <w:rPr>
          <w:rFonts w:ascii="Times New Roman" w:hAnsi="Times New Roman"/>
          <w:noProof/>
          <w:sz w:val="18"/>
          <w:szCs w:val="18"/>
          <w:lang w:val="ru-RU"/>
        </w:rPr>
        <w:t>У будь-якому випадку виконавець має право здійснювати нарахування за послугу на підставі діючих тарифів, які були змінені (збільшені) протягом строку дії договору, а споживач зобов’язаний у повному обсязі розраховуватися за фактично спожитий обсяг послуги з урахуванням діючих тарифів або припинити споживати послугу.</w:t>
      </w:r>
      <w:proofErr w:type="gramEnd"/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 xml:space="preserve">10. У разі зміни істотних умов договору сторони оформляють додаткову угоду та за необхідності новий протокол узгодження договірної ціни. </w:t>
      </w:r>
    </w:p>
    <w:p w:rsidR="00686371" w:rsidRPr="00C03281" w:rsidRDefault="0068637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03281">
        <w:rPr>
          <w:rFonts w:ascii="Times New Roman" w:hAnsi="Times New Roman"/>
          <w:noProof/>
          <w:sz w:val="18"/>
          <w:szCs w:val="18"/>
          <w:lang w:val="ru-RU"/>
        </w:rPr>
        <w:t>Істотні умови договору на 20__</w:t>
      </w:r>
      <w:r w:rsidR="00A05001" w:rsidRPr="00C03281">
        <w:rPr>
          <w:rFonts w:ascii="Times New Roman" w:hAnsi="Times New Roman"/>
          <w:noProof/>
          <w:sz w:val="18"/>
          <w:szCs w:val="18"/>
          <w:lang w:val="ru-RU"/>
        </w:rPr>
        <w:t>__</w:t>
      </w:r>
      <w:r w:rsidRPr="00C03281">
        <w:rPr>
          <w:rFonts w:ascii="Times New Roman" w:hAnsi="Times New Roman"/>
          <w:noProof/>
          <w:sz w:val="18"/>
          <w:szCs w:val="18"/>
          <w:lang w:val="ru-RU"/>
        </w:rPr>
        <w:t>_ рік  узгоджено:</w:t>
      </w:r>
    </w:p>
    <w:p w:rsidR="00A05001" w:rsidRPr="00C03281" w:rsidRDefault="00A05001" w:rsidP="00686371">
      <w:pPr>
        <w:pStyle w:val="a3"/>
        <w:jc w:val="both"/>
        <w:rPr>
          <w:rFonts w:ascii="Times New Roman" w:hAnsi="Times New Roman"/>
          <w:noProof/>
          <w:sz w:val="18"/>
          <w:szCs w:val="18"/>
          <w:lang w:val="ru-RU"/>
        </w:rPr>
      </w:pPr>
    </w:p>
    <w:tbl>
      <w:tblPr>
        <w:tblW w:w="9639" w:type="dxa"/>
        <w:tblLayout w:type="fixed"/>
        <w:tblLook w:val="01E0"/>
      </w:tblPr>
      <w:tblGrid>
        <w:gridCol w:w="1420"/>
        <w:gridCol w:w="1169"/>
        <w:gridCol w:w="2101"/>
        <w:gridCol w:w="250"/>
        <w:gridCol w:w="1512"/>
        <w:gridCol w:w="1310"/>
        <w:gridCol w:w="1877"/>
      </w:tblGrid>
      <w:tr w:rsidR="00686371" w:rsidRPr="00C03281" w:rsidTr="00A05001">
        <w:tc>
          <w:tcPr>
            <w:tcW w:w="4940" w:type="dxa"/>
            <w:gridSpan w:val="4"/>
            <w:hideMark/>
          </w:tcPr>
          <w:p w:rsidR="00686371" w:rsidRPr="00C03281" w:rsidRDefault="00686371" w:rsidP="003F2A51">
            <w:pPr>
              <w:widowControl w:val="0"/>
              <w:spacing w:before="120" w:line="256" w:lineRule="auto"/>
              <w:jc w:val="center"/>
              <w:rPr>
                <w:b/>
                <w:noProof/>
                <w:sz w:val="18"/>
                <w:szCs w:val="18"/>
                <w:lang w:val="en-AU"/>
              </w:rPr>
            </w:pPr>
            <w:r w:rsidRPr="00C03281">
              <w:rPr>
                <w:noProof/>
                <w:sz w:val="18"/>
                <w:szCs w:val="18"/>
                <w:lang w:val="en-AU"/>
              </w:rPr>
              <w:t>Споживач</w:t>
            </w:r>
          </w:p>
        </w:tc>
        <w:tc>
          <w:tcPr>
            <w:tcW w:w="4699" w:type="dxa"/>
            <w:gridSpan w:val="3"/>
            <w:hideMark/>
          </w:tcPr>
          <w:p w:rsidR="00686371" w:rsidRPr="00C03281" w:rsidRDefault="00686371" w:rsidP="003F2A51">
            <w:pPr>
              <w:widowControl w:val="0"/>
              <w:spacing w:before="120" w:line="256" w:lineRule="auto"/>
              <w:jc w:val="center"/>
              <w:rPr>
                <w:b/>
                <w:noProof/>
                <w:sz w:val="18"/>
                <w:szCs w:val="18"/>
                <w:lang w:val="en-AU"/>
              </w:rPr>
            </w:pPr>
            <w:r w:rsidRPr="00C03281">
              <w:rPr>
                <w:noProof/>
                <w:sz w:val="18"/>
                <w:szCs w:val="18"/>
                <w:lang w:val="en-AU"/>
              </w:rPr>
              <w:t>Виконавець</w:t>
            </w:r>
          </w:p>
        </w:tc>
      </w:tr>
      <w:tr w:rsidR="00686371" w:rsidRPr="00C03281" w:rsidTr="00A05001">
        <w:trPr>
          <w:trHeight w:val="584"/>
        </w:trPr>
        <w:tc>
          <w:tcPr>
            <w:tcW w:w="1420" w:type="dxa"/>
            <w:hideMark/>
          </w:tcPr>
          <w:p w:rsidR="00686371" w:rsidRPr="00C03281" w:rsidRDefault="00686371" w:rsidP="003F2A51">
            <w:pPr>
              <w:widowControl w:val="0"/>
              <w:spacing w:before="120" w:line="256" w:lineRule="auto"/>
              <w:jc w:val="center"/>
              <w:rPr>
                <w:noProof/>
                <w:sz w:val="18"/>
                <w:szCs w:val="18"/>
                <w:lang w:val="en-AU"/>
              </w:rPr>
            </w:pPr>
            <w:r w:rsidRPr="00C03281">
              <w:rPr>
                <w:noProof/>
                <w:sz w:val="18"/>
                <w:szCs w:val="18"/>
                <w:lang w:val="en-AU"/>
              </w:rPr>
              <w:t>____________</w:t>
            </w:r>
            <w:r w:rsidRPr="00C03281">
              <w:rPr>
                <w:noProof/>
                <w:sz w:val="18"/>
                <w:szCs w:val="18"/>
                <w:lang w:val="en-AU"/>
              </w:rPr>
              <w:br/>
              <w:t>(посада)</w:t>
            </w:r>
          </w:p>
        </w:tc>
        <w:tc>
          <w:tcPr>
            <w:tcW w:w="1169" w:type="dxa"/>
          </w:tcPr>
          <w:p w:rsidR="00686371" w:rsidRPr="00C03281" w:rsidRDefault="00686371" w:rsidP="003F2A51">
            <w:pPr>
              <w:widowControl w:val="0"/>
              <w:spacing w:before="120" w:line="256" w:lineRule="auto"/>
              <w:jc w:val="center"/>
              <w:rPr>
                <w:noProof/>
                <w:sz w:val="18"/>
                <w:szCs w:val="18"/>
                <w:lang w:val="en-AU"/>
              </w:rPr>
            </w:pPr>
            <w:r w:rsidRPr="00C03281">
              <w:rPr>
                <w:noProof/>
                <w:sz w:val="18"/>
                <w:szCs w:val="18"/>
                <w:lang w:val="en-AU"/>
              </w:rPr>
              <w:t>_________</w:t>
            </w:r>
            <w:r w:rsidRPr="00C03281">
              <w:rPr>
                <w:noProof/>
                <w:sz w:val="18"/>
                <w:szCs w:val="18"/>
                <w:lang w:val="en-AU"/>
              </w:rPr>
              <w:br/>
              <w:t>(підпис)</w:t>
            </w:r>
          </w:p>
          <w:p w:rsidR="00686371" w:rsidRPr="00C03281" w:rsidRDefault="00686371" w:rsidP="003F2A51">
            <w:pPr>
              <w:widowControl w:val="0"/>
              <w:spacing w:before="120" w:line="256" w:lineRule="auto"/>
              <w:jc w:val="center"/>
              <w:rPr>
                <w:noProof/>
                <w:sz w:val="18"/>
                <w:szCs w:val="18"/>
                <w:lang w:val="en-AU"/>
              </w:rPr>
            </w:pPr>
          </w:p>
        </w:tc>
        <w:tc>
          <w:tcPr>
            <w:tcW w:w="2101" w:type="dxa"/>
            <w:hideMark/>
          </w:tcPr>
          <w:p w:rsidR="00686371" w:rsidRPr="00C03281" w:rsidRDefault="00686371" w:rsidP="003F2A51">
            <w:pPr>
              <w:widowControl w:val="0"/>
              <w:spacing w:before="120" w:line="256" w:lineRule="auto"/>
              <w:ind w:right="257"/>
              <w:jc w:val="center"/>
              <w:rPr>
                <w:noProof/>
                <w:sz w:val="18"/>
                <w:szCs w:val="18"/>
                <w:lang w:val="ru-RU"/>
              </w:rPr>
            </w:pPr>
            <w:proofErr w:type="gramStart"/>
            <w:r w:rsidRPr="00C03281">
              <w:rPr>
                <w:noProof/>
                <w:sz w:val="18"/>
                <w:szCs w:val="18"/>
                <w:lang w:val="ru-RU"/>
              </w:rPr>
              <w:t xml:space="preserve">________________              (прізвище, ім’я, </w:t>
            </w:r>
            <w:r w:rsidRPr="00C03281">
              <w:rPr>
                <w:noProof/>
                <w:sz w:val="18"/>
                <w:szCs w:val="18"/>
                <w:lang w:val="ru-RU"/>
              </w:rPr>
              <w:br/>
              <w:t xml:space="preserve">по батькові </w:t>
            </w:r>
            <w:r w:rsidRPr="00C03281">
              <w:rPr>
                <w:noProof/>
                <w:sz w:val="18"/>
                <w:szCs w:val="18"/>
                <w:lang w:val="ru-RU"/>
              </w:rPr>
              <w:br/>
              <w:t>(за наявності)</w:t>
            </w:r>
            <w:proofErr w:type="gramEnd"/>
          </w:p>
        </w:tc>
        <w:tc>
          <w:tcPr>
            <w:tcW w:w="1762" w:type="dxa"/>
            <w:gridSpan w:val="2"/>
            <w:hideMark/>
          </w:tcPr>
          <w:p w:rsidR="00686371" w:rsidRPr="00C03281" w:rsidRDefault="00686371" w:rsidP="003F2A51">
            <w:pPr>
              <w:widowControl w:val="0"/>
              <w:spacing w:before="120" w:line="256" w:lineRule="auto"/>
              <w:ind w:firstLine="235"/>
              <w:jc w:val="center"/>
              <w:rPr>
                <w:noProof/>
                <w:sz w:val="18"/>
                <w:szCs w:val="18"/>
                <w:lang w:val="en-AU"/>
              </w:rPr>
            </w:pPr>
            <w:r w:rsidRPr="00C03281">
              <w:rPr>
                <w:noProof/>
                <w:sz w:val="18"/>
                <w:szCs w:val="18"/>
                <w:lang w:val="en-AU"/>
              </w:rPr>
              <w:t>____________</w:t>
            </w:r>
            <w:r w:rsidRPr="00C03281">
              <w:rPr>
                <w:noProof/>
                <w:sz w:val="18"/>
                <w:szCs w:val="18"/>
                <w:lang w:val="en-AU"/>
              </w:rPr>
              <w:br/>
              <w:t xml:space="preserve">     (посада)</w:t>
            </w:r>
          </w:p>
        </w:tc>
        <w:tc>
          <w:tcPr>
            <w:tcW w:w="1310" w:type="dxa"/>
            <w:hideMark/>
          </w:tcPr>
          <w:p w:rsidR="00686371" w:rsidRPr="00C03281" w:rsidRDefault="00686371" w:rsidP="003F2A51">
            <w:pPr>
              <w:widowControl w:val="0"/>
              <w:spacing w:before="120" w:line="256" w:lineRule="auto"/>
              <w:jc w:val="center"/>
              <w:rPr>
                <w:noProof/>
                <w:sz w:val="18"/>
                <w:szCs w:val="18"/>
                <w:lang w:val="en-AU"/>
              </w:rPr>
            </w:pPr>
            <w:r w:rsidRPr="00C03281">
              <w:rPr>
                <w:noProof/>
                <w:sz w:val="18"/>
                <w:szCs w:val="18"/>
                <w:lang w:val="en-AU"/>
              </w:rPr>
              <w:t>__________</w:t>
            </w:r>
            <w:r w:rsidRPr="00C03281">
              <w:rPr>
                <w:noProof/>
                <w:sz w:val="18"/>
                <w:szCs w:val="18"/>
                <w:lang w:val="en-AU"/>
              </w:rPr>
              <w:br/>
              <w:t>(підпис)</w:t>
            </w:r>
          </w:p>
        </w:tc>
        <w:tc>
          <w:tcPr>
            <w:tcW w:w="1877" w:type="dxa"/>
            <w:hideMark/>
          </w:tcPr>
          <w:p w:rsidR="00686371" w:rsidRPr="00C03281" w:rsidRDefault="00686371" w:rsidP="003F2A51">
            <w:pPr>
              <w:widowControl w:val="0"/>
              <w:spacing w:before="120" w:line="256" w:lineRule="auto"/>
              <w:jc w:val="center"/>
              <w:rPr>
                <w:noProof/>
                <w:sz w:val="18"/>
                <w:szCs w:val="18"/>
                <w:lang w:val="ru-RU"/>
              </w:rPr>
            </w:pPr>
            <w:proofErr w:type="gramStart"/>
            <w:r w:rsidRPr="00C03281">
              <w:rPr>
                <w:noProof/>
                <w:sz w:val="18"/>
                <w:szCs w:val="18"/>
                <w:lang w:val="ru-RU"/>
              </w:rPr>
              <w:t>________________                 (прізвище, ім’я,</w:t>
            </w:r>
            <w:r w:rsidRPr="00C03281">
              <w:rPr>
                <w:noProof/>
                <w:sz w:val="18"/>
                <w:szCs w:val="18"/>
                <w:lang w:val="ru-RU"/>
              </w:rPr>
              <w:br/>
              <w:t xml:space="preserve"> по батькові </w:t>
            </w:r>
            <w:r w:rsidRPr="00C03281">
              <w:rPr>
                <w:noProof/>
                <w:sz w:val="18"/>
                <w:szCs w:val="18"/>
                <w:lang w:val="ru-RU"/>
              </w:rPr>
              <w:br/>
              <w:t>(за наявності)</w:t>
            </w:r>
            <w:proofErr w:type="gramEnd"/>
          </w:p>
        </w:tc>
      </w:tr>
    </w:tbl>
    <w:p w:rsidR="00542621" w:rsidRPr="00C03281" w:rsidRDefault="00542621">
      <w:pPr>
        <w:rPr>
          <w:noProof/>
          <w:sz w:val="18"/>
          <w:szCs w:val="18"/>
          <w:lang w:val="ru-RU"/>
        </w:rPr>
      </w:pPr>
    </w:p>
    <w:sectPr w:rsidR="00542621" w:rsidRPr="00C03281" w:rsidSect="00BC2E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86371"/>
    <w:rsid w:val="000250A5"/>
    <w:rsid w:val="00493A33"/>
    <w:rsid w:val="00542621"/>
    <w:rsid w:val="00686371"/>
    <w:rsid w:val="00A05001"/>
    <w:rsid w:val="00BC2E72"/>
    <w:rsid w:val="00C03281"/>
    <w:rsid w:val="00DB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71"/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686371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686371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686371"/>
    <w:pPr>
      <w:keepNext/>
      <w:keepLines/>
      <w:spacing w:after="240" w:line="240" w:lineRule="auto"/>
      <w:ind w:left="3969"/>
      <w:jc w:val="center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6</cp:revision>
  <cp:lastPrinted>2024-02-12T12:03:00Z</cp:lastPrinted>
  <dcterms:created xsi:type="dcterms:W3CDTF">2023-08-11T11:27:00Z</dcterms:created>
  <dcterms:modified xsi:type="dcterms:W3CDTF">2024-02-12T12:03:00Z</dcterms:modified>
</cp:coreProperties>
</file>