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КОМПЛЕКСНА  ПРОГРАМА</w:t>
      </w:r>
    </w:p>
    <w:p w:rsidR="00D344C6" w:rsidRPr="005C49CC" w:rsidRDefault="007E75CA" w:rsidP="00D344C6">
      <w:pPr>
        <w:pStyle w:val="2"/>
        <w:spacing w:after="0" w:line="24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  <w:lang w:val="uk-UA"/>
        </w:rPr>
        <w:t xml:space="preserve">цивільного </w:t>
      </w:r>
      <w:r w:rsidR="00D344C6" w:rsidRPr="005C49CC">
        <w:rPr>
          <w:bCs/>
          <w:sz w:val="36"/>
          <w:szCs w:val="36"/>
        </w:rPr>
        <w:t>захисту населення і територі</w:t>
      </w:r>
      <w:r w:rsidR="001A54DF">
        <w:rPr>
          <w:bCs/>
          <w:sz w:val="36"/>
          <w:szCs w:val="36"/>
          <w:lang w:val="uk-UA"/>
        </w:rPr>
        <w:t>ї</w:t>
      </w:r>
      <w:r w:rsidR="00D344C6" w:rsidRPr="005C49CC">
        <w:rPr>
          <w:bCs/>
          <w:sz w:val="36"/>
          <w:szCs w:val="36"/>
        </w:rPr>
        <w:t xml:space="preserve"> Гайсинсько</w:t>
      </w:r>
      <w:r w:rsidR="00D344C6">
        <w:rPr>
          <w:bCs/>
          <w:sz w:val="36"/>
          <w:szCs w:val="36"/>
          <w:lang w:val="uk-UA"/>
        </w:rPr>
        <w:t>ї</w:t>
      </w:r>
      <w:r w:rsidR="00D344C6" w:rsidRPr="005C49CC">
        <w:rPr>
          <w:bCs/>
          <w:sz w:val="36"/>
          <w:szCs w:val="36"/>
        </w:rPr>
        <w:t xml:space="preserve"> </w:t>
      </w:r>
      <w:r w:rsidR="00D344C6">
        <w:rPr>
          <w:bCs/>
          <w:sz w:val="36"/>
          <w:szCs w:val="36"/>
          <w:lang w:val="uk-UA"/>
        </w:rPr>
        <w:t xml:space="preserve">міської територіальної громади </w:t>
      </w:r>
      <w:r w:rsidR="00D344C6" w:rsidRPr="005C49CC">
        <w:rPr>
          <w:bCs/>
          <w:sz w:val="36"/>
          <w:szCs w:val="36"/>
        </w:rPr>
        <w:t xml:space="preserve"> у разі загрози та виникнення надзвичайних</w:t>
      </w:r>
      <w:r w:rsidR="00D344C6">
        <w:rPr>
          <w:bCs/>
          <w:sz w:val="36"/>
          <w:szCs w:val="36"/>
        </w:rPr>
        <w:t xml:space="preserve"> ситуацій   на 20</w:t>
      </w:r>
      <w:r w:rsidR="00D344C6">
        <w:rPr>
          <w:bCs/>
          <w:sz w:val="36"/>
          <w:szCs w:val="36"/>
          <w:lang w:val="uk-UA"/>
        </w:rPr>
        <w:t>2</w:t>
      </w:r>
      <w:r w:rsidR="00F80047">
        <w:rPr>
          <w:bCs/>
          <w:sz w:val="36"/>
          <w:szCs w:val="36"/>
          <w:lang w:val="uk-UA"/>
        </w:rPr>
        <w:t>2</w:t>
      </w:r>
      <w:r w:rsidR="00D344C6">
        <w:rPr>
          <w:bCs/>
          <w:sz w:val="36"/>
          <w:szCs w:val="36"/>
        </w:rPr>
        <w:t>-</w:t>
      </w:r>
      <w:r w:rsidR="00D344C6" w:rsidRPr="005C49CC">
        <w:rPr>
          <w:bCs/>
          <w:sz w:val="36"/>
          <w:szCs w:val="36"/>
        </w:rPr>
        <w:t>202</w:t>
      </w:r>
      <w:r w:rsidR="00A1524C">
        <w:rPr>
          <w:bCs/>
          <w:sz w:val="36"/>
          <w:szCs w:val="36"/>
          <w:lang w:val="uk-UA"/>
        </w:rPr>
        <w:t>5</w:t>
      </w:r>
      <w:r w:rsidR="00D344C6" w:rsidRPr="005C49CC">
        <w:rPr>
          <w:bCs/>
          <w:sz w:val="36"/>
          <w:szCs w:val="36"/>
        </w:rPr>
        <w:t xml:space="preserve"> роки</w:t>
      </w:r>
    </w:p>
    <w:p w:rsidR="00C07FF6" w:rsidRDefault="00C07FF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Pr="00D344C6" w:rsidRDefault="00D344C6" w:rsidP="00D344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>.</w:t>
      </w:r>
    </w:p>
    <w:p w:rsidR="00D344C6" w:rsidRPr="00D344C6" w:rsidRDefault="00D344C6" w:rsidP="00D344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D344C6" w:rsidRPr="00D344C6" w:rsidTr="004E3B0A">
        <w:trPr>
          <w:trHeight w:val="1122"/>
        </w:trPr>
        <w:tc>
          <w:tcPr>
            <w:tcW w:w="8928" w:type="dxa"/>
          </w:tcPr>
          <w:p w:rsidR="00D344C6" w:rsidRPr="00D344C6" w:rsidRDefault="00D344C6" w:rsidP="001A54DF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344C6">
              <w:rPr>
                <w:sz w:val="28"/>
                <w:szCs w:val="28"/>
              </w:rPr>
              <w:t>1. Паспорт Програми «</w:t>
            </w:r>
            <w:r>
              <w:rPr>
                <w:bCs/>
                <w:sz w:val="28"/>
                <w:szCs w:val="28"/>
                <w:lang w:val="uk-UA"/>
              </w:rPr>
              <w:t xml:space="preserve">Комплексна програма </w:t>
            </w:r>
            <w:r w:rsidR="007E75CA">
              <w:rPr>
                <w:bCs/>
                <w:sz w:val="28"/>
                <w:szCs w:val="28"/>
                <w:lang w:val="uk-UA"/>
              </w:rPr>
              <w:t xml:space="preserve">цивільного </w:t>
            </w:r>
            <w:r w:rsidRPr="00D344C6">
              <w:rPr>
                <w:bCs/>
                <w:sz w:val="28"/>
                <w:szCs w:val="28"/>
              </w:rPr>
              <w:t>захисту населення і територі</w:t>
            </w:r>
            <w:r w:rsidR="001A54DF">
              <w:rPr>
                <w:bCs/>
                <w:sz w:val="28"/>
                <w:szCs w:val="28"/>
                <w:lang w:val="uk-UA"/>
              </w:rPr>
              <w:t>ї</w:t>
            </w:r>
            <w:r w:rsidRPr="00D344C6">
              <w:rPr>
                <w:bCs/>
                <w:sz w:val="28"/>
                <w:szCs w:val="28"/>
              </w:rPr>
              <w:t xml:space="preserve"> Гайсинсько</w:t>
            </w:r>
            <w:r w:rsidRPr="00D344C6">
              <w:rPr>
                <w:bCs/>
                <w:sz w:val="28"/>
                <w:szCs w:val="28"/>
                <w:lang w:val="uk-UA"/>
              </w:rPr>
              <w:t>ї</w:t>
            </w:r>
            <w:r w:rsidRPr="00D344C6">
              <w:rPr>
                <w:bCs/>
                <w:sz w:val="28"/>
                <w:szCs w:val="28"/>
              </w:rPr>
              <w:t xml:space="preserve"> </w:t>
            </w:r>
            <w:r w:rsidRPr="00D344C6">
              <w:rPr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Pr="00D344C6">
              <w:rPr>
                <w:bCs/>
                <w:sz w:val="28"/>
                <w:szCs w:val="28"/>
              </w:rPr>
              <w:t xml:space="preserve"> у разі загрози та виникнення надзвичайних ситуацій   на 20</w:t>
            </w:r>
            <w:r w:rsidRPr="00D344C6">
              <w:rPr>
                <w:bCs/>
                <w:sz w:val="28"/>
                <w:szCs w:val="28"/>
                <w:lang w:val="uk-UA"/>
              </w:rPr>
              <w:t>2</w:t>
            </w:r>
            <w:r w:rsidR="00EE5837">
              <w:rPr>
                <w:bCs/>
                <w:sz w:val="28"/>
                <w:szCs w:val="28"/>
                <w:lang w:val="uk-UA"/>
              </w:rPr>
              <w:t>2</w:t>
            </w:r>
            <w:r w:rsidRPr="00D344C6">
              <w:rPr>
                <w:bCs/>
                <w:sz w:val="28"/>
                <w:szCs w:val="28"/>
              </w:rPr>
              <w:t>-202</w:t>
            </w:r>
            <w:r w:rsidR="00A1524C">
              <w:rPr>
                <w:bCs/>
                <w:sz w:val="28"/>
                <w:szCs w:val="28"/>
                <w:lang w:val="uk-UA"/>
              </w:rPr>
              <w:t>5</w:t>
            </w:r>
            <w:r w:rsidRPr="00D344C6">
              <w:rPr>
                <w:bCs/>
                <w:sz w:val="28"/>
                <w:szCs w:val="28"/>
              </w:rPr>
              <w:t xml:space="preserve"> роки</w:t>
            </w:r>
            <w:r w:rsidRPr="00D344C6">
              <w:rPr>
                <w:sz w:val="28"/>
                <w:szCs w:val="28"/>
              </w:rPr>
              <w:t>»</w:t>
            </w:r>
            <w:r w:rsidRPr="00D344C6">
              <w:rPr>
                <w:bCs/>
              </w:rPr>
              <w:t xml:space="preserve"> </w:t>
            </w:r>
            <w:r w:rsidRPr="00D344C6">
              <w:rPr>
                <w:sz w:val="28"/>
                <w:szCs w:val="28"/>
              </w:rPr>
              <w:t>(далі Програма)</w:t>
            </w: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D344C6" w:rsidRPr="00D344C6" w:rsidTr="004E3B0A">
        <w:trPr>
          <w:trHeight w:val="723"/>
        </w:trPr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2. Проблема, на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спрямована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720" w:type="dxa"/>
          </w:tcPr>
          <w:p w:rsidR="00256C79" w:rsidRDefault="00D344C6" w:rsidP="004E3B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44C6" w:rsidRPr="00D344C6" w:rsidTr="004E3B0A"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3. Мета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56C79" w:rsidRDefault="00D344C6" w:rsidP="00157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44C6" w:rsidRPr="00157CDD" w:rsidRDefault="00D344C6" w:rsidP="00157C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7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44C6" w:rsidRPr="00D344C6" w:rsidTr="004E3B0A">
        <w:tc>
          <w:tcPr>
            <w:tcW w:w="8928" w:type="dxa"/>
          </w:tcPr>
          <w:p w:rsidR="00D344C6" w:rsidRDefault="00D344C6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  <w:r w:rsidR="00256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етапи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256C79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79" w:rsidRPr="00D344C6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очікувані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344C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. Заходи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Комплексна програма </w:t>
            </w:r>
            <w:r w:rsidR="007E7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цивільного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</w:t>
            </w:r>
            <w:proofErr w:type="spellEnd"/>
            <w:r w:rsidR="001A54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Гайсинсько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разі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загрози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виникнення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надзвичайних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ситуацій</w:t>
            </w:r>
            <w:proofErr w:type="spellEnd"/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20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EE58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256C79" w:rsidRPr="00256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44C6" w:rsidRPr="00D344C6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256C79" w:rsidRDefault="00256C79" w:rsidP="004E3B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D344C6" w:rsidRDefault="00D344C6">
      <w:pPr>
        <w:rPr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256C79" w:rsidRDefault="00256C79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56353D" w:rsidRDefault="0056353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D344C6" w:rsidRDefault="00D344C6" w:rsidP="00D344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І.ПАСПОРТ</w:t>
      </w:r>
    </w:p>
    <w:p w:rsidR="00A11466" w:rsidRPr="00A11466" w:rsidRDefault="00A11466" w:rsidP="00A1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387"/>
      </w:tblGrid>
      <w:tr w:rsidR="00A11466" w:rsidRPr="00A11466" w:rsidTr="00A11466">
        <w:trPr>
          <w:trHeight w:val="485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tabs>
                <w:tab w:val="left" w:pos="42"/>
              </w:tabs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Гайсинська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A11466" w:rsidRPr="00A11466" w:rsidTr="00A11466">
        <w:trPr>
          <w:trHeight w:val="1214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A11466" w:rsidRPr="00A11466" w:rsidTr="00A11466">
        <w:trPr>
          <w:trHeight w:val="1076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B7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A11466" w:rsidRPr="00A11466" w:rsidTr="00A11466">
        <w:trPr>
          <w:trHeight w:val="817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824906" w:rsidP="001F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F5202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3820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3820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093820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093820" w:rsidRPr="0056353D">
              <w:rPr>
                <w:rFonts w:ascii="Times New Roman" w:hAnsi="Times New Roman" w:cs="Times New Roman"/>
                <w:sz w:val="28"/>
                <w:lang w:val="uk-UA"/>
              </w:rPr>
              <w:t>; Гайсинське районне управління ГУ ДСНС України у Вінницькій області</w:t>
            </w:r>
          </w:p>
        </w:tc>
      </w:tr>
      <w:tr w:rsidR="00A11466" w:rsidRPr="00A11466" w:rsidTr="0056353D">
        <w:trPr>
          <w:trHeight w:val="1673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56353D" w:rsidP="00A1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A11466" w:rsidRPr="00A11466" w:rsidTr="006B3DC8">
        <w:trPr>
          <w:trHeight w:val="1152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824906" w:rsidP="00563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6B3DC8" w:rsidRPr="0056353D">
              <w:rPr>
                <w:rFonts w:ascii="Times New Roman" w:hAnsi="Times New Roman" w:cs="Times New Roman"/>
                <w:sz w:val="28"/>
                <w:lang w:val="uk-UA"/>
              </w:rPr>
              <w:t>; Гайсинське районне управління ГУ ДСНС України у Вінницькій області</w:t>
            </w:r>
          </w:p>
        </w:tc>
      </w:tr>
      <w:tr w:rsidR="00A11466" w:rsidRPr="00A11466" w:rsidTr="00A11466">
        <w:trPr>
          <w:trHeight w:val="58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2022-2025 роки</w:t>
            </w:r>
          </w:p>
        </w:tc>
      </w:tr>
      <w:tr w:rsidR="00A11466" w:rsidRPr="00A11466" w:rsidTr="00A11466">
        <w:trPr>
          <w:trHeight w:val="790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A11466" w:rsidRPr="00A11466" w:rsidTr="00A11466">
        <w:trPr>
          <w:trHeight w:val="106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A11466" w:rsidRPr="00A11466" w:rsidRDefault="0008560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1002</w:t>
            </w:r>
            <w:r w:rsidR="001A0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63,06</w:t>
            </w:r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E24EC7" w:rsidRPr="00E24EC7" w:rsidRDefault="00E24EC7" w:rsidP="00E24EC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Проблема, на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 w:rsidRPr="00E24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EC7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</w:p>
    <w:p w:rsidR="00B02AB5" w:rsidRDefault="00B02AB5" w:rsidP="003A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2A2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r w:rsidR="007E75CA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територі</w:t>
      </w:r>
      <w:proofErr w:type="spellEnd"/>
      <w:r w:rsidR="001A54D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 w:rsidRPr="003A32A2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="003A32A2" w:rsidRPr="003A32A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3A32A2" w:rsidRPr="003A3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2A2" w:rsidRPr="003A32A2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на 2022-202</w:t>
      </w:r>
      <w:r w:rsidR="00256C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A32A2">
        <w:rPr>
          <w:rFonts w:ascii="Times New Roman" w:hAnsi="Times New Roman" w:cs="Times New Roman"/>
          <w:sz w:val="28"/>
          <w:szCs w:val="28"/>
        </w:rPr>
        <w:t xml:space="preserve"> роки (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-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, Кодексу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, постанов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09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2014 року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2A2">
        <w:rPr>
          <w:rFonts w:ascii="Times New Roman" w:hAnsi="Times New Roman" w:cs="Times New Roman"/>
          <w:sz w:val="28"/>
          <w:szCs w:val="28"/>
        </w:rPr>
        <w:t>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11 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2015 року 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101 "Про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підс</w:t>
      </w:r>
      <w:r w:rsidR="003A32A2">
        <w:rPr>
          <w:rFonts w:ascii="Times New Roman" w:hAnsi="Times New Roman" w:cs="Times New Roman"/>
          <w:sz w:val="28"/>
          <w:szCs w:val="28"/>
        </w:rPr>
        <w:t>истеми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”, 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A32A2">
        <w:rPr>
          <w:rFonts w:ascii="Times New Roman" w:hAnsi="Times New Roman" w:cs="Times New Roman"/>
          <w:sz w:val="28"/>
          <w:szCs w:val="28"/>
        </w:rPr>
        <w:t xml:space="preserve"> вересня 2015 року №</w:t>
      </w:r>
      <w:r w:rsidRPr="003A32A2">
        <w:rPr>
          <w:rFonts w:ascii="Times New Roman" w:hAnsi="Times New Roman" w:cs="Times New Roman"/>
          <w:sz w:val="28"/>
          <w:szCs w:val="28"/>
        </w:rPr>
        <w:t xml:space="preserve">775 </w:t>
      </w:r>
      <w:r w:rsidR="003A32A2">
        <w:rPr>
          <w:rFonts w:ascii="Times New Roman" w:hAnsi="Times New Roman" w:cs="Times New Roman"/>
          <w:sz w:val="28"/>
          <w:szCs w:val="28"/>
        </w:rPr>
        <w:t xml:space="preserve">"Про </w:t>
      </w:r>
      <w:proofErr w:type="spellStart"/>
      <w:r w:rsidR="003A32A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2A2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і</w:t>
      </w:r>
      <w:r w:rsidR="003A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2A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A32A2">
        <w:rPr>
          <w:rFonts w:ascii="Times New Roman" w:hAnsi="Times New Roman" w:cs="Times New Roman"/>
          <w:sz w:val="28"/>
          <w:szCs w:val="28"/>
        </w:rPr>
        <w:t>"</w:t>
      </w:r>
      <w:r w:rsidR="00FC2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визнані Конституцією України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найви</w:t>
      </w:r>
      <w:r>
        <w:rPr>
          <w:rFonts w:ascii="Times New Roman" w:hAnsi="Times New Roman" w:cs="Times New Roman"/>
          <w:sz w:val="28"/>
          <w:szCs w:val="28"/>
          <w:lang w:val="uk-UA"/>
        </w:rPr>
        <w:t>щою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цінністю. Кожний громадянин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має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конституційне право на безпечне для життя і здоров’я довкілля.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Цивільний захист - це функція держави, спрямована на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населення, територій, нав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колишнього природного середовищ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а та майна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шляхом запобігання таким ситуаці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ям, ліквідації їх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наслідків і надання допомоги постражда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лим у мирний час та в особливий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період.</w:t>
      </w:r>
    </w:p>
    <w:p w:rsidR="00FC25F9" w:rsidRPr="00FC25F9" w:rsidRDefault="00FC25F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>Створення безпечних умов життєдіяльності, захист навколишнього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середовищ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а, забезпечення безпеки та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’єктів економіки і національного надбання держави від негативних наслідків</w:t>
      </w:r>
    </w:p>
    <w:p w:rsidR="00FC25F9" w:rsidRPr="00FC25F9" w:rsidRDefault="00FC25F9" w:rsidP="00FC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безумовно, залишається сферою </w:t>
      </w:r>
      <w:proofErr w:type="spellStart"/>
      <w:r w:rsidRPr="00FC25F9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FC25F9">
        <w:rPr>
          <w:rFonts w:ascii="Times New Roman" w:hAnsi="Times New Roman" w:cs="Times New Roman"/>
          <w:sz w:val="28"/>
          <w:szCs w:val="28"/>
          <w:lang w:val="uk-UA"/>
        </w:rPr>
        <w:t xml:space="preserve"> важливих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5F9">
        <w:rPr>
          <w:rFonts w:ascii="Times New Roman" w:hAnsi="Times New Roman" w:cs="Times New Roman"/>
          <w:sz w:val="28"/>
          <w:szCs w:val="28"/>
          <w:lang w:val="uk-UA"/>
        </w:rPr>
        <w:t>національних інтересів.</w:t>
      </w:r>
    </w:p>
    <w:p w:rsidR="00B02AB5" w:rsidRPr="00FC25F9" w:rsidRDefault="00B02AB5" w:rsidP="00B02AB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FC25F9">
        <w:rPr>
          <w:color w:val="333333"/>
          <w:sz w:val="28"/>
          <w:szCs w:val="28"/>
          <w:lang w:val="uk-UA"/>
        </w:rPr>
        <w:t xml:space="preserve">На території </w:t>
      </w:r>
      <w:r w:rsidR="00FC25F9">
        <w:rPr>
          <w:color w:val="333333"/>
          <w:sz w:val="28"/>
          <w:szCs w:val="28"/>
          <w:lang w:val="uk-UA"/>
        </w:rPr>
        <w:t>громади</w:t>
      </w:r>
      <w:r w:rsidR="00A5737E">
        <w:rPr>
          <w:color w:val="333333"/>
          <w:sz w:val="28"/>
          <w:szCs w:val="28"/>
          <w:lang w:val="uk-UA"/>
        </w:rPr>
        <w:t xml:space="preserve"> </w:t>
      </w:r>
      <w:r w:rsidRPr="00FC25F9">
        <w:rPr>
          <w:color w:val="333333"/>
          <w:sz w:val="28"/>
          <w:szCs w:val="28"/>
          <w:lang w:val="uk-UA"/>
        </w:rPr>
        <w:t xml:space="preserve">зберігається високий рівень техногенної і природної небезпеки. </w:t>
      </w:r>
    </w:p>
    <w:p w:rsidR="00B02AB5" w:rsidRDefault="00B02AB5" w:rsidP="00A5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C25F9">
        <w:rPr>
          <w:rFonts w:ascii="Times New Roman" w:hAnsi="Times New Roman" w:cs="Times New Roman"/>
          <w:sz w:val="28"/>
          <w:lang w:val="uk-UA"/>
        </w:rPr>
        <w:t xml:space="preserve">Зростання кількості природних надзвичайних ситуацій, вагомість і масштабність їх наслідків об’єктивно примушують розглянути їх як серйозну загрозу безпеці окремої людини, суспільства та навколишнього середовища, а також стабільності економіки </w:t>
      </w:r>
      <w:r w:rsidR="00256C79">
        <w:rPr>
          <w:rFonts w:ascii="Times New Roman" w:hAnsi="Times New Roman" w:cs="Times New Roman"/>
          <w:sz w:val="28"/>
          <w:lang w:val="uk-UA"/>
        </w:rPr>
        <w:t>громади</w:t>
      </w:r>
      <w:r w:rsidR="00A5737E">
        <w:rPr>
          <w:rFonts w:ascii="Times New Roman" w:hAnsi="Times New Roman" w:cs="Times New Roman"/>
          <w:sz w:val="28"/>
          <w:lang w:val="uk-UA"/>
        </w:rPr>
        <w:t>.</w:t>
      </w:r>
    </w:p>
    <w:p w:rsidR="00256C79" w:rsidRPr="00FC25F9" w:rsidRDefault="00256C79" w:rsidP="00A5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B02AB5" w:rsidRPr="009857A4" w:rsidRDefault="00B02AB5" w:rsidP="00A5737E">
      <w:pPr>
        <w:pStyle w:val="2"/>
        <w:spacing w:after="0" w:line="240" w:lineRule="auto"/>
        <w:ind w:firstLine="902"/>
        <w:jc w:val="both"/>
        <w:rPr>
          <w:i/>
          <w:sz w:val="28"/>
          <w:szCs w:val="28"/>
        </w:rPr>
      </w:pPr>
      <w:r w:rsidRPr="009857A4">
        <w:rPr>
          <w:i/>
          <w:color w:val="333333"/>
          <w:sz w:val="28"/>
          <w:szCs w:val="28"/>
        </w:rPr>
        <w:t xml:space="preserve">Фактори, що впливають на виникнення надзвичайних ситуацій в </w:t>
      </w:r>
      <w:r w:rsidR="00A5737E">
        <w:rPr>
          <w:i/>
          <w:color w:val="333333"/>
          <w:sz w:val="28"/>
          <w:szCs w:val="28"/>
          <w:lang w:val="uk-UA"/>
        </w:rPr>
        <w:t>громаді</w:t>
      </w:r>
      <w:r w:rsidRPr="009857A4">
        <w:rPr>
          <w:i/>
          <w:color w:val="333333"/>
          <w:sz w:val="28"/>
          <w:szCs w:val="28"/>
        </w:rPr>
        <w:t xml:space="preserve"> та на збільшення їх негативного впливу</w:t>
      </w:r>
      <w:r w:rsidRPr="009857A4">
        <w:rPr>
          <w:i/>
          <w:sz w:val="28"/>
          <w:szCs w:val="28"/>
        </w:rPr>
        <w:t>: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67150A">
        <w:rPr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недостатнє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інженерного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територій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737E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громади</w:t>
      </w:r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обмежене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видатків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запровадження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безпечних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технологій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замкнутих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циклів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безвідходного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технологічного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виробництві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боку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власників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зниження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фахової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керівного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складу,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сил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кваліфікаційного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професійного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рівня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персоналу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обʼєктів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, в тому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числі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підвищеної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небезпеки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недосконалість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єдиної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оперативно-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чергової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диспетчерської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служби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застарілість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57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AB5" w:rsidRPr="00A5737E" w:rsidRDefault="00B02AB5" w:rsidP="00A5737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необхідність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удосконалення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системи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оперативного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реагування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надзвичайні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E6D33" w:rsidRPr="00AE6D33" w:rsidRDefault="00B02AB5" w:rsidP="00256C7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недостатнє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покращення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інформаційної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взаємодії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органами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виконавчої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влади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причетними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вирішення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завдань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своєчасного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достовірного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інформування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загрозу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виникнення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надзвичайної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 w:rsidRPr="00A5737E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A5737E">
        <w:rPr>
          <w:rFonts w:ascii="Times New Roman" w:hAnsi="Times New Roman" w:cs="Times New Roman"/>
          <w:color w:val="333333"/>
          <w:sz w:val="28"/>
          <w:szCs w:val="28"/>
        </w:rPr>
        <w:t>пер</w:t>
      </w:r>
      <w:r w:rsidR="00AE6D33">
        <w:rPr>
          <w:rFonts w:ascii="Times New Roman" w:hAnsi="Times New Roman" w:cs="Times New Roman"/>
          <w:color w:val="333333"/>
          <w:sz w:val="28"/>
          <w:szCs w:val="28"/>
        </w:rPr>
        <w:t>ебіг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подій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ході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її</w:t>
      </w:r>
      <w:proofErr w:type="spellEnd"/>
      <w:r w:rsidR="00AE6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E6D33">
        <w:rPr>
          <w:rFonts w:ascii="Times New Roman" w:hAnsi="Times New Roman" w:cs="Times New Roman"/>
          <w:color w:val="333333"/>
          <w:sz w:val="28"/>
          <w:szCs w:val="28"/>
        </w:rPr>
        <w:t>ліквідації</w:t>
      </w:r>
      <w:proofErr w:type="spellEnd"/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E6D33" w:rsidRPr="00AE6D33" w:rsidRDefault="00AE6D33" w:rsidP="00E9056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Наведене вище, </w:t>
      </w:r>
      <w:r w:rsidR="00C23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запровадже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ння воєнного стану в Україні Указом Президента України №64/2022 від 24.02.2024 року затвердженого законом України від 24.02.2024 року №2102-ІХ «</w:t>
      </w:r>
      <w:r w:rsidR="00EA6986" w:rsidRPr="00EA69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Указу Президента України "Про введення воєнного стану в Україні</w:t>
      </w:r>
      <w:r w:rsidR="00EA69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зв’язку із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збройною агресією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Російської Федерації </w:t>
      </w:r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проти України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підвищення рівня терористичних загроз, техногенних небезпек, збільшення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кількості та масштабів стихійних природних явищ, необхідність забезпечення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громади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засобами діагностики </w:t>
      </w:r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інфекційних </w:t>
      </w:r>
      <w:proofErr w:type="spellStart"/>
      <w:r w:rsidR="00256C79">
        <w:rPr>
          <w:rFonts w:ascii="Times New Roman" w:hAnsi="Times New Roman" w:cs="Times New Roman"/>
          <w:color w:val="333333"/>
          <w:sz w:val="28"/>
          <w:szCs w:val="28"/>
          <w:lang w:val="uk-UA"/>
        </w:rPr>
        <w:t>хвороб</w:t>
      </w:r>
      <w:proofErr w:type="spellEnd"/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інші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небезпечні фактори вимагають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остійних зусиль, спрямованих на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забезпечення захисту населення і територій </w:t>
      </w:r>
      <w:r w:rsidR="00E905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громади </w:t>
      </w:r>
      <w:r w:rsidRPr="00AE6D3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надзвичайних ситуацій.</w:t>
      </w:r>
    </w:p>
    <w:p w:rsidR="00E9056C" w:rsidRPr="00334BA5" w:rsidRDefault="00E9056C" w:rsidP="00334BA5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рамках Програми передбача</w:t>
      </w:r>
      <w:r w:rsid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ю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ться заходи з утримання та подальшого</w:t>
      </w:r>
      <w:r w:rsid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накопичення матеріального резерву та його поповнення, що є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життєво</w:t>
      </w:r>
      <w:proofErr w:type="spellEnd"/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необхідним, оскільки забезпечує матеріальну основу для запобігання і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ліквідації наслідків надзвичайних </w:t>
      </w:r>
      <w:r w:rsidR="00284B53"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ситуацій, забезпечення зниження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34BA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матеріальних збитків та зменшення кількості можливих втрат населення.</w:t>
      </w:r>
    </w:p>
    <w:p w:rsidR="00E9056C" w:rsidRPr="00F502C3" w:rsidRDefault="00E9056C" w:rsidP="00284B53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 матеріального резерву входять: 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засоби радіаційного, хімічного,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біологічного захисту та спеціальний одяг, засоби енергопостачання, пально-мастильні матеріали, речове майно, будівельні матеріали, засоби забезпечення</w:t>
      </w:r>
    </w:p>
    <w:p w:rsidR="00E9056C" w:rsidRPr="00F502C3" w:rsidRDefault="00E9056C" w:rsidP="00284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аварійно-рятувальних робіт. А виз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начення номенклатури (переліку)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матеріальних цінностей здійснюється із урахуванням можливих аварій на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залізницях, автомобільному транспорті, на радіаційно- та хімічно небезпечних</w:t>
      </w:r>
    </w:p>
    <w:p w:rsidR="00E9056C" w:rsidRPr="00F502C3" w:rsidRDefault="00284B53" w:rsidP="00284B5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єктах, можливих техногенних, радіаційних,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хімічних, метеорологічних, гідрологічних надзвичайних ситуацій,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9056C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пожеж, епідемій, тощо.</w:t>
      </w:r>
    </w:p>
    <w:p w:rsidR="00E24EC7" w:rsidRPr="00F502C3" w:rsidRDefault="00E9056C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Створення матер</w:t>
      </w:r>
      <w:r w:rsidR="00284B53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іального резерву для здійснення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запобіжних заходів у разі загрози виникнення надзвичай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х ситуацій; ліквідації</w:t>
      </w:r>
      <w:r w:rsidR="00284B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наслідків надзвичайних ситуацій; проведення невідкладних відновлювальних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робіт і заходів; надання постраждалому населенню необхідної допомоги для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забезпечення його життєдіяльності; розгортання та утримання тимчасових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пунктів проживання і харчування постраждалого населення; забезпечення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пально-мастильними та іншими витратними матеріалами транспортних засобів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підприємств та громадян, залучених для евакуації постраждалого населення із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зони надзвичайної ситуації та </w:t>
      </w:r>
      <w:r w:rsidR="00E24EC7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можливого ураження здійснюється</w:t>
      </w:r>
    </w:p>
    <w:p w:rsidR="00E9056C" w:rsidRPr="00F502C3" w:rsidRDefault="00E9056C" w:rsidP="00E24E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порядку, </w:t>
      </w:r>
      <w:r w:rsidR="00E24EC7"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визначеному постановою Кабінету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Міністрів України 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вересня 2015 року № 775 «Про затвердження Порядку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створення та використання матеріальних резервів для запобігання і ліквідації</w:t>
      </w:r>
      <w:r w:rsidR="00E24EC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502C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наслідків надзвичайних ситуацій» (із змінами).</w:t>
      </w: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E24EC7" w:rsidRDefault="00E24EC7" w:rsidP="00E24EC7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Мета П</w:t>
      </w:r>
      <w:r w:rsidRPr="00E176F3">
        <w:rPr>
          <w:b/>
          <w:sz w:val="28"/>
          <w:szCs w:val="28"/>
        </w:rPr>
        <w:t>рограми</w:t>
      </w:r>
    </w:p>
    <w:p w:rsidR="00E24EC7" w:rsidRPr="00E85F92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9056C" w:rsidRPr="00E85F92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Метою Програми є забезпечення виконання державної політики у сфері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цивільного захисту і створення належних умов безпечної життєдіяльності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громади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продовження, протягом 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202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—202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років, реалізації заходів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організаційного, технічного, фінансово-економічного характеру, спрямованих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запобігання та реагування на надзвичайні ситуації техногенного та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природного характеру, ліквідації їх наслідків і спрямовані на захист населення 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територій, а також матеріальних і культурних цінностей та довкілля.</w:t>
      </w:r>
    </w:p>
    <w:p w:rsidR="00ED58B0" w:rsidRPr="00E85F92" w:rsidRDefault="00ED58B0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3B7CD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:rsidR="00ED58B0" w:rsidRPr="00ED58B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етапи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proofErr w:type="gramEnd"/>
    </w:p>
    <w:p w:rsidR="00E24EC7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Реалізація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здійснюється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шляхом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з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міського бюджету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заборонених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законодавством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джерел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Обсяг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уточн</w:t>
      </w:r>
      <w:r w:rsidR="00467F17">
        <w:rPr>
          <w:rFonts w:ascii="Times New Roman" w:hAnsi="Times New Roman" w:cs="Times New Roman"/>
          <w:color w:val="333333"/>
          <w:sz w:val="28"/>
          <w:szCs w:val="28"/>
        </w:rPr>
        <w:t>яється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щороку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під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складання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проекту 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бюджету на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відповідний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рахунок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коштів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бюджету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фінансуються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матеріально-технічне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технічне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дооснащення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мережі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пунктів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запровадження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новітніх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інформаційних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цифрових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(GI</w:t>
      </w:r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S)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технологій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діючих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сфері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виготовлення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проектно-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кошторисної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документації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командно-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штабних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навчань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семінарів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видання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нормативних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документів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рахунок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джерел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створення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об’єктових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систем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запобігання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надзвичайним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ситуаціям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підготовка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перепідготовка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спеціалістів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дозволить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наступних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п’яти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років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покращити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захист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85F92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>навколи</w:t>
      </w:r>
      <w:r w:rsidR="00E85F92">
        <w:rPr>
          <w:rFonts w:ascii="Times New Roman" w:hAnsi="Times New Roman" w:cs="Times New Roman"/>
          <w:color w:val="333333"/>
          <w:sz w:val="28"/>
          <w:szCs w:val="28"/>
        </w:rPr>
        <w:t>шнього</w:t>
      </w:r>
      <w:proofErr w:type="spellEnd"/>
      <w:r w:rsidR="00E85F92">
        <w:rPr>
          <w:rFonts w:ascii="Times New Roman" w:hAnsi="Times New Roman" w:cs="Times New Roman"/>
          <w:color w:val="333333"/>
          <w:sz w:val="28"/>
          <w:szCs w:val="28"/>
        </w:rPr>
        <w:t xml:space="preserve"> природного</w:t>
      </w:r>
      <w:r w:rsidR="00E85F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>середовища</w:t>
      </w:r>
      <w:proofErr w:type="spellEnd"/>
      <w:r w:rsidR="00E85F92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та майна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територі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E75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Гайсинської міської терит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оріальної громади</w:t>
      </w:r>
      <w:r w:rsidR="00E85F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</w:t>
      </w:r>
      <w:r w:rsidR="00C5790C">
        <w:rPr>
          <w:rFonts w:ascii="Times New Roman" w:hAnsi="Times New Roman" w:cs="Times New Roman"/>
          <w:color w:val="333333"/>
          <w:sz w:val="28"/>
          <w:szCs w:val="28"/>
        </w:rPr>
        <w:t>их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5790C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5790C">
        <w:rPr>
          <w:rFonts w:ascii="Times New Roman" w:hAnsi="Times New Roman" w:cs="Times New Roman"/>
          <w:color w:val="333333"/>
          <w:sz w:val="28"/>
          <w:szCs w:val="28"/>
        </w:rPr>
        <w:t>реагування</w:t>
      </w:r>
      <w:proofErr w:type="spellEnd"/>
      <w:r w:rsidR="00C5790C">
        <w:rPr>
          <w:rFonts w:ascii="Times New Roman" w:hAnsi="Times New Roman" w:cs="Times New Roman"/>
          <w:color w:val="333333"/>
          <w:sz w:val="28"/>
          <w:szCs w:val="28"/>
        </w:rPr>
        <w:t xml:space="preserve"> на них,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функціонування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Гайсинської міської </w:t>
      </w:r>
      <w:proofErr w:type="spellStart"/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субланки</w:t>
      </w:r>
      <w:proofErr w:type="spellEnd"/>
      <w:r w:rsidR="00EA69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Гайсинської районної ланки територіальної підсистеми єдиної державної системи</w:t>
      </w:r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цивільного захисту Вінницької області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F10FE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Комплексної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дасть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можливість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забезпечити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F10FE9" w:rsidRPr="00C5790C" w:rsidRDefault="00F10FE9" w:rsidP="00C57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безпечні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умови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життєдіяльності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790C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C5790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підвищення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готовності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органів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та сил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цивільного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79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громади </w:t>
      </w:r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до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дій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призначенням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умовах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загрози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виникнення</w:t>
      </w:r>
      <w:proofErr w:type="spellEnd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C5790C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зменшення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техногенного характеру 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постраждалого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наслідків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Pr="00F10FE9" w:rsidRDefault="00C5790C" w:rsidP="00C579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зменшення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витрат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відшкодування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збитків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надзвичайних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ситуацій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0FE9" w:rsidRDefault="00B05AF7" w:rsidP="00F66DB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 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зняття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можливої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соціальної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напруги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="00F10FE9"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5AF7" w:rsidRPr="00F66DB6" w:rsidRDefault="00B05AF7" w:rsidP="00F66DB6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6DB6">
        <w:rPr>
          <w:rFonts w:ascii="Times New Roman" w:hAnsi="Times New Roman" w:cs="Times New Roman"/>
          <w:sz w:val="28"/>
          <w:szCs w:val="28"/>
        </w:rPr>
        <w:lastRenderedPageBreak/>
        <w:t xml:space="preserve">Практична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досягатися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бюджету (додаток1).</w:t>
      </w:r>
    </w:p>
    <w:p w:rsidR="00B05AF7" w:rsidRPr="00F66DB6" w:rsidRDefault="00B05AF7" w:rsidP="00F66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E58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6D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66DB6">
        <w:rPr>
          <w:rFonts w:ascii="Times New Roman" w:hAnsi="Times New Roman" w:cs="Times New Roman"/>
          <w:sz w:val="28"/>
          <w:szCs w:val="28"/>
        </w:rPr>
        <w:t>202</w:t>
      </w:r>
      <w:r w:rsidR="00157C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6DB6">
        <w:rPr>
          <w:rFonts w:ascii="Times New Roman" w:hAnsi="Times New Roman" w:cs="Times New Roman"/>
          <w:sz w:val="28"/>
          <w:szCs w:val="28"/>
        </w:rPr>
        <w:t xml:space="preserve">  роки</w:t>
      </w:r>
      <w:proofErr w:type="gram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C2321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 xml:space="preserve">Додатку 1 до  Програми </w:t>
      </w:r>
      <w:r w:rsidRPr="00F66D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в </w:t>
      </w:r>
      <w:r w:rsidR="001A00B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F66DB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>.</w:t>
      </w:r>
    </w:p>
    <w:p w:rsidR="00B05AF7" w:rsidRPr="00F66DB6" w:rsidRDefault="00B05AF7" w:rsidP="00F66DB6">
      <w:pPr>
        <w:pStyle w:val="1"/>
        <w:ind w:firstLine="720"/>
        <w:jc w:val="both"/>
        <w:rPr>
          <w:bCs/>
        </w:rPr>
      </w:pPr>
      <w:r w:rsidRPr="00F66DB6">
        <w:rPr>
          <w:bCs/>
        </w:rPr>
        <w:t xml:space="preserve">Реалізація Програми відбуватиметься протягом </w:t>
      </w:r>
      <w:r w:rsidRPr="00F66DB6">
        <w:t>202</w:t>
      </w:r>
      <w:r w:rsidR="00E85F92">
        <w:t>2</w:t>
      </w:r>
      <w:r w:rsidRPr="00F66DB6">
        <w:t>-202</w:t>
      </w:r>
      <w:r w:rsidR="00157CDD">
        <w:t>5</w:t>
      </w:r>
      <w:r w:rsidRPr="00F66DB6">
        <w:t xml:space="preserve"> років</w:t>
      </w:r>
      <w:r w:rsidRPr="00F66DB6">
        <w:rPr>
          <w:bCs/>
        </w:rPr>
        <w:t xml:space="preserve">. </w:t>
      </w:r>
    </w:p>
    <w:p w:rsid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B6" w:rsidRP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F66DB6" w:rsidRDefault="00F66DB6" w:rsidP="00C777D5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</w:p>
    <w:p w:rsidR="00F66DB6" w:rsidRDefault="00D04E68" w:rsidP="00D04E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Ефективна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реалізація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зазначених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системи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техногенної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пр</w:t>
      </w:r>
      <w:r>
        <w:rPr>
          <w:rFonts w:ascii="Times New Roman" w:hAnsi="Times New Roman" w:cs="Times New Roman"/>
          <w:spacing w:val="-6"/>
          <w:sz w:val="28"/>
          <w:szCs w:val="28"/>
        </w:rPr>
        <w:t>иродної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стане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запорукою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поступального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руху до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досягнення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необх</w:t>
      </w:r>
      <w:r>
        <w:rPr>
          <w:rFonts w:ascii="Times New Roman" w:hAnsi="Times New Roman" w:cs="Times New Roman"/>
          <w:spacing w:val="-6"/>
          <w:sz w:val="28"/>
          <w:szCs w:val="28"/>
        </w:rPr>
        <w:t>ідного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безпечного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і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здоров'я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 xml:space="preserve">, а </w:t>
      </w:r>
      <w:proofErr w:type="spellStart"/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>саме</w:t>
      </w:r>
      <w:proofErr w:type="spellEnd"/>
      <w:r w:rsidR="00F66DB6" w:rsidRPr="00F66DB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BF4746" w:rsidRPr="00D04E68" w:rsidRDefault="00D43043" w:rsidP="00BF47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04E6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У</w:t>
      </w:r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управління</w:t>
      </w:r>
      <w:proofErr w:type="spellEnd"/>
      <w:r w:rsidR="00BF4746" w:rsidRPr="00D04E68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Гайсинської міської </w:t>
      </w:r>
      <w:proofErr w:type="spellStart"/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субланки</w:t>
      </w:r>
      <w:proofErr w:type="spellEnd"/>
      <w:r w:rsidR="008405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Гайсинської районної ланки територіальної підсистеми єдиної державної системи цивільного захисту Вінницької області</w:t>
      </w:r>
      <w:r w:rsidR="008405B9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ролі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значення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еми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реагування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техногенного 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та природного характеру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загальної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аналізу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природної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техногенної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безпеки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місцевому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рівні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визн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ачення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коригування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конкретних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F4746" w:rsidRPr="00D04E68" w:rsidRDefault="00BF4746" w:rsidP="00D430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У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удосконалення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практични</w:t>
      </w:r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х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заходів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захисту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населення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</w:rPr>
        <w:t>від</w:t>
      </w:r>
      <w:proofErr w:type="spellEnd"/>
      <w:r w:rsidR="00D43043" w:rsidRPr="00D04E6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надзвичайних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ситуацій</w:t>
      </w:r>
      <w:proofErr w:type="spellEnd"/>
      <w:r w:rsidRPr="00D04E68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безперервного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функціону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експлуатаційно-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обслуговування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систем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опові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щення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керівного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складу,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органів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управління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наявного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фонду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сних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споруд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цивільної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оборони у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готовність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використання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призначенням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скорочення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їх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чисельності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D04E68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ефективності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небезпечних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хімічних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речовин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режимів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адіаційного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використанням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засобі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колективного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разі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радіаційного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забруднення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утримання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накопи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чення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матеріальних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резервів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для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ліквідації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їх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слідків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обсягах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відповідно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затвердженої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номенклатури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належного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транспо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рту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пальним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при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виконанні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евакуаційних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особливий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період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D4304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інжене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рно-технічних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спрямованих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стійкості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D43043">
        <w:rPr>
          <w:rFonts w:ascii="Times New Roman" w:hAnsi="Times New Roman" w:cs="Times New Roman"/>
          <w:spacing w:val="-6"/>
          <w:sz w:val="28"/>
          <w:szCs w:val="28"/>
        </w:rPr>
        <w:t>ункціонування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43043">
        <w:rPr>
          <w:rFonts w:ascii="Times New Roman" w:hAnsi="Times New Roman" w:cs="Times New Roman"/>
          <w:spacing w:val="-6"/>
          <w:sz w:val="28"/>
          <w:szCs w:val="28"/>
        </w:rPr>
        <w:t>об'єктів</w:t>
      </w:r>
      <w:proofErr w:type="spellEnd"/>
      <w:r w:rsidR="00D43043">
        <w:rPr>
          <w:rFonts w:ascii="Times New Roman" w:hAnsi="Times New Roman" w:cs="Times New Roman"/>
          <w:spacing w:val="-6"/>
          <w:sz w:val="28"/>
          <w:szCs w:val="28"/>
        </w:rPr>
        <w:t xml:space="preserve"> і систем</w:t>
      </w:r>
      <w:r w:rsidR="00D4304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життєзабезпечення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E47B4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планування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евакуаційних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одів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всіх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категорій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яке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проживає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пунктах,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знаходяться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у зонах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можливого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катастрофічного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затоплення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ебезпечного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хімічного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ураження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районах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стихійного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лиха (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масових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лісових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пожеж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, п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підтоплень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lastRenderedPageBreak/>
        <w:t>інших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геофізичних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гідрометеорологічних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явищ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тяжкими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наслідками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), великих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аварій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(у тому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числі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пов'язаних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можливими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терористичними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проявами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воєнними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діями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BF4746" w:rsidRPr="00BE47B4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організація та забезпечення заходів щодо санітарної охорони тер</w:t>
      </w:r>
      <w:r w:rsidR="00BE47B4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иторії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громади</w:t>
      </w:r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 заносу та розповсюд</w:t>
      </w:r>
      <w:r w:rsidR="00BE47B4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ження карантинних та екзотичних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висококонтагіозних</w:t>
      </w:r>
      <w:proofErr w:type="spellEnd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інфекційних </w:t>
      </w:r>
      <w:proofErr w:type="spellStart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хвороб</w:t>
      </w:r>
      <w:proofErr w:type="spellEnd"/>
      <w:r w:rsidR="00BF4746" w:rsidRP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викидам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скидам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забрудн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юючих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речовин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, особливо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поводження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відходами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інфекційних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захворювань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внаслідок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порушень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вимог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порядку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водовідведення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4E3B0A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завчасна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житт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єзабезпечення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під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час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020B7F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вжиття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недопущен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відключення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об'єктів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питного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водовідведення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систем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енерго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-, газо-,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теплопостачання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обов'язкового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навчання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керівників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усіх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рівнів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питань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територій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звичайних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природного і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техногенного характеру;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розробка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методи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документів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населення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прир</w:t>
      </w:r>
      <w:r>
        <w:rPr>
          <w:rFonts w:ascii="Times New Roman" w:hAnsi="Times New Roman" w:cs="Times New Roman"/>
          <w:spacing w:val="-6"/>
          <w:sz w:val="28"/>
          <w:szCs w:val="28"/>
        </w:rPr>
        <w:t>одного і техногенного характеру.</w:t>
      </w:r>
    </w:p>
    <w:p w:rsidR="00BF4746" w:rsidRPr="00C849CE" w:rsidRDefault="00BE47B4" w:rsidP="00BF47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849C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У</w:t>
      </w:r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сфері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запобігання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виникненню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надзвичайних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ситуацій</w:t>
      </w:r>
      <w:proofErr w:type="spellEnd"/>
      <w:r w:rsidR="00BF4746" w:rsidRPr="00C849CE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здійснення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аналізу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визначення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конкретних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заходів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його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подальшого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C849CE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визначення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уточнення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найбільш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вірогідних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ризиків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виникнення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BE47B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дієвих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захо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дів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щодо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завчасного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(планового)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комплексу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організаційни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інженерно-технічних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профілактичних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робіт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запобігання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найбільш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вірогідним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громади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надзвичайним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ситуаціям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природного і техногенного характеру в межах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виконання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Програми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системи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спостер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ежень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і контролю,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насамперед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радіаційних,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гідрогеологічних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гідрометеорологічних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хнологічних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епідеміологічних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питань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1524C" w:rsidRPr="00A1524C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уточнення зведеного реєстру небезпечних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обєктів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; </w:t>
      </w:r>
    </w:p>
    <w:p w:rsidR="00BF4746" w:rsidRP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удосконалення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інформаційного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</w:t>
      </w:r>
      <w:r w:rsidR="00BE47B4">
        <w:rPr>
          <w:rFonts w:ascii="Times New Roman" w:hAnsi="Times New Roman" w:cs="Times New Roman"/>
          <w:spacing w:val="-6"/>
          <w:sz w:val="28"/>
          <w:szCs w:val="28"/>
        </w:rPr>
        <w:t>ення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сфері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цивільного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E47B4">
        <w:rPr>
          <w:rFonts w:ascii="Times New Roman" w:hAnsi="Times New Roman" w:cs="Times New Roman"/>
          <w:spacing w:val="-6"/>
          <w:sz w:val="28"/>
          <w:szCs w:val="28"/>
        </w:rPr>
        <w:t>захисту</w:t>
      </w:r>
      <w:proofErr w:type="spellEnd"/>
      <w:r w:rsidR="00BE47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шляхом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впровадження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технологій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A1524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підвищення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е</w:t>
      </w:r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>ф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ективності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си</w:t>
      </w:r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стем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збору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обробки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доведення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оперативної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інформації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про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</w:t>
      </w:r>
      <w:r w:rsidR="00193C88">
        <w:rPr>
          <w:rFonts w:ascii="Times New Roman" w:hAnsi="Times New Roman" w:cs="Times New Roman"/>
          <w:spacing w:val="-6"/>
          <w:sz w:val="28"/>
          <w:szCs w:val="28"/>
        </w:rPr>
        <w:t>йні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ситуації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основі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93C88">
        <w:rPr>
          <w:rFonts w:ascii="Times New Roman" w:hAnsi="Times New Roman" w:cs="Times New Roman"/>
          <w:spacing w:val="-6"/>
          <w:sz w:val="28"/>
          <w:szCs w:val="28"/>
        </w:rPr>
        <w:t>сучасних</w:t>
      </w:r>
      <w:proofErr w:type="spellEnd"/>
      <w:r w:rsidR="00193C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інформаційних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технологій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F4746" w:rsidRPr="00BF4746" w:rsidRDefault="00A1524C" w:rsidP="00D04E6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забезпечення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реального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накопичення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матеріальн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>ого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резерв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обсягах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необхідних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D04E68">
        <w:rPr>
          <w:rFonts w:ascii="Times New Roman" w:hAnsi="Times New Roman" w:cs="Times New Roman"/>
          <w:spacing w:val="-6"/>
          <w:sz w:val="28"/>
          <w:szCs w:val="28"/>
        </w:rPr>
        <w:t>відкладних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робіт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пов'язаних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D04E68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ліквідацію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наслідків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надзвичайних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>ситуацій</w:t>
      </w:r>
      <w:proofErr w:type="spellEnd"/>
      <w:r w:rsidR="00BF4746" w:rsidRPr="00BF4746">
        <w:rPr>
          <w:rFonts w:ascii="Times New Roman" w:hAnsi="Times New Roman" w:cs="Times New Roman"/>
          <w:spacing w:val="-6"/>
          <w:sz w:val="28"/>
          <w:szCs w:val="28"/>
        </w:rPr>
        <w:t xml:space="preserve"> техногенного та природного</w:t>
      </w:r>
      <w:r w:rsidR="00D04E6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характеру.</w:t>
      </w:r>
    </w:p>
    <w:p w:rsidR="00157D78" w:rsidRDefault="00157D78">
      <w:pPr>
        <w:rPr>
          <w:lang w:val="x-none"/>
        </w:rPr>
      </w:pPr>
    </w:p>
    <w:p w:rsidR="00157D78" w:rsidRDefault="00157D78">
      <w:pPr>
        <w:rPr>
          <w:lang w:val="x-none"/>
        </w:rPr>
        <w:sectPr w:rsidR="00157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D7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157D7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E5837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5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EE5837" w:rsidRPr="00EE5837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програм</w:t>
      </w:r>
      <w:r w:rsidR="00EE583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75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цивільного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територі</w:t>
      </w:r>
      <w:proofErr w:type="spellEnd"/>
      <w:r w:rsidR="001A54DF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</w:p>
    <w:p w:rsidR="00EE5837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разі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загрози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</w:p>
    <w:p w:rsidR="00157D78" w:rsidRDefault="00EE5837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5837">
        <w:rPr>
          <w:rFonts w:ascii="Times New Roman" w:hAnsi="Times New Roman" w:cs="Times New Roman"/>
          <w:bCs/>
          <w:sz w:val="28"/>
          <w:szCs w:val="28"/>
        </w:rPr>
        <w:t>ситуацій</w:t>
      </w:r>
      <w:proofErr w:type="spellEnd"/>
      <w:r w:rsidRPr="00EE5837">
        <w:rPr>
          <w:rFonts w:ascii="Times New Roman" w:hAnsi="Times New Roman" w:cs="Times New Roman"/>
          <w:bCs/>
          <w:sz w:val="28"/>
          <w:szCs w:val="28"/>
        </w:rPr>
        <w:t xml:space="preserve">   на 20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E5837">
        <w:rPr>
          <w:rFonts w:ascii="Times New Roman" w:hAnsi="Times New Roman" w:cs="Times New Roman"/>
          <w:bCs/>
          <w:sz w:val="28"/>
          <w:szCs w:val="28"/>
        </w:rPr>
        <w:t>-202</w:t>
      </w:r>
      <w:r w:rsidRPr="00EE583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EE5837">
        <w:rPr>
          <w:rFonts w:ascii="Times New Roman" w:hAnsi="Times New Roman" w:cs="Times New Roman"/>
          <w:bCs/>
          <w:sz w:val="28"/>
          <w:szCs w:val="28"/>
        </w:rPr>
        <w:t xml:space="preserve"> роки</w:t>
      </w:r>
    </w:p>
    <w:p w:rsid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8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1418"/>
        <w:gridCol w:w="708"/>
        <w:gridCol w:w="1418"/>
        <w:gridCol w:w="1086"/>
        <w:gridCol w:w="1276"/>
        <w:gridCol w:w="756"/>
        <w:gridCol w:w="851"/>
        <w:gridCol w:w="2622"/>
      </w:tblGrid>
      <w:tr w:rsidR="00157D78" w:rsidRPr="00157D78" w:rsidTr="008405B9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заходів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157D78" w:rsidRPr="00157D78" w:rsidTr="008405B9">
        <w:trPr>
          <w:trHeight w:val="1545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157D78" w:rsidRDefault="00157D78" w:rsidP="008405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622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D78" w:rsidRPr="00157D78" w:rsidTr="008405B9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57D78" w:rsidRPr="00157D78" w:rsidTr="008405B9">
        <w:trPr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B5E76" w:rsidRDefault="00C2321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Модернізація, проектування та будівництво місцевої</w:t>
            </w:r>
            <w:r w:rsidR="002B5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9E67C3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085606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085606" w:rsidRDefault="00085606" w:rsidP="0008560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157D78" w:rsidTr="008405B9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A1133" w:rsidRDefault="002A1133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C362C2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C362C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157D78" w:rsidRPr="00334BA5" w:rsidRDefault="00334BA5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C362C2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C3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обласний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8365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2A1133" w:rsidRDefault="002A113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085606" w:rsidTr="008405B9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матеріальних збитків та надання допомоги постраждалим внаслідок надзвичайних ситуацій техногенного, природного, 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воєнного характеру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стихійного лиха та інших не класифікованих надзвичайних подій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157D78" w:rsidTr="008405B9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3B7CD0" w:rsidP="001A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3B7CD0" w:rsidRDefault="006B3DC8" w:rsidP="008405B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4F7870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BD6AB7" w:rsidRDefault="00BD6AB7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085606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BD6AB7" w:rsidRDefault="00BD6AB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постів </w:t>
            </w:r>
            <w:r w:rsidR="00E85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радіаційно-хімічного спостереження приладами</w:t>
            </w:r>
          </w:p>
          <w:p w:rsidR="004F7870" w:rsidRDefault="00E85F92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радіаційної, хімічної розвідки, індивідуального захисту</w:t>
            </w:r>
          </w:p>
          <w:p w:rsidR="00D97571" w:rsidRDefault="00D97571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571" w:rsidRPr="004F7870" w:rsidRDefault="00D97571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  <w:p w:rsidR="00157D78" w:rsidRPr="00157D78" w:rsidRDefault="00D97571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332,51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E65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67,484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7D78" w:rsidRPr="00085606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57D78" w:rsidRPr="009E67C3" w:rsidRDefault="009E67C3" w:rsidP="009E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157D78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Гайсинськ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міськ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B33E8" w:rsidRPr="001A00B8" w:rsidRDefault="001A00B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3E8" w:rsidRPr="00085606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157D78" w:rsidTr="008405B9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3D604C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83D" w:rsidRDefault="003D604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дихання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працюючого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міської ради</w:t>
            </w: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157D78" w:rsidRDefault="0025483D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3D604C" w:rsidRPr="00157D78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99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C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D604C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8" w:rsidRPr="001A00B8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04C" w:rsidRPr="00085606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3D604C" w:rsidRPr="00157D78" w:rsidRDefault="0025483D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085606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та проведення командно-штабних навчань, штабних тренувань з органами управління та сил цивільного захисту </w:t>
            </w:r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Гайсинської міської </w:t>
            </w:r>
            <w:proofErr w:type="spellStart"/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субланки</w:t>
            </w:r>
            <w:proofErr w:type="spellEnd"/>
            <w:r w:rsidR="008405B9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Гайсинської районної ланки територіальної підсистеми єдиної державної системи цивільного захисту Вінницької області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157D78" w:rsidRDefault="005A59CA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A59CA" w:rsidRPr="00157D78" w:rsidRDefault="005A59CA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E5837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27E9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3B7CD0" w:rsidRDefault="005A59C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організацією і здійсненням заходів цивільного захисту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B21405" w:rsidTr="008405B9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5AC6" w:rsidRDefault="00B2140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157D78" w:rsidRDefault="0060018E" w:rsidP="0060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A95AC6" w:rsidRPr="00B21405" w:rsidRDefault="00A95AC6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3B7CD0" w:rsidRDefault="001A00B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3B7CD0" w:rsidRDefault="00A95AC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95AC6" w:rsidRPr="003B7CD0" w:rsidRDefault="001A00B8" w:rsidP="008405B9">
            <w:pPr>
              <w:spacing w:after="0" w:line="240" w:lineRule="auto"/>
              <w:ind w:left="-57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95AC6" w:rsidRDefault="001B27E9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непрац</w:t>
            </w:r>
            <w:r w:rsidR="00171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юючого населення щодо дій в умовах НС</w:t>
            </w:r>
            <w:r w:rsidR="00A6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7D78" w:rsidRPr="00157D78" w:rsidTr="008405B9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B21405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FD6B93" w:rsidRDefault="0008560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</w:t>
            </w:r>
            <w:r w:rsidR="001A0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63,060</w:t>
            </w:r>
          </w:p>
        </w:tc>
        <w:tc>
          <w:tcPr>
            <w:tcW w:w="1086" w:type="dxa"/>
            <w:shd w:val="clear" w:color="auto" w:fill="auto"/>
          </w:tcPr>
          <w:p w:rsidR="00157D78" w:rsidRPr="00FD6B93" w:rsidRDefault="001A00B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FD6B93" w:rsidRDefault="001A00B8" w:rsidP="00DB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93167,484</w:t>
            </w:r>
          </w:p>
        </w:tc>
        <w:tc>
          <w:tcPr>
            <w:tcW w:w="756" w:type="dxa"/>
            <w:shd w:val="clear" w:color="auto" w:fill="auto"/>
          </w:tcPr>
          <w:p w:rsidR="00157D78" w:rsidRPr="00FD6B93" w:rsidRDefault="001A00B8" w:rsidP="008405B9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13,060</w:t>
            </w:r>
          </w:p>
        </w:tc>
        <w:tc>
          <w:tcPr>
            <w:tcW w:w="851" w:type="dxa"/>
            <w:shd w:val="clear" w:color="auto" w:fill="auto"/>
          </w:tcPr>
          <w:p w:rsidR="00157D78" w:rsidRPr="00FD6B93" w:rsidRDefault="0008560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  <w:r w:rsidR="001A0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2622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D78" w:rsidRDefault="00157D78" w:rsidP="0008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E6C" w:rsidRPr="00566E6C" w:rsidRDefault="00566E6C" w:rsidP="00566E6C">
      <w:pPr>
        <w:tabs>
          <w:tab w:val="left" w:pos="219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6E6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                    Анатолій ГУК</w:t>
      </w:r>
    </w:p>
    <w:sectPr w:rsidR="00566E6C" w:rsidRPr="00566E6C" w:rsidSect="00566E6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20B7F"/>
    <w:rsid w:val="00085606"/>
    <w:rsid w:val="00093820"/>
    <w:rsid w:val="00157CDD"/>
    <w:rsid w:val="00157D78"/>
    <w:rsid w:val="001715F0"/>
    <w:rsid w:val="00193C88"/>
    <w:rsid w:val="00194A84"/>
    <w:rsid w:val="001A00B8"/>
    <w:rsid w:val="001A54DF"/>
    <w:rsid w:val="001B1044"/>
    <w:rsid w:val="001B27E9"/>
    <w:rsid w:val="001F5202"/>
    <w:rsid w:val="0025483D"/>
    <w:rsid w:val="00256C79"/>
    <w:rsid w:val="00284B53"/>
    <w:rsid w:val="002A1133"/>
    <w:rsid w:val="002B33E8"/>
    <w:rsid w:val="002B5E76"/>
    <w:rsid w:val="00334BA5"/>
    <w:rsid w:val="003556A9"/>
    <w:rsid w:val="003A32A2"/>
    <w:rsid w:val="003B7CD0"/>
    <w:rsid w:val="003D604C"/>
    <w:rsid w:val="00467F17"/>
    <w:rsid w:val="004E3B0A"/>
    <w:rsid w:val="004F7870"/>
    <w:rsid w:val="0056353D"/>
    <w:rsid w:val="00566E6C"/>
    <w:rsid w:val="005A59CA"/>
    <w:rsid w:val="0060018E"/>
    <w:rsid w:val="006509B5"/>
    <w:rsid w:val="006B3DC8"/>
    <w:rsid w:val="00736008"/>
    <w:rsid w:val="007C3479"/>
    <w:rsid w:val="007E75CA"/>
    <w:rsid w:val="00824906"/>
    <w:rsid w:val="008405B9"/>
    <w:rsid w:val="00867634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E63FB"/>
    <w:rsid w:val="00AE6D33"/>
    <w:rsid w:val="00B02AB5"/>
    <w:rsid w:val="00B05AF7"/>
    <w:rsid w:val="00B1531A"/>
    <w:rsid w:val="00B21405"/>
    <w:rsid w:val="00B533B4"/>
    <w:rsid w:val="00B70B15"/>
    <w:rsid w:val="00BD6AB7"/>
    <w:rsid w:val="00BE47B4"/>
    <w:rsid w:val="00BF4746"/>
    <w:rsid w:val="00BF5AB5"/>
    <w:rsid w:val="00C07FF6"/>
    <w:rsid w:val="00C23213"/>
    <w:rsid w:val="00C362C2"/>
    <w:rsid w:val="00C5790C"/>
    <w:rsid w:val="00C777D5"/>
    <w:rsid w:val="00C849CE"/>
    <w:rsid w:val="00D04E68"/>
    <w:rsid w:val="00D344C6"/>
    <w:rsid w:val="00D43043"/>
    <w:rsid w:val="00D97571"/>
    <w:rsid w:val="00DB0E65"/>
    <w:rsid w:val="00E24EC7"/>
    <w:rsid w:val="00E455CC"/>
    <w:rsid w:val="00E85F92"/>
    <w:rsid w:val="00E9056C"/>
    <w:rsid w:val="00EA6986"/>
    <w:rsid w:val="00ED58B0"/>
    <w:rsid w:val="00EE5837"/>
    <w:rsid w:val="00F10FE9"/>
    <w:rsid w:val="00F502C3"/>
    <w:rsid w:val="00F66DB6"/>
    <w:rsid w:val="00F77284"/>
    <w:rsid w:val="00F80047"/>
    <w:rsid w:val="00FC25F9"/>
    <w:rsid w:val="00FD0ED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E68E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83CB-D7FA-44E3-8482-510D1118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7851</TotalTime>
  <Pages>1</Pages>
  <Words>12170</Words>
  <Characters>6937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21</cp:revision>
  <cp:lastPrinted>2025-06-19T11:37:00Z</cp:lastPrinted>
  <dcterms:created xsi:type="dcterms:W3CDTF">2022-11-23T12:04:00Z</dcterms:created>
  <dcterms:modified xsi:type="dcterms:W3CDTF">2025-06-19T11:37:00Z</dcterms:modified>
</cp:coreProperties>
</file>