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1065" w14:textId="06B48513" w:rsidR="00150D4A" w:rsidRPr="00A5453E" w:rsidRDefault="00A33326" w:rsidP="00A545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9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18206B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 w14:anchorId="72B43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17971481" r:id="rId7"/>
        </w:object>
      </w:r>
    </w:p>
    <w:p w14:paraId="66A06B7B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34839E2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14:paraId="74E151AA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06DA4D" w14:textId="52BA84C2" w:rsidR="00022C3E" w:rsidRPr="00022C3E" w:rsidRDefault="00E2425A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2C3E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</w:t>
      </w:r>
      <w:r w:rsidR="008E3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</w:p>
    <w:p w14:paraId="38F1730C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D75A3F" w14:textId="41F150DB" w:rsidR="00022C3E" w:rsidRPr="00022C3E" w:rsidRDefault="008E3E6F" w:rsidP="00022C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28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серпня 2025 року                       м. Гайсин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68 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сесія 8 скликання</w:t>
      </w:r>
    </w:p>
    <w:p w14:paraId="5DADE6EC" w14:textId="77777777" w:rsidR="00022C3E" w:rsidRPr="00022C3E" w:rsidRDefault="00022C3E" w:rsidP="00022C3E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71714B" w14:textId="77777777" w:rsidR="008E3E6F" w:rsidRDefault="00022C3E" w:rsidP="008E3E6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  <w:r w:rsidR="00985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«О</w:t>
      </w:r>
      <w:r w:rsidR="00985D82">
        <w:rPr>
          <w:rFonts w:ascii="Times New Roman" w:hAnsi="Times New Roman" w:cs="Times New Roman"/>
          <w:b/>
          <w:sz w:val="28"/>
          <w:szCs w:val="28"/>
          <w:lang w:val="uk-UA"/>
        </w:rPr>
        <w:t>рганізація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26B278D" w14:textId="23175054" w:rsidR="00583D84" w:rsidRDefault="00583D84" w:rsidP="008E3E6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8E3E6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D935060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77F67E9" w14:textId="34C0CB0E" w:rsidR="00022C3E" w:rsidRPr="00022C3E" w:rsidRDefault="000753A2" w:rsidP="00022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64C9">
        <w:rPr>
          <w:rFonts w:ascii="Times New Roman" w:eastAsia="Times New Roman" w:hAnsi="Times New Roman"/>
          <w:color w:val="1D1B11"/>
          <w:sz w:val="28"/>
          <w:szCs w:val="28"/>
          <w:lang w:val="uk-UA"/>
        </w:rPr>
        <w:t xml:space="preserve">Відповідно до статті 91 Бюджетного кодексу України, пункту 22 </w:t>
      </w:r>
      <w:r w:rsidRPr="00CC64C9">
        <w:rPr>
          <w:rFonts w:ascii="Times New Roman" w:eastAsia="Times New Roman" w:hAnsi="Times New Roman"/>
          <w:color w:val="1D1B11"/>
          <w:sz w:val="28"/>
          <w:szCs w:val="28"/>
          <w:shd w:val="clear" w:color="auto" w:fill="FFFFFF"/>
          <w:lang w:val="uk-UA"/>
        </w:rPr>
        <w:t>статті 26 Закону України «Про місцеве самоврядування в Україні», законів України «Про питну воду і питне водопостачання», «Про державні цільові програми», «Про комерційний облік теплової енергії та водопостачання», «Про ціни і ціноутворення», статті 31 Закону України «Про житлово-комунальні послуги», постанови Кабінету Міністрів України від 01 червня 2011 року № 869 «Про забезпечення єдиного підходу до формування тарифів на житлово-комунальні послуги»</w:t>
      </w:r>
      <w:r w:rsidR="00022C3E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рада </w:t>
      </w:r>
      <w:r w:rsidR="00022C3E"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1CC09F1" w14:textId="4217B8BF" w:rsidR="00022C3E" w:rsidRPr="00022C3E" w:rsidRDefault="00022C3E" w:rsidP="00022C3E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Програму </w:t>
      </w:r>
      <w:r w:rsidR="00985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«Організація</w:t>
      </w:r>
      <w:r w:rsidR="000753A2" w:rsidRPr="0007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відшкодування різниці між розміром тарифів на послуги централізованого водопостачання та централізованого водовідведення, затверджених рішенням Гайсинської міської ради, та їх економічно-обґрунтованим розміром на 2026-2028 роки</w:t>
      </w:r>
      <w:r w:rsidR="008E3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753A2" w:rsidRPr="0007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14:paraId="1BA64CBA" w14:textId="77777777" w:rsidR="00022C3E" w:rsidRPr="00022C3E" w:rsidRDefault="00022C3E" w:rsidP="00022C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14:paraId="55DA3DCE" w14:textId="77777777" w:rsidR="00022C3E" w:rsidRPr="00022C3E" w:rsidRDefault="00022C3E" w:rsidP="00022C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кошторисних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3081F78E" w14:textId="77777777" w:rsidR="00022C3E" w:rsidRPr="00022C3E" w:rsidRDefault="00022C3E" w:rsidP="00022C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02D5C3" w14:textId="77777777" w:rsidR="00022C3E" w:rsidRPr="00022C3E" w:rsidRDefault="00022C3E" w:rsidP="00022C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3A5C37" w14:textId="5323F331" w:rsidR="008E6A89" w:rsidRPr="008E6A89" w:rsidRDefault="00022C3E" w:rsidP="008E6A89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6A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38F09953" w14:textId="77777777" w:rsidR="008E6A89" w:rsidRPr="008E6A89" w:rsidRDefault="008E6A89" w:rsidP="008E6A89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A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0C8F3ED9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14:paraId="6E6ACF3D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C5B962" w14:textId="60D49CCB" w:rsidR="008B671D" w:rsidRPr="00A83D11" w:rsidRDefault="00A83D11" w:rsidP="00A83D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="00022C3E" w:rsidRPr="00033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8B671D" w:rsidRPr="000332E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6AECF75" w14:textId="79F10748" w:rsidR="00791C41" w:rsidRDefault="00791C41" w:rsidP="00791C4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91C4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ішенням  </w:t>
      </w:r>
      <w:r w:rsidR="00E2425A">
        <w:rPr>
          <w:rFonts w:ascii="Times New Roman" w:hAnsi="Times New Roman" w:cs="Times New Roman"/>
          <w:sz w:val="28"/>
          <w:szCs w:val="28"/>
          <w:lang w:val="uk-UA"/>
        </w:rPr>
        <w:t xml:space="preserve">86 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</w:t>
      </w:r>
    </w:p>
    <w:p w14:paraId="68F54C5A" w14:textId="51D0DB77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скликання </w:t>
      </w:r>
    </w:p>
    <w:p w14:paraId="5D659FF1" w14:textId="238E89B6" w:rsidR="008B671D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від </w:t>
      </w:r>
      <w:r w:rsidR="00E2425A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A83D11" w:rsidRPr="00791C4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E2425A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14:paraId="256999DB" w14:textId="5F401FE1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13D2DB" w14:textId="258CE66A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703598" w14:textId="50C4CDD4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190E0A" w14:textId="413C6F2C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81C725" w14:textId="7BC1C050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FBB027" w14:textId="161E2049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C94BF1" w14:textId="77777777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D0F865" w14:textId="0ED63A73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8CF5B7" w14:textId="66770B7F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91C41">
        <w:rPr>
          <w:rFonts w:ascii="Times New Roman" w:hAnsi="Times New Roman" w:cs="Times New Roman"/>
          <w:b/>
          <w:sz w:val="36"/>
          <w:szCs w:val="36"/>
          <w:lang w:val="uk-UA"/>
        </w:rPr>
        <w:t>ПРОГРАМА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0000FD27" w14:textId="77777777" w:rsidR="00791C41" w:rsidRP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BC2D381" w14:textId="1193CAB9" w:rsidR="00022C3E" w:rsidRPr="00022C3E" w:rsidRDefault="00791C41" w:rsidP="008B67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«Організація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F1485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B0C169A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BF0F46B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15FE4F1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A78A0A9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589B5BC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C3BF6C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FAC0C4C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3759C3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A0FDC6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B02547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8606D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B29AAF8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7E61264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FF1052E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A739F52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9121753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9A65C15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6788D1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7188184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7269AC0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E694B27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654EDAC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F695AC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C38FA6B" w14:textId="732EA47E" w:rsidR="00022C3E" w:rsidRPr="00022C3E" w:rsidRDefault="008B671D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1. </w:t>
      </w:r>
      <w:r w:rsidR="00022C3E"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5075"/>
      </w:tblGrid>
      <w:tr w:rsidR="00022C3E" w:rsidRPr="00022C3E" w14:paraId="362ED16E" w14:textId="77777777" w:rsidTr="004A1931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55C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  <w:p w14:paraId="3C5EBDAA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453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527" w14:textId="77777777" w:rsidR="00022C3E" w:rsidRPr="00022C3E" w:rsidRDefault="00022C3E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Гайсинська міська 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022C3E" w:rsidRPr="00022C3E" w14:paraId="0DF37982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0F8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D462EC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  <w:p w14:paraId="2CE3E6D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159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38193D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Законодавча база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50E" w14:textId="251CF082" w:rsidR="00022C3E" w:rsidRPr="00022C3E" w:rsidRDefault="00022C3E" w:rsidP="00583D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Закон України </w:t>
            </w:r>
            <w:r w:rsidR="00583D84"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житлово-комунальні послуги»</w:t>
            </w:r>
            <w:r w:rsidR="00583D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Закон України «Про ціни та ціноутворення»</w:t>
            </w:r>
          </w:p>
        </w:tc>
      </w:tr>
      <w:tr w:rsidR="00022C3E" w:rsidRPr="00985D82" w14:paraId="16D39FD7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799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C0FB57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B84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8AA" w14:textId="00716DD2" w:rsidR="00022C3E" w:rsidRPr="00022C3E" w:rsidRDefault="00A83D11" w:rsidP="00A83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E242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сесії Гайсинської міської ради 8 скликання від </w:t>
            </w:r>
            <w:r w:rsidR="00E242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.08.2025 року №</w:t>
            </w:r>
            <w:r w:rsidR="00E242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022C3E" w:rsidRPr="00985D82" w14:paraId="26E75C9C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9C8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F4CCDA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  <w:p w14:paraId="3463C72D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61D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A92C4A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022" w14:textId="5A171EF3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022C3E" w:rsidRPr="00985D82" w14:paraId="5FB35C5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180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0ECC126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ABE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FFF" w14:textId="498D4D59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022C3E" w:rsidRPr="00985D82" w14:paraId="708C7EBC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47F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049EEBD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  <w:p w14:paraId="4F589337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48F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 програми (учасники Програми)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1AD" w14:textId="7E5DEFE8" w:rsidR="00022C3E" w:rsidRPr="00022C3E" w:rsidRDefault="00022C3E" w:rsidP="0058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інфраструктури Гайсинської міської ради, </w:t>
            </w:r>
            <w:r w:rsidR="00583D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КП </w:t>
            </w:r>
            <w:proofErr w:type="spellStart"/>
            <w:r w:rsidR="00583D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Гайсинводоканал</w:t>
            </w:r>
            <w:proofErr w:type="spellEnd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022C3E" w:rsidRPr="00022C3E" w14:paraId="35AA285F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4AB" w14:textId="26A50F52" w:rsidR="00022C3E" w:rsidRPr="00022C3E" w:rsidRDefault="00022C3E" w:rsidP="00A83D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71B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F7D" w14:textId="77777777" w:rsidR="00022C3E" w:rsidRPr="00022C3E" w:rsidRDefault="00022C3E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022C3E" w:rsidRPr="00022C3E" w14:paraId="291DA70A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38F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347" w14:textId="77732552" w:rsidR="00022C3E" w:rsidRPr="00022C3E" w:rsidRDefault="00022C3E" w:rsidP="00583D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62A" w14:textId="275FF3DF" w:rsidR="00022C3E" w:rsidRPr="00022C3E" w:rsidRDefault="00A83D11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022C3E" w:rsidRPr="00022C3E" w14:paraId="4C617C0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3C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8CB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кредиторська заборгованість минулих періодів, необхідних для реалізації програми, всього, гривень</w:t>
            </w:r>
          </w:p>
          <w:p w14:paraId="0700ABF1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802" w14:textId="0072CCEB" w:rsidR="00022C3E" w:rsidRPr="00022C3E" w:rsidRDefault="00583D84" w:rsidP="0075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428339</w:t>
            </w:r>
            <w:r w:rsidR="00757A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22C3E" w:rsidRPr="00022C3E" w14:paraId="0036D868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B11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  <w:p w14:paraId="19A6DE0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0EE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880" w14:textId="3523A43F" w:rsidR="00022C3E" w:rsidRPr="00022C3E" w:rsidRDefault="00757AE4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42833</w:t>
            </w:r>
            <w:r w:rsidR="00583D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22C3E" w:rsidRPr="00022C3E" w14:paraId="0206164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035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475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79C" w14:textId="40FC77DE" w:rsidR="00022C3E" w:rsidRPr="00022C3E" w:rsidRDefault="00791C41" w:rsidP="0079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0418CA97" w14:textId="77777777" w:rsidR="00791C41" w:rsidRDefault="00791C41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D7423" w14:textId="308F4A0E" w:rsidR="00082193" w:rsidRDefault="008B671D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AE0ACB" w:rsidRPr="008B671D">
        <w:rPr>
          <w:rFonts w:ascii="Times New Roman" w:hAnsi="Times New Roman" w:cs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3E208F01" w14:textId="77777777" w:rsidR="000332E1" w:rsidRPr="008B671D" w:rsidRDefault="000332E1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D46AB" w14:textId="77777777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здійснює свою діяльність на підставі Статуту, затвердженого рішенням Гайсинської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ради. Основними видами діяльності підприємства є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надання житлово-комунальних послуг з централізованого водопостачання та централізованого водовідведення.</w:t>
      </w:r>
    </w:p>
    <w:p w14:paraId="75FCF3CC" w14:textId="7DF6996A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статті 31 Закону України «Про житлово-комунальні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орган місцевого самоврядування встановлює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тарифи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послуги.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статті 15 Закону України «Про ціни та ціноутворення» орган місцевого самоврядування, який встановив тарифи в розмірі, нижчому від економічно-</w:t>
      </w:r>
      <w:r w:rsidR="00292729">
        <w:rPr>
          <w:rFonts w:ascii="Times New Roman" w:hAnsi="Times New Roman" w:cs="Times New Roman"/>
          <w:sz w:val="28"/>
          <w:szCs w:val="28"/>
          <w:lang w:val="uk-UA"/>
        </w:rPr>
        <w:t>обґрунтованого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розміру,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зобов’язаний відшкодувати виконавцю різницю між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такими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розмір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за рахунок коштів</w:t>
      </w:r>
      <w:r w:rsidR="008D473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21C59C" w14:textId="77777777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 разі змін цін на складові тарифів, збільшення мінімальної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заробітної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плати, податків та зборів діюче законодавство, зокрема, постанова Кабінету Міністрів України від 01 червня 2011 року №</w:t>
      </w:r>
      <w:r w:rsidR="007C2C1A" w:rsidRPr="00866DC9">
        <w:rPr>
          <w:rFonts w:ascii="Times New Roman" w:hAnsi="Times New Roman" w:cs="Times New Roman"/>
          <w:sz w:val="28"/>
          <w:szCs w:val="28"/>
          <w:lang w:val="uk-UA"/>
        </w:rPr>
        <w:t>869 «Про забезпечення єдиного підходу до формування тарифів на житлово-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комунальні послуги»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14:paraId="1EA6A5C0" w14:textId="77777777" w:rsidR="000D53C5" w:rsidRPr="00866DC9" w:rsidRDefault="000D53C5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Проте, сама процедура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організаційні та технологічні зміни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підприємствах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, не дозволяють здійснювати коригування діючих тарифів при кожній зміні цін на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складові. В результаті на підприємстві створюються значні суми кредиторської заборгованості, в тому числі із заробітної плати, податках, єдиному соціальному внеску, оплаті за енергоносії. Виробник послуг не в змозі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поточні ремонти мереж та інше через відсутність коштів.</w:t>
      </w:r>
    </w:p>
    <w:p w14:paraId="7A317370" w14:textId="5B049004" w:rsidR="000D53C5" w:rsidRPr="00866DC9" w:rsidRDefault="00552DE7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ідсутність відшкодовуванн</w:t>
      </w:r>
      <w:r w:rsidR="007D5927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767E2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="00C767E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різниці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між розміром затверджених тарифів та їх економічно-</w:t>
      </w:r>
      <w:r w:rsidR="00292729">
        <w:rPr>
          <w:rFonts w:ascii="Times New Roman" w:hAnsi="Times New Roman" w:cs="Times New Roman"/>
          <w:sz w:val="28"/>
          <w:szCs w:val="28"/>
          <w:lang w:val="uk-UA"/>
        </w:rPr>
        <w:t>обґрунтованими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ставить під загрозу стабільність забезпечення населення житлово-комунальними послугами належної якості і може призвести до:</w:t>
      </w:r>
    </w:p>
    <w:p w14:paraId="562694D6" w14:textId="77777777" w:rsidR="000D53C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або суттєвого обмеження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цих послуг;</w:t>
      </w:r>
    </w:p>
    <w:p w14:paraId="2128A70B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заборгованості за спожиту електроенергію </w:t>
      </w:r>
      <w:r w:rsidR="00082193" w:rsidRPr="00FB2A6D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товаро</w:t>
      </w:r>
      <w:r w:rsidR="00082193" w:rsidRPr="00FB2A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матеріальні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цінності;</w:t>
      </w:r>
    </w:p>
    <w:p w14:paraId="2F9D078C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>виникнення заборгованості із заробітної плати;</w:t>
      </w:r>
    </w:p>
    <w:p w14:paraId="36374254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штрафних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санкцій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і пені за несвоєчасні і неповні розрахунки за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енергоносії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та по податкових зобов’язанням.</w:t>
      </w:r>
    </w:p>
    <w:p w14:paraId="00F85A66" w14:textId="4217C8FC" w:rsidR="00AB1165" w:rsidRDefault="00AB1165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в тарифах для населення з міського бюджету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реальним джерелом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>» в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разі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тарифів в розмірі менш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>ому,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ніж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обґрунтований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та в період між встановленням нових тарифів. </w:t>
      </w:r>
    </w:p>
    <w:p w14:paraId="258632CE" w14:textId="2B689ED2" w:rsidR="00F519C8" w:rsidRPr="00866DC9" w:rsidRDefault="00F519C8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2024-2025 року з бюджету Гайсинської міської територіальної громади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 відшкодування різниці в тарифах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були виділено </w:t>
      </w:r>
      <w:r w:rsidR="002C75DF">
        <w:rPr>
          <w:rFonts w:ascii="Times New Roman" w:hAnsi="Times New Roman" w:cs="Times New Roman"/>
          <w:sz w:val="28"/>
          <w:szCs w:val="28"/>
          <w:lang w:val="uk-UA"/>
        </w:rPr>
        <w:t>16837,720 тис. грн., що запобігло виникненню кредиторської заборгованості на підприємстві, що у свою чергу не призвело до обмеження водопостачання 9184 абонентів, а це 18143 особи, з яких станом на 01.01.2025 року: 10887 жінок і 7256 чоловіків.</w:t>
      </w:r>
    </w:p>
    <w:p w14:paraId="40896E06" w14:textId="77777777" w:rsidR="002C75DF" w:rsidRDefault="002C75DF" w:rsidP="00FB0BDF">
      <w:pPr>
        <w:pStyle w:val="a3"/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1E6941" w14:textId="1AB9F564" w:rsidR="009D657F" w:rsidRDefault="008B671D" w:rsidP="00FB0BDF">
      <w:pPr>
        <w:pStyle w:val="a3"/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91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1C41">
        <w:rPr>
          <w:rFonts w:ascii="Times New Roman" w:hAnsi="Times New Roman" w:cs="Times New Roman"/>
          <w:b/>
          <w:sz w:val="28"/>
          <w:szCs w:val="28"/>
          <w:lang w:val="uk-UA"/>
        </w:rPr>
        <w:t>мети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C6779A7" w14:textId="77777777" w:rsidR="008B671D" w:rsidRPr="00866DC9" w:rsidRDefault="008B671D" w:rsidP="00A83D11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48E03" w14:textId="23DF8070" w:rsidR="00B67851" w:rsidRPr="00C9725D" w:rsidRDefault="009D657F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Прийняття даної Програми має за мету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>ідшкодування різниці між розміром затверджених тарифів для населення на централізоване водопостачання та централізоване водовідведення  та їх економічно-</w:t>
      </w:r>
      <w:r w:rsidR="00791C41" w:rsidRPr="00C9725D">
        <w:rPr>
          <w:rFonts w:ascii="Times New Roman" w:hAnsi="Times New Roman" w:cs="Times New Roman"/>
          <w:sz w:val="28"/>
          <w:szCs w:val="28"/>
          <w:lang w:val="uk-UA"/>
        </w:rPr>
        <w:t>обґрунтованими</w:t>
      </w:r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, що забезпечить:</w:t>
      </w:r>
    </w:p>
    <w:p w14:paraId="22783968" w14:textId="3EFF112D" w:rsidR="009D657F" w:rsidRPr="00866DC9" w:rsidRDefault="00C767E2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стабілізаці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стан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у КП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D657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надання послуг з централізованого водопостачання та централізованого водовідведення;</w:t>
      </w:r>
    </w:p>
    <w:p w14:paraId="533402D5" w14:textId="77777777" w:rsidR="00B67851" w:rsidRDefault="00B67851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кількості та якості наданих послуг з централізованого водопостачання та централізованого водовідведення; </w:t>
      </w:r>
    </w:p>
    <w:p w14:paraId="26896133" w14:textId="284FDFF7" w:rsidR="001E3840" w:rsidRPr="00D96726" w:rsidRDefault="009D657F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дотримання вимог діючого законодавства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E674BF" w14:textId="77777777" w:rsidR="007D4191" w:rsidRPr="00866DC9" w:rsidRDefault="007D4191" w:rsidP="00A83D1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445E7" w14:textId="11E67B78" w:rsidR="00514F69" w:rsidRDefault="008B671D" w:rsidP="00583D8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0BDF" w:rsidRPr="00583D84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151305" w:rsidRP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12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завдань </w:t>
      </w:r>
      <w:r w:rsidR="00151305" w:rsidRPr="00583D84">
        <w:rPr>
          <w:rFonts w:ascii="Times New Roman" w:hAnsi="Times New Roman" w:cs="Times New Roman"/>
          <w:b/>
          <w:sz w:val="28"/>
          <w:szCs w:val="28"/>
          <w:lang w:val="uk-UA"/>
        </w:rPr>
        <w:t>і засобів розв’язання проблем</w:t>
      </w:r>
      <w:r w:rsidR="00F1764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1A1297">
        <w:rPr>
          <w:rFonts w:ascii="Times New Roman" w:hAnsi="Times New Roman" w:cs="Times New Roman"/>
          <w:b/>
          <w:sz w:val="28"/>
          <w:szCs w:val="28"/>
          <w:lang w:val="uk-UA"/>
        </w:rPr>
        <w:t>, завдань і заходів, показники</w:t>
      </w:r>
      <w:r w:rsidR="004D71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результативності Програми</w:t>
      </w:r>
    </w:p>
    <w:p w14:paraId="033F0CD0" w14:textId="77777777" w:rsidR="00F17646" w:rsidRPr="00583D84" w:rsidRDefault="00F17646" w:rsidP="00A83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0CA83E" w14:textId="77777777" w:rsidR="00514F69" w:rsidRDefault="00514F69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 різниці в тарифах для населення з міського бюджету є найбільш реальним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засобом для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0749970" w14:textId="2A4F412A" w:rsidR="00151305" w:rsidRPr="00866DC9" w:rsidRDefault="00151305" w:rsidP="00A8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F69">
        <w:rPr>
          <w:rFonts w:ascii="Times New Roman" w:hAnsi="Times New Roman" w:cs="Times New Roman"/>
          <w:sz w:val="28"/>
          <w:szCs w:val="28"/>
          <w:lang w:val="uk-UA"/>
        </w:rPr>
        <w:t>Серед альтернативних способів досягнення цілей даної Програми є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більш високих економічно </w:t>
      </w:r>
      <w:r w:rsidR="00FB0BDF" w:rsidRPr="00514F69">
        <w:rPr>
          <w:rFonts w:ascii="Times New Roman" w:hAnsi="Times New Roman" w:cs="Times New Roman"/>
          <w:sz w:val="28"/>
          <w:szCs w:val="28"/>
          <w:lang w:val="uk-UA"/>
        </w:rPr>
        <w:t>обґрунтованих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 тарифі</w:t>
      </w:r>
      <w:r w:rsidR="00082193" w:rsidRPr="00514F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3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Ця альтернатива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неприйнятною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 двох причин:</w:t>
      </w:r>
    </w:p>
    <w:p w14:paraId="0BD967A3" w14:textId="77777777" w:rsidR="005E76B5" w:rsidRDefault="00151305" w:rsidP="000332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своєчасність процедури перегляду тарифів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неможлива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з-за самої процедури її встановлення;</w:t>
      </w:r>
    </w:p>
    <w:p w14:paraId="0DDBCC8C" w14:textId="276C9694" w:rsidR="00151305" w:rsidRPr="005E76B5" w:rsidRDefault="00151305" w:rsidP="000332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6B5">
        <w:rPr>
          <w:rFonts w:ascii="Times New Roman" w:hAnsi="Times New Roman" w:cs="Times New Roman"/>
          <w:sz w:val="28"/>
          <w:szCs w:val="28"/>
          <w:lang w:val="uk-UA"/>
        </w:rPr>
        <w:t>часте підвищення тарифі</w:t>
      </w:r>
      <w:r w:rsidR="00082193" w:rsidRPr="005E76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76B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B0BDF" w:rsidRPr="005E76B5">
        <w:rPr>
          <w:rFonts w:ascii="Times New Roman" w:hAnsi="Times New Roman" w:cs="Times New Roman"/>
          <w:sz w:val="28"/>
          <w:szCs w:val="28"/>
          <w:lang w:val="uk-UA"/>
        </w:rPr>
        <w:t>населення небажане з соціально</w:t>
      </w:r>
      <w:r w:rsidRPr="005E76B5">
        <w:rPr>
          <w:rFonts w:ascii="Times New Roman" w:hAnsi="Times New Roman" w:cs="Times New Roman"/>
          <w:sz w:val="28"/>
          <w:szCs w:val="28"/>
          <w:lang w:val="uk-UA"/>
        </w:rPr>
        <w:t>-політичних мотивів.</w:t>
      </w:r>
    </w:p>
    <w:p w14:paraId="4F9F4CF7" w14:textId="24417270" w:rsidR="002D4266" w:rsidRDefault="00151305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З метою врахування інтересів споживачів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D96726">
        <w:rPr>
          <w:rFonts w:ascii="Times New Roman" w:hAnsi="Times New Roman" w:cs="Times New Roman"/>
          <w:sz w:val="28"/>
          <w:szCs w:val="28"/>
          <w:lang w:val="uk-UA"/>
        </w:rPr>
        <w:t xml:space="preserve"> та дотримуючись норм чинного законодавства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, вирішення проблеми пропонується здійснити шляхом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між розміром тариф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 затвердж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Гайсинської міської ради, та 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розміром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6C4DC5" w14:textId="5AED807E" w:rsidR="00F30C83" w:rsidRDefault="002D4266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ідшкодування різниці в тарифах для комунального підприємства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52DE7">
        <w:rPr>
          <w:rFonts w:ascii="Times New Roman" w:hAnsi="Times New Roman" w:cs="Times New Roman"/>
          <w:sz w:val="28"/>
          <w:szCs w:val="28"/>
          <w:lang w:val="uk-UA"/>
        </w:rPr>
        <w:t>місяч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0F253B">
        <w:rPr>
          <w:rFonts w:ascii="Times New Roman" w:hAnsi="Times New Roman" w:cs="Times New Roman"/>
          <w:sz w:val="28"/>
          <w:szCs w:val="28"/>
          <w:lang w:val="uk-UA"/>
        </w:rPr>
        <w:t xml:space="preserve"> згідно фактичних об</w:t>
      </w:r>
      <w:r w:rsidR="000F253B" w:rsidRPr="000F253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F253B">
        <w:rPr>
          <w:rFonts w:ascii="Times New Roman" w:hAnsi="Times New Roman" w:cs="Times New Roman"/>
          <w:sz w:val="28"/>
          <w:szCs w:val="28"/>
          <w:lang w:val="uk-UA"/>
        </w:rPr>
        <w:t>ємів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DE7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попередній місяць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розрахунку різниці між розміром тариф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централізоване водопостачання та централізоване водовідведення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для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розміром,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hAnsi="Times New Roman" w:cs="Times New Roman"/>
          <w:sz w:val="28"/>
          <w:szCs w:val="28"/>
          <w:lang w:val="uk-UA"/>
        </w:rPr>
        <w:t>ений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3ED">
        <w:rPr>
          <w:rFonts w:ascii="Times New Roman" w:hAnsi="Times New Roman" w:cs="Times New Roman"/>
          <w:sz w:val="28"/>
          <w:szCs w:val="28"/>
          <w:lang w:val="uk-UA"/>
        </w:rPr>
        <w:t xml:space="preserve"> Розрахунок обсягів компенсації різниці в тарифах на кожен рік зазначений у додатку 3 до цієї програми.</w:t>
      </w:r>
    </w:p>
    <w:p w14:paraId="616E2B0A" w14:textId="42497BBA" w:rsidR="00644921" w:rsidRDefault="00644921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 з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авданням Програми</w:t>
      </w:r>
      <w:r w:rsidR="00D522CD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C75D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табілізація фінансового стану та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належної та безперебійної 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>діяльності КП «</w:t>
      </w:r>
      <w:proofErr w:type="spellStart"/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>» в частині надання послуг з централізованого водопостачання та централізованого водовідведення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3B6B48" w14:textId="6FD7DD68" w:rsidR="00644921" w:rsidRDefault="00644921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даного завдання забезпечить:</w:t>
      </w:r>
    </w:p>
    <w:p w14:paraId="6B396C1C" w14:textId="3D605735" w:rsidR="008D1AB9" w:rsidRPr="00644921" w:rsidRDefault="00FB0BDF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921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та покращення якості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 з централізованого водопостачання та централізованого водовідведення;</w:t>
      </w:r>
    </w:p>
    <w:p w14:paraId="14F55128" w14:textId="4293CD66" w:rsidR="008D1AB9" w:rsidRDefault="008D1AB9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921">
        <w:rPr>
          <w:rFonts w:ascii="Times New Roman" w:hAnsi="Times New Roman" w:cs="Times New Roman"/>
          <w:sz w:val="28"/>
          <w:szCs w:val="28"/>
          <w:lang w:val="uk-UA"/>
        </w:rPr>
        <w:t>забезпечення своєчасних розрахунків за надані послуги.</w:t>
      </w:r>
    </w:p>
    <w:p w14:paraId="022AFDD9" w14:textId="77777777" w:rsidR="00EB5C3A" w:rsidRPr="00866DC9" w:rsidRDefault="00EB5C3A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виконання вимог Закону України «Про житлово-комунальні послуги»</w:t>
      </w:r>
    </w:p>
    <w:p w14:paraId="6828A171" w14:textId="2657BDDA" w:rsidR="00EB5C3A" w:rsidRPr="001E3840" w:rsidRDefault="00EB5C3A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своєчасна сплата податків, зборів та інших платежів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E3840">
        <w:rPr>
          <w:rFonts w:ascii="Times New Roman" w:hAnsi="Times New Roman" w:cs="Times New Roman"/>
          <w:sz w:val="28"/>
          <w:szCs w:val="28"/>
          <w:lang w:val="uk-UA"/>
        </w:rPr>
        <w:t>належне виконання зобов’язань роботодавця перед працівниками підприємства по оплаті праці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2351C" w14:textId="77777777" w:rsidR="00791C41" w:rsidRDefault="00791C41" w:rsidP="002C75D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Програми.</w:t>
      </w:r>
    </w:p>
    <w:p w14:paraId="196D8C27" w14:textId="5B154F36" w:rsidR="008B671D" w:rsidRDefault="008B671D" w:rsidP="002C7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247"/>
        <w:gridCol w:w="1446"/>
        <w:gridCol w:w="1417"/>
        <w:gridCol w:w="1389"/>
        <w:gridCol w:w="1730"/>
      </w:tblGrid>
      <w:tr w:rsidR="00791C41" w:rsidRPr="00FB02EF" w14:paraId="457EE8EE" w14:textId="77777777" w:rsidTr="004F0B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7CA9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441A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51B7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5C322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EBA753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791C41" w:rsidRPr="00FB02EF" w14:paraId="5D7AA2B7" w14:textId="77777777" w:rsidTr="004F0B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BAC5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BD5E9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A03EB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11A8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33837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307C2E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E7A0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91C41" w:rsidRPr="00FB02EF" w14:paraId="356DDBFC" w14:textId="77777777" w:rsidTr="004F0B98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2C28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C7E707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D1FC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6D3E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859BF1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BC6423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68A8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91C41" w:rsidRPr="00FB02EF" w14:paraId="7049FFD4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D1C0D" w14:textId="77777777" w:rsidR="00791C41" w:rsidRPr="00FB02EF" w:rsidRDefault="00791C41" w:rsidP="004F0B98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791C41" w:rsidRPr="00FB02EF" w14:paraId="06A16989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5170" w14:textId="17AF58E4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2568" w14:textId="650673D7" w:rsidR="00791C41" w:rsidRPr="00FB02EF" w:rsidRDefault="00791C41" w:rsidP="00574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Обсяг видатків на </w:t>
            </w:r>
            <w:r w:rsidR="005749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відшкодування тарифів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D9F4" w14:textId="4396DBA4" w:rsidR="00791C41" w:rsidRPr="00FB02EF" w:rsidRDefault="00791C41" w:rsidP="004F0B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30F1" w14:textId="3464B3F5" w:rsidR="00791C41" w:rsidRPr="00FB02EF" w:rsidRDefault="0057493B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10437669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C7C73" w14:textId="4C06A6C0" w:rsidR="00791C41" w:rsidRPr="00FB02EF" w:rsidRDefault="0057493B" w:rsidP="004F0B9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11706925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EF4A9" w14:textId="6C005B81" w:rsidR="00791C41" w:rsidRPr="00FB02EF" w:rsidRDefault="0057493B" w:rsidP="004F0B9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12224517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C9AA" w14:textId="531A8BF2" w:rsidR="00791C41" w:rsidRPr="00FB02EF" w:rsidRDefault="0099404C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34369,111</w:t>
            </w:r>
          </w:p>
        </w:tc>
      </w:tr>
      <w:tr w:rsidR="00791C41" w:rsidRPr="00FB02EF" w14:paraId="1A3F6D2A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A5A19" w14:textId="77777777" w:rsidR="00791C41" w:rsidRPr="00FB02EF" w:rsidRDefault="00791C41" w:rsidP="004F0B98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791C41" w:rsidRPr="00FB02EF" w14:paraId="50B18161" w14:textId="77777777" w:rsidTr="0099404C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B64F" w14:textId="28B3B219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500" w14:textId="5B8ECB3A" w:rsidR="00791C41" w:rsidRPr="00FB02EF" w:rsidRDefault="0099404C" w:rsidP="004F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40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надання послуг централізованого водопостачання та централізованого водовідведення для населення міста Гайсин на рік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11BC" w14:textId="7A905B99" w:rsidR="00791C41" w:rsidRPr="00FB02EF" w:rsidRDefault="0099404C" w:rsidP="004F0B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тис.м</w:t>
            </w: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791C41" w:rsidRPr="00FB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ED83" w14:textId="68CFE0E1" w:rsidR="00791C41" w:rsidRPr="00FB02EF" w:rsidRDefault="0099404C" w:rsidP="00994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17B62" w14:textId="23E0E727" w:rsidR="00791C41" w:rsidRPr="00FB02EF" w:rsidRDefault="0099404C" w:rsidP="0099404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466,12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17004" w14:textId="52BCDAAC" w:rsidR="0099404C" w:rsidRPr="00FB02EF" w:rsidRDefault="0099404C" w:rsidP="0099404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486,74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C446" w14:textId="212D86FD" w:rsidR="00791C41" w:rsidRPr="00FB02EF" w:rsidRDefault="0099404C" w:rsidP="00994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1368,75</w:t>
            </w:r>
          </w:p>
        </w:tc>
      </w:tr>
      <w:tr w:rsidR="00791C41" w:rsidRPr="00FB02EF" w14:paraId="2A393D7C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D38CF" w14:textId="77777777" w:rsidR="00791C41" w:rsidRPr="00FB02EF" w:rsidRDefault="00791C41" w:rsidP="004F0B98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</w:tr>
      <w:tr w:rsidR="00791C41" w:rsidRPr="00FB02EF" w14:paraId="128C473C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812E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B853" w14:textId="211C6A5A" w:rsidR="00791C41" w:rsidRPr="00FB02EF" w:rsidRDefault="0099404C" w:rsidP="004F0B98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сума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тарифах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 та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стоків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реалізованих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104F" w14:textId="54281D75" w:rsidR="00791C41" w:rsidRPr="00FB02EF" w:rsidRDefault="00791C41" w:rsidP="004F0B98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D78" w14:textId="5447A2D1" w:rsidR="0099404C" w:rsidRPr="00FB02EF" w:rsidRDefault="0099404C" w:rsidP="0099404C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C251C" w14:textId="4B548B73" w:rsidR="00791C41" w:rsidRPr="00FB02EF" w:rsidRDefault="0099404C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865B6" w14:textId="067E7A40" w:rsidR="00791C41" w:rsidRPr="00FB02EF" w:rsidRDefault="0099404C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B5FB" w14:textId="037FAE20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25,11</w:t>
            </w:r>
          </w:p>
        </w:tc>
      </w:tr>
      <w:tr w:rsidR="00791C41" w:rsidRPr="00FB02EF" w14:paraId="4798EF64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5959A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791C41" w:rsidRPr="00FB02EF" w14:paraId="349B8B9F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9CE1" w14:textId="5370931B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D82" w14:textId="3FF31CE5" w:rsidR="00791C41" w:rsidRPr="00FB02EF" w:rsidRDefault="0099404C" w:rsidP="00292729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своєчасних розрахунків</w:t>
            </w:r>
            <w:r w:rsidR="002927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підприємствами постачальниками послуг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4892" w14:textId="77777777" w:rsidR="00791C41" w:rsidRPr="00FB02EF" w:rsidRDefault="00791C41" w:rsidP="004F0B98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C02F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8BF4A" w14:textId="77777777" w:rsidR="00791C41" w:rsidRPr="00FB02EF" w:rsidRDefault="00791C41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F4928" w14:textId="77777777" w:rsidR="00791C41" w:rsidRPr="00FB02EF" w:rsidRDefault="00791C41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41D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5B8CA488" w14:textId="77777777" w:rsidR="00791C41" w:rsidRDefault="00791C41" w:rsidP="002C7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9AB78" w14:textId="77777777" w:rsidR="00292729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76E58">
        <w:rPr>
          <w:rFonts w:ascii="Times New Roman" w:hAnsi="Times New Roman" w:cs="Times New Roman"/>
          <w:b/>
          <w:sz w:val="28"/>
          <w:szCs w:val="28"/>
          <w:lang w:val="uk-UA"/>
        </w:rPr>
        <w:t>. Обсяги та джерела фінансування Програми</w:t>
      </w:r>
    </w:p>
    <w:p w14:paraId="0BB3FA48" w14:textId="77777777" w:rsidR="00292729" w:rsidRPr="00276E58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54DE9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інших джерел не заборонених чинним законодавством.</w:t>
      </w:r>
    </w:p>
    <w:p w14:paraId="04DAAE80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B14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A01B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Pr="00A01B1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актами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52995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14:paraId="47F9251A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обсяги фінансових витрат, необхідних для виконання Програми загалом і </w:t>
      </w:r>
      <w:proofErr w:type="spellStart"/>
      <w:r w:rsidRPr="00A01B14">
        <w:rPr>
          <w:rFonts w:ascii="Times New Roman" w:hAnsi="Times New Roman" w:cs="Times New Roman"/>
          <w:sz w:val="28"/>
          <w:szCs w:val="28"/>
          <w:lang w:val="uk-UA"/>
        </w:rPr>
        <w:t>деференційовано</w:t>
      </w:r>
      <w:proofErr w:type="spellEnd"/>
      <w:r w:rsidRPr="00A01B14">
        <w:rPr>
          <w:rFonts w:ascii="Times New Roman" w:hAnsi="Times New Roman" w:cs="Times New Roman"/>
          <w:sz w:val="28"/>
          <w:szCs w:val="28"/>
          <w:lang w:val="uk-UA"/>
        </w:rPr>
        <w:t xml:space="preserve"> по роках з визначенням джерел фінансування наведені у додатку2.</w:t>
      </w:r>
    </w:p>
    <w:p w14:paraId="3C112678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Обсяги фінансових ресурсів на реалізацію Програми, у разі потреби, протягом року можуть уточнюватися.</w:t>
      </w:r>
    </w:p>
    <w:p w14:paraId="78FDA321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14:paraId="35682B84" w14:textId="77777777" w:rsidR="00292729" w:rsidRPr="00276E58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 w:bidi="uk-UA"/>
        </w:rPr>
        <w:t>6</w:t>
      </w:r>
      <w:r w:rsidRPr="00276E58">
        <w:rPr>
          <w:rFonts w:ascii="Times New Roman" w:hAnsi="Times New Roman" w:cs="Times New Roman"/>
          <w:b/>
          <w:sz w:val="28"/>
          <w:szCs w:val="28"/>
          <w:lang w:val="uk-UA" w:bidi="uk-UA"/>
        </w:rPr>
        <w:t>. Строки та етапи виконання Програми</w:t>
      </w:r>
    </w:p>
    <w:p w14:paraId="785A2A9C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14:paraId="3621A3B3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Початок дії Програми: з 01 січня 2026 року.</w:t>
      </w:r>
    </w:p>
    <w:p w14:paraId="4391DBC6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14:paraId="4DA91B49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Програма реалізується в один етап: І рік – 2026 рік, ІІ рік – 2027 рік, ІІІ рік – 2028 рік.</w:t>
      </w:r>
    </w:p>
    <w:p w14:paraId="6F7DC715" w14:textId="77777777" w:rsidR="00292729" w:rsidRDefault="00292729" w:rsidP="00292729">
      <w:pPr>
        <w:tabs>
          <w:tab w:val="left" w:pos="709"/>
        </w:tabs>
        <w:spacing w:after="0" w:line="240" w:lineRule="auto"/>
        <w:ind w:left="1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EC16ED" w14:textId="4282B7B5" w:rsidR="00D560E3" w:rsidRPr="00F17646" w:rsidRDefault="00292729" w:rsidP="00DF750F">
      <w:pPr>
        <w:tabs>
          <w:tab w:val="left" w:pos="709"/>
        </w:tabs>
        <w:spacing w:after="200" w:line="240" w:lineRule="auto"/>
        <w:ind w:left="1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560E3"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</w:t>
      </w:r>
      <w:r w:rsidR="00D560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ані результати виконання П</w:t>
      </w:r>
      <w:r w:rsidR="00D560E3"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77384FDF" w14:textId="77777777" w:rsidR="00D560E3" w:rsidRPr="006E5A23" w:rsidRDefault="00D560E3" w:rsidP="005B4C8F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очікуваним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результатом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стабільного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Гайсинводоканал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 водопостачання та водовідведення.</w:t>
      </w:r>
    </w:p>
    <w:p w14:paraId="465D0CAE" w14:textId="77777777" w:rsidR="00D560E3" w:rsidRDefault="00D560E3" w:rsidP="005B4C8F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очікується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BC53FC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Господарського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ціноутворення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25EEF684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належне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зобов'язань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Гайсинводоканал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73E51E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спожиті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енергоносії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платежі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298E76" w14:textId="77777777" w:rsidR="00D560E3" w:rsidRPr="006E5A2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споживачам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цінами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нижчими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економічно-обґрунтованих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</w:t>
      </w:r>
      <w:proofErr w:type="spellStart"/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 яких є одинокі матері, пенсіонери, населення з доходами нижче певного рівня, безробітні.</w:t>
      </w:r>
    </w:p>
    <w:p w14:paraId="1909256A" w14:textId="53E34C4D" w:rsidR="00022C3E" w:rsidRDefault="00022C3E" w:rsidP="008B67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75AE3B" w14:textId="5BC31FF5" w:rsidR="008D1AB9" w:rsidRDefault="008B671D" w:rsidP="00292729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560E3">
        <w:rPr>
          <w:rFonts w:ascii="Times New Roman" w:hAnsi="Times New Roman" w:cs="Times New Roman"/>
          <w:b/>
          <w:sz w:val="28"/>
          <w:szCs w:val="28"/>
          <w:lang w:val="uk-UA"/>
        </w:rPr>
        <w:t>. Координація</w:t>
      </w:r>
      <w:r w:rsidR="001E3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контрол</w:t>
      </w:r>
      <w:r w:rsidR="00D560E3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8B4703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ходом виконання Програми</w:t>
      </w:r>
    </w:p>
    <w:p w14:paraId="1BE0CAFA" w14:textId="77777777" w:rsidR="008B671D" w:rsidRPr="00866DC9" w:rsidRDefault="008B671D" w:rsidP="00DF750F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F7C264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14:paraId="02E9630E" w14:textId="77777777" w:rsidR="00292729" w:rsidRPr="00FE5B00" w:rsidRDefault="00292729" w:rsidP="0029272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FE5B00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FE5B00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14:paraId="4E89B2C7" w14:textId="77777777" w:rsidR="00292729" w:rsidRPr="00FE5B00" w:rsidRDefault="00292729" w:rsidP="0029272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FE5B00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FE5B00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  <w:t xml:space="preserve">Звіт повинен містити дані про заплановані та фактичні обсяги і джерела фінансування програми, виконання результативних показників у динаміці з </w:t>
      </w:r>
      <w:r w:rsidRPr="00FE5B00">
        <w:rPr>
          <w:rFonts w:ascii="Times New Roman" w:eastAsia="Arial" w:hAnsi="Times New Roman" w:cs="Times New Roman"/>
          <w:sz w:val="28"/>
          <w:szCs w:val="28"/>
          <w:lang w:val="uk-UA" w:eastAsia="ru-RU"/>
        </w:rPr>
        <w:lastRenderedPageBreak/>
        <w:t>початку дії програми та пояснювальну записку щодо її виконання, у разі невиконання – обґрунтування причин невиконання.</w:t>
      </w:r>
    </w:p>
    <w:p w14:paraId="139C59F5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14:paraId="7033D86E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даної Програми покладено на </w:t>
      </w:r>
      <w:r w:rsidRPr="00FE5B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02D84B" w14:textId="77777777" w:rsidR="00292729" w:rsidRPr="00FE5B00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hAnsi="Times New Roman" w:cs="Times New Roman"/>
          <w:sz w:val="28"/>
          <w:szCs w:val="28"/>
          <w:lang w:val="uk-UA"/>
        </w:rPr>
        <w:t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14:paraId="5830711D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до підсумкового звіту містить таку інформацію :</w:t>
      </w:r>
    </w:p>
    <w:p w14:paraId="55704465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- досягнення мети Програми;</w:t>
      </w:r>
    </w:p>
    <w:p w14:paraId="4EFCAEE2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виконаних завдань і заходів Програми;</w:t>
      </w:r>
    </w:p>
    <w:p w14:paraId="4ECDE5EC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рівня досягнення запланованих показників результативності з обґрунтуванням; </w:t>
      </w:r>
    </w:p>
    <w:p w14:paraId="4BFA760F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- причин невиконання або недосягнення очікуваних результатів.</w:t>
      </w:r>
    </w:p>
    <w:p w14:paraId="629009CB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14:paraId="30BCCF1A" w14:textId="4AD4A39C" w:rsidR="001E3840" w:rsidRPr="00791C8D" w:rsidRDefault="00292729" w:rsidP="00292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14:paraId="34CE4221" w14:textId="77777777" w:rsidR="00292729" w:rsidRDefault="00FB2A6D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</w:p>
    <w:p w14:paraId="0F34CA68" w14:textId="77777777" w:rsidR="00292729" w:rsidRDefault="00292729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2F247C" w14:textId="77777777" w:rsidR="00292729" w:rsidRDefault="00292729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012D1A" w14:textId="77777777" w:rsidR="00292729" w:rsidRDefault="00292729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3E7A3" w14:textId="3399F574" w:rsidR="00552DE7" w:rsidRDefault="00866DC9" w:rsidP="002927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292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Анатолій ГУК</w:t>
      </w:r>
    </w:p>
    <w:p w14:paraId="13AB7DDF" w14:textId="6E41F63E" w:rsidR="00770601" w:rsidRPr="0064171C" w:rsidRDefault="00770601" w:rsidP="0064171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3B9D97" w14:textId="213B4B03" w:rsidR="000332E1" w:rsidRDefault="0003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AB96C02" w14:textId="77777777" w:rsidR="00D4386D" w:rsidRPr="00EB63ED" w:rsidRDefault="00D4386D" w:rsidP="00EB63E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  <w:sectPr w:rsidR="00D4386D" w:rsidRPr="00EB63ED" w:rsidSect="008E3E6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237FFB4A" w14:textId="63DD70C2" w:rsidR="00770601" w:rsidRPr="00866DC9" w:rsidRDefault="00770601" w:rsidP="00D4386D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D4386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FD81142" w14:textId="77777777" w:rsidR="00770601" w:rsidRPr="00866DC9" w:rsidRDefault="00770601" w:rsidP="00D4386D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1F1B06D7" w14:textId="77777777" w:rsidR="00770601" w:rsidRPr="00866DC9" w:rsidRDefault="00770601" w:rsidP="00770601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78FF37" w14:textId="77777777" w:rsidR="00D4386D" w:rsidRDefault="00D4386D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86D">
        <w:rPr>
          <w:rFonts w:ascii="Times New Roman" w:hAnsi="Times New Roman" w:cs="Times New Roman"/>
          <w:b/>
          <w:sz w:val="28"/>
          <w:szCs w:val="28"/>
          <w:lang w:val="uk-UA"/>
        </w:rPr>
        <w:t>ЗАХОДИ З РЕАЛІЗАЦІЇ ПРОГРАМИ</w:t>
      </w:r>
    </w:p>
    <w:p w14:paraId="64CD81DF" w14:textId="6CDB0CA9" w:rsidR="00770601" w:rsidRPr="00866DC9" w:rsidRDefault="0078648C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рганізація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</w:t>
      </w:r>
      <w:r w:rsidR="00D43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тариф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</w:t>
      </w:r>
      <w:r w:rsidR="00770601"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 </w:t>
      </w:r>
      <w:r w:rsidR="00D43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9404C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99404C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A37A2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37A2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2888576" w14:textId="77777777" w:rsidR="00770601" w:rsidRPr="00770601" w:rsidRDefault="00770601" w:rsidP="00770601">
      <w:pPr>
        <w:pStyle w:val="1"/>
        <w:spacing w:line="240" w:lineRule="auto"/>
        <w:ind w:hanging="40"/>
        <w:jc w:val="center"/>
        <w:rPr>
          <w:b/>
          <w:bCs/>
          <w:sz w:val="28"/>
          <w:szCs w:val="28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417"/>
        <w:gridCol w:w="1843"/>
        <w:gridCol w:w="1276"/>
        <w:gridCol w:w="2410"/>
        <w:gridCol w:w="1134"/>
        <w:gridCol w:w="1220"/>
        <w:gridCol w:w="1189"/>
        <w:gridCol w:w="1276"/>
        <w:gridCol w:w="1276"/>
        <w:gridCol w:w="2126"/>
      </w:tblGrid>
      <w:tr w:rsidR="00A53659" w:rsidRPr="00770601" w14:paraId="4D881C57" w14:textId="77777777" w:rsidTr="0099404C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6F59" w14:textId="7777777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C92F6" w14:textId="5A8142AB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Завдання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9288" w14:textId="4C2C82A3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Зміст заходів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054FC" w14:textId="7AE8DA48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4624" w14:textId="2E82D7DF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D202" w14:textId="7777777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Джерела </w:t>
            </w:r>
            <w:proofErr w:type="spellStart"/>
            <w:r w:rsidRPr="00A53659">
              <w:rPr>
                <w:rFonts w:ascii="Times New Roman" w:hAnsi="Times New Roman" w:cs="Times New Roman"/>
                <w:b/>
                <w:color w:val="000000"/>
                <w:spacing w:val="-1"/>
                <w:lang w:val="uk-UA"/>
              </w:rPr>
              <w:t>фінансу-вання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262" w14:textId="0E6AA63E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 xml:space="preserve">Обсяги фінансування по роках, </w:t>
            </w:r>
            <w:proofErr w:type="spellStart"/>
            <w:r w:rsidRPr="00A53659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A53659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5002" w14:textId="3A8A3B9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 xml:space="preserve">Очікуваний </w:t>
            </w: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>результат</w:t>
            </w:r>
          </w:p>
        </w:tc>
      </w:tr>
      <w:tr w:rsidR="00A53659" w:rsidRPr="00770601" w14:paraId="6C95433C" w14:textId="77777777" w:rsidTr="0099404C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79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12B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ABFE" w14:textId="2BBEC8DA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C6F7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ED8B" w14:textId="5DE9329E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9EC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DE5E2" w14:textId="4F4F50AC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 рік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DBAD0" w14:textId="3C5DA361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5D296" w14:textId="054547F3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ІІІ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EF4" w14:textId="5FB72FB4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  <w:r w:rsidRPr="00A53659">
              <w:rPr>
                <w:rFonts w:ascii="Times New Roman" w:eastAsia="Batang" w:hAnsi="Times New Roman" w:cs="Times New Roman"/>
                <w:b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8349" w14:textId="458B9456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</w:tr>
      <w:tr w:rsidR="00A53659" w:rsidRPr="00A53659" w14:paraId="33F0D160" w14:textId="77777777" w:rsidTr="0099404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4C15" w14:textId="77777777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5E51" w14:textId="1887C3D5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0A210" w14:textId="15DEB34B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30F" w14:textId="1B90F481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10E3" w14:textId="6BBDD8D4" w:rsidR="00A53659" w:rsidRPr="00A53659" w:rsidRDefault="00A53659" w:rsidP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9C78" w14:textId="03F5CEF2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1996C9" w14:textId="072B8C6F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913D0" w14:textId="0DDE360A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F02F0" w14:textId="4FE4D086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4DD2" w14:textId="326E9CCF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A46C" w14:textId="477ED77A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</w:tr>
      <w:tr w:rsidR="00192123" w:rsidRPr="00985D82" w14:paraId="42AFFD7B" w14:textId="77777777" w:rsidTr="0099404C">
        <w:trPr>
          <w:trHeight w:val="3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3C65" w14:textId="56ED8E9F" w:rsidR="00192123" w:rsidRPr="00A53659" w:rsidRDefault="0057493B" w:rsidP="0057493B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447E9" w14:textId="539C66F5" w:rsidR="00192123" w:rsidRPr="00A53659" w:rsidRDefault="00192123" w:rsidP="0057493B">
            <w:pPr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8B671D">
              <w:rPr>
                <w:rFonts w:ascii="Times New Roman" w:hAnsi="Times New Roman" w:cs="Times New Roman"/>
                <w:lang w:val="uk-UA"/>
              </w:rPr>
              <w:t>Стабілізація фінансового стану та забезпечення належної та безперебійної діяльності КП «</w:t>
            </w:r>
            <w:proofErr w:type="spellStart"/>
            <w:r w:rsidRPr="008B671D">
              <w:rPr>
                <w:rFonts w:ascii="Times New Roman" w:hAnsi="Times New Roman" w:cs="Times New Roman"/>
                <w:lang w:val="uk-UA"/>
              </w:rPr>
              <w:t>Гайсинводо</w:t>
            </w:r>
            <w:proofErr w:type="spellEnd"/>
            <w:r w:rsidR="0099404C">
              <w:rPr>
                <w:rFonts w:ascii="Times New Roman" w:hAnsi="Times New Roman" w:cs="Times New Roman"/>
                <w:lang w:val="uk-UA"/>
              </w:rPr>
              <w:t>-</w:t>
            </w:r>
            <w:r w:rsidRPr="008B671D">
              <w:rPr>
                <w:rFonts w:ascii="Times New Roman" w:hAnsi="Times New Roman" w:cs="Times New Roman"/>
                <w:lang w:val="uk-UA"/>
              </w:rPr>
              <w:t>канал»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B80B" w14:textId="153C862E" w:rsidR="00192123" w:rsidRPr="00A53659" w:rsidRDefault="00192123" w:rsidP="0057493B">
            <w:pPr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Відшкодування  різниці в тарифах по централізованому водопостачанню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93FE" w14:textId="4F639F96" w:rsidR="00192123" w:rsidRPr="00A53659" w:rsidRDefault="00192123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2F4" w14:textId="77777777" w:rsidR="00192123" w:rsidRDefault="00192123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  <w:p w14:paraId="29D77788" w14:textId="4B75DB4B" w:rsidR="00192123" w:rsidRPr="00A53659" w:rsidRDefault="00192123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Гайсинводоканал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67B5" w14:textId="52054CAD" w:rsidR="00192123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  <w:r w:rsidR="00192123" w:rsidRPr="00A53659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479A7" w14:textId="69A7596E" w:rsidR="00192123" w:rsidRPr="00A53659" w:rsidRDefault="00292729" w:rsidP="00A619CB">
            <w:pPr>
              <w:spacing w:after="120" w:line="256" w:lineRule="auto"/>
              <w:ind w:left="-114" w:right="-16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7007,669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E7D5F" w14:textId="7501E8BF" w:rsidR="00192123" w:rsidRPr="00A53659" w:rsidRDefault="00292729" w:rsidP="00A619CB">
            <w:pPr>
              <w:spacing w:after="120" w:line="256" w:lineRule="auto"/>
              <w:ind w:left="-190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8105,425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DFB7E" w14:textId="2EB17051" w:rsidR="00192123" w:rsidRPr="00A53659" w:rsidRDefault="00292729" w:rsidP="00A619CB">
            <w:pPr>
              <w:spacing w:after="120" w:line="256" w:lineRule="auto"/>
              <w:ind w:left="-112" w:right="-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8451,517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20DEC" w14:textId="17DEE616" w:rsidR="00192123" w:rsidRPr="00A53659" w:rsidRDefault="00292729" w:rsidP="0064171C">
            <w:pPr>
              <w:spacing w:after="120" w:line="256" w:lineRule="auto"/>
              <w:ind w:left="-114" w:right="-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23564,611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5FB8B" w14:textId="5A87A216" w:rsidR="00192123" w:rsidRPr="00A53659" w:rsidRDefault="00192123" w:rsidP="0057493B">
            <w:pPr>
              <w:spacing w:after="120" w:line="256" w:lineRule="auto"/>
              <w:ind w:left="-114" w:right="-160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Стабілізація фінансового стану та забезпечення належної та безперебійної діяльності комунального підприємства  «</w:t>
            </w:r>
            <w:proofErr w:type="spellStart"/>
            <w:r w:rsidRPr="00A53659">
              <w:rPr>
                <w:rFonts w:ascii="Times New Roman" w:hAnsi="Times New Roman" w:cs="Times New Roman"/>
                <w:lang w:val="uk-UA"/>
              </w:rPr>
              <w:t>Гайсинводоканал</w:t>
            </w:r>
            <w:proofErr w:type="spellEnd"/>
            <w:r w:rsidRPr="00A53659">
              <w:rPr>
                <w:rFonts w:ascii="Times New Roman" w:hAnsi="Times New Roman" w:cs="Times New Roman"/>
                <w:lang w:val="uk-UA"/>
              </w:rPr>
              <w:t>» в частині надання послуг з централізованого водопостачання та централізованого водовідведення</w:t>
            </w:r>
          </w:p>
        </w:tc>
      </w:tr>
      <w:tr w:rsidR="00192123" w:rsidRPr="00A53659" w14:paraId="60199FED" w14:textId="77777777" w:rsidTr="0099404C">
        <w:trPr>
          <w:trHeight w:val="2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266E" w14:textId="10BDBBA9" w:rsidR="00192123" w:rsidRPr="00A53659" w:rsidRDefault="0057493B" w:rsidP="0057493B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49C0D" w14:textId="77777777" w:rsidR="00192123" w:rsidRPr="00A53659" w:rsidRDefault="00192123" w:rsidP="0064171C">
            <w:pPr>
              <w:spacing w:after="120" w:line="256" w:lineRule="auto"/>
              <w:ind w:left="-66" w:right="-11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467E" w14:textId="2F778E23" w:rsidR="00192123" w:rsidRPr="00A53659" w:rsidRDefault="00192123" w:rsidP="0057493B">
            <w:pPr>
              <w:spacing w:after="120" w:line="256" w:lineRule="auto"/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Відшкодування різниці в тарифах по централізованому водовідведенню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54F" w14:textId="45C68263" w:rsidR="00192123" w:rsidRPr="00A53659" w:rsidRDefault="00192123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03FB" w14:textId="77777777" w:rsidR="00192123" w:rsidRDefault="00192123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  <w:p w14:paraId="054C256C" w14:textId="02D30031" w:rsidR="00192123" w:rsidRPr="00A53659" w:rsidRDefault="00192123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Гайсинводоканал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4F3" w14:textId="2951F80D" w:rsidR="00192123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  <w:r w:rsidR="00192123" w:rsidRPr="00A53659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5F844" w14:textId="209EA434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3430,0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49CEF" w14:textId="6DEE9EE3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3601,5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68A91" w14:textId="40B5041D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3773,0</w:t>
            </w:r>
          </w:p>
          <w:p w14:paraId="5F315635" w14:textId="5470FFAE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476F8F" w14:textId="431183F5" w:rsidR="00192123" w:rsidRPr="00A53659" w:rsidRDefault="00192123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10804,5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2498" w14:textId="6CBCC7BC" w:rsidR="00192123" w:rsidRPr="00A53659" w:rsidRDefault="00192123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7493B" w:rsidRPr="00A53659" w14:paraId="5C8FDDDD" w14:textId="77777777" w:rsidTr="0057493B">
        <w:trPr>
          <w:trHeight w:val="204"/>
        </w:trPr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3629" w14:textId="2FE92159" w:rsidR="0057493B" w:rsidRPr="0057493B" w:rsidRDefault="0057493B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7493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F51" w14:textId="77777777" w:rsidR="0057493B" w:rsidRPr="00A53659" w:rsidRDefault="0057493B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9F8" w14:textId="77777777" w:rsidR="0057493B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2DD3E" w14:textId="0016DEE5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10437,669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774" w14:textId="4DF9FBDB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11706,925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7DBE5" w14:textId="1D531085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12224,517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738" w14:textId="5D5B572E" w:rsidR="0057493B" w:rsidRDefault="0057493B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34369,111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B6F" w14:textId="77777777" w:rsidR="0057493B" w:rsidRPr="00A53659" w:rsidRDefault="0057493B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1A32AFD4" w14:textId="77777777" w:rsidR="0057493B" w:rsidRDefault="000332E1" w:rsidP="000332E1">
      <w:pPr>
        <w:spacing w:after="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</w:t>
      </w:r>
    </w:p>
    <w:p w14:paraId="7A765D5C" w14:textId="25902874" w:rsidR="00282CAE" w:rsidRPr="00F8523E" w:rsidRDefault="00D2305A" w:rsidP="0057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</w:t>
      </w:r>
      <w:r w:rsidR="00BA51B0"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Анатолій ГУК</w:t>
      </w:r>
    </w:p>
    <w:p w14:paraId="18261D9E" w14:textId="77777777" w:rsidR="00D4386D" w:rsidRDefault="00D4386D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D4386D" w:rsidSect="00D4386D">
          <w:pgSz w:w="16838" w:h="11906" w:orient="landscape"/>
          <w:pgMar w:top="1276" w:right="567" w:bottom="851" w:left="709" w:header="709" w:footer="709" w:gutter="0"/>
          <w:cols w:space="708"/>
          <w:docGrid w:linePitch="360"/>
        </w:sectPr>
      </w:pPr>
    </w:p>
    <w:p w14:paraId="1286CA30" w14:textId="32BA778C" w:rsidR="00022C3E" w:rsidRPr="00866DC9" w:rsidRDefault="0057493B" w:rsidP="00022C3E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022C3E" w:rsidRPr="00866DC9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 w:rsidR="00022C3E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58073D06" w14:textId="77777777" w:rsidR="00022C3E" w:rsidRPr="00866DC9" w:rsidRDefault="00022C3E" w:rsidP="00022C3E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28BCE1C1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12D6308" w14:textId="77777777" w:rsidR="00022C3E" w:rsidRPr="00D17778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647EBA8" w14:textId="77777777" w:rsidR="00022C3E" w:rsidRPr="00022C3E" w:rsidRDefault="00022C3E" w:rsidP="00022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14:paraId="00285B76" w14:textId="77BE4388" w:rsidR="00022C3E" w:rsidRPr="0078648C" w:rsidRDefault="0078648C" w:rsidP="00022C3E">
      <w:pPr>
        <w:widowControl w:val="0"/>
        <w:shd w:val="clear" w:color="auto" w:fill="FFFFFF"/>
        <w:spacing w:after="0"/>
        <w:ind w:hanging="40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«Організація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одовідведення,</w:t>
      </w:r>
      <w:r w:rsidR="00022C3E"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 та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7495FA9" w14:textId="77777777" w:rsidR="00022C3E" w:rsidRPr="0078648C" w:rsidRDefault="00022C3E" w:rsidP="00022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14:paraId="44E7AD2A" w14:textId="77777777" w:rsidR="00022C3E" w:rsidRPr="00022C3E" w:rsidRDefault="00022C3E" w:rsidP="00022C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3"/>
        <w:gridCol w:w="1275"/>
        <w:gridCol w:w="1276"/>
        <w:gridCol w:w="851"/>
        <w:gridCol w:w="992"/>
        <w:gridCol w:w="1353"/>
      </w:tblGrid>
      <w:tr w:rsidR="00022C3E" w:rsidRPr="00022C3E" w14:paraId="485CFC8F" w14:textId="77777777" w:rsidTr="009E434C">
        <w:tc>
          <w:tcPr>
            <w:tcW w:w="2660" w:type="dxa"/>
            <w:vMerge w:val="restart"/>
            <w:shd w:val="clear" w:color="auto" w:fill="FFFFFF"/>
            <w:vAlign w:val="center"/>
          </w:tcPr>
          <w:p w14:paraId="06EAF329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коштів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пропонується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залучити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5557" w:type="dxa"/>
            <w:gridSpan w:val="5"/>
            <w:shd w:val="clear" w:color="auto" w:fill="FFFFFF"/>
            <w:vAlign w:val="center"/>
          </w:tcPr>
          <w:p w14:paraId="7E7F29A2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1353" w:type="dxa"/>
            <w:vMerge w:val="restart"/>
            <w:shd w:val="clear" w:color="auto" w:fill="FFFFFF"/>
            <w:vAlign w:val="center"/>
          </w:tcPr>
          <w:p w14:paraId="6F6D1F7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</w:tr>
      <w:tr w:rsidR="00022C3E" w:rsidRPr="00022C3E" w14:paraId="74AEA488" w14:textId="77777777" w:rsidTr="009E434C">
        <w:tc>
          <w:tcPr>
            <w:tcW w:w="2660" w:type="dxa"/>
            <w:vMerge/>
            <w:shd w:val="clear" w:color="auto" w:fill="FFFFFF"/>
            <w:vAlign w:val="center"/>
          </w:tcPr>
          <w:p w14:paraId="3251DC2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14" w:type="dxa"/>
            <w:gridSpan w:val="3"/>
            <w:shd w:val="clear" w:color="auto" w:fill="FFFFFF"/>
            <w:vAlign w:val="center"/>
          </w:tcPr>
          <w:p w14:paraId="0978AF93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851" w:type="dxa"/>
            <w:shd w:val="clear" w:color="auto" w:fill="FFFFFF"/>
          </w:tcPr>
          <w:p w14:paraId="75F44C3A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992" w:type="dxa"/>
            <w:shd w:val="clear" w:color="auto" w:fill="FFFFFF"/>
          </w:tcPr>
          <w:p w14:paraId="381D4542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55F6B5F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22C3E" w:rsidRPr="00022C3E" w14:paraId="7D963DF3" w14:textId="77777777" w:rsidTr="009E434C">
        <w:tc>
          <w:tcPr>
            <w:tcW w:w="2660" w:type="dxa"/>
            <w:vMerge/>
            <w:shd w:val="clear" w:color="auto" w:fill="FFFFFF"/>
            <w:vAlign w:val="center"/>
          </w:tcPr>
          <w:p w14:paraId="6AEAE84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50DD8A70" w14:textId="6B52C511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D554E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5E14CFC4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14:paraId="5F736D5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6A359178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1A88A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28F94344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22C3E" w:rsidRPr="00022C3E" w14:paraId="50F4C307" w14:textId="77777777" w:rsidTr="009E434C">
        <w:tc>
          <w:tcPr>
            <w:tcW w:w="2660" w:type="dxa"/>
            <w:shd w:val="clear" w:color="auto" w:fill="FFFFFF"/>
            <w:vAlign w:val="center"/>
          </w:tcPr>
          <w:p w14:paraId="07D3809A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57F9480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4CCAE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0FABCC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3E825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1ACCD3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1A307B3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292729" w:rsidRPr="00022C3E" w14:paraId="605C78D0" w14:textId="77777777" w:rsidTr="009E434C">
        <w:tc>
          <w:tcPr>
            <w:tcW w:w="2660" w:type="dxa"/>
          </w:tcPr>
          <w:p w14:paraId="58EAC4A6" w14:textId="77777777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ресурсів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4186FDBB" w14:textId="77777777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тому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163" w:type="dxa"/>
            <w:vAlign w:val="center"/>
          </w:tcPr>
          <w:p w14:paraId="72C0B836" w14:textId="31E4CB86" w:rsidR="00292729" w:rsidRPr="009E434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10437,669</w:t>
            </w:r>
          </w:p>
        </w:tc>
        <w:tc>
          <w:tcPr>
            <w:tcW w:w="1275" w:type="dxa"/>
            <w:vAlign w:val="center"/>
          </w:tcPr>
          <w:p w14:paraId="6667E22E" w14:textId="632A4D4A" w:rsidR="00292729" w:rsidRPr="009E434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11706,925</w:t>
            </w:r>
          </w:p>
        </w:tc>
        <w:tc>
          <w:tcPr>
            <w:tcW w:w="1276" w:type="dxa"/>
            <w:vAlign w:val="center"/>
          </w:tcPr>
          <w:p w14:paraId="3A5CF493" w14:textId="0F72575E" w:rsidR="00292729" w:rsidRPr="009E434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12224,517</w:t>
            </w:r>
          </w:p>
        </w:tc>
        <w:tc>
          <w:tcPr>
            <w:tcW w:w="851" w:type="dxa"/>
          </w:tcPr>
          <w:p w14:paraId="1B1F7A87" w14:textId="10D9BF18" w:rsidR="00292729" w:rsidRPr="00F519C8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1AC5FB1" w14:textId="0C84BF28" w:rsidR="00292729" w:rsidRPr="00F519C8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6CDFCA30" w14:textId="3AE8C91F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34369,111</w:t>
            </w:r>
          </w:p>
        </w:tc>
      </w:tr>
      <w:tr w:rsidR="00022C3E" w:rsidRPr="00022C3E" w14:paraId="02872839" w14:textId="77777777" w:rsidTr="009E434C">
        <w:tc>
          <w:tcPr>
            <w:tcW w:w="2660" w:type="dxa"/>
          </w:tcPr>
          <w:p w14:paraId="5693BA9F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6B57A6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</w:p>
          <w:p w14:paraId="3D0E7F1B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702EF5C3" w14:textId="5BA6274A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54973A91" w14:textId="103E1FD9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48AEA8EA" w14:textId="3A5872C4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92E37C" w14:textId="6E37A61D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12DFB03" w14:textId="67EC895D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0C03A2BF" w14:textId="785EA519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9E434C" w:rsidRPr="00022C3E" w14:paraId="5AE00839" w14:textId="77777777" w:rsidTr="009E434C">
        <w:tc>
          <w:tcPr>
            <w:tcW w:w="2660" w:type="dxa"/>
          </w:tcPr>
          <w:p w14:paraId="161EB3FA" w14:textId="01C65C02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Гайсинської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міської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1163" w:type="dxa"/>
            <w:vAlign w:val="center"/>
          </w:tcPr>
          <w:p w14:paraId="32EB4A2D" w14:textId="6A47FC1B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10437,669</w:t>
            </w:r>
          </w:p>
        </w:tc>
        <w:tc>
          <w:tcPr>
            <w:tcW w:w="1275" w:type="dxa"/>
            <w:vAlign w:val="center"/>
          </w:tcPr>
          <w:p w14:paraId="07896E5A" w14:textId="100B25A2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11706,925</w:t>
            </w:r>
          </w:p>
        </w:tc>
        <w:tc>
          <w:tcPr>
            <w:tcW w:w="1276" w:type="dxa"/>
            <w:vAlign w:val="center"/>
          </w:tcPr>
          <w:p w14:paraId="3E5B298B" w14:textId="62538B95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12224,517</w:t>
            </w:r>
          </w:p>
        </w:tc>
        <w:tc>
          <w:tcPr>
            <w:tcW w:w="851" w:type="dxa"/>
          </w:tcPr>
          <w:p w14:paraId="4A5591D6" w14:textId="61F0BAFF" w:rsidR="009E434C" w:rsidRPr="00F519C8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FC89E80" w14:textId="6B42BFD8" w:rsidR="009E434C" w:rsidRPr="00F519C8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5E757395" w14:textId="0A26BBEB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34369,111</w:t>
            </w:r>
          </w:p>
        </w:tc>
      </w:tr>
      <w:tr w:rsidR="00022C3E" w:rsidRPr="00022C3E" w14:paraId="31031228" w14:textId="77777777" w:rsidTr="009E434C">
        <w:tc>
          <w:tcPr>
            <w:tcW w:w="2660" w:type="dxa"/>
          </w:tcPr>
          <w:p w14:paraId="5FA85E8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3F497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інших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джерел</w:t>
            </w:r>
            <w:proofErr w:type="spellEnd"/>
          </w:p>
          <w:p w14:paraId="6BF3488D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6F334AFF" w14:textId="7AC6C14B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DD1098E" w14:textId="35F255F4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77685C3B" w14:textId="2CD84749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9A746DB" w14:textId="0033869A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156307A" w14:textId="53BF7592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028E87F9" w14:textId="730E41A5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14:paraId="431E4D08" w14:textId="77777777" w:rsidR="00022C3E" w:rsidRPr="00CB4451" w:rsidRDefault="00022C3E" w:rsidP="00022C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0EF11EA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1E8F3525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6F69F16" w14:textId="13422441" w:rsidR="00022C3E" w:rsidRDefault="00022C3E" w:rsidP="00022C3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Анатолій ГУК</w:t>
      </w:r>
    </w:p>
    <w:p w14:paraId="6B75841D" w14:textId="165A36B6" w:rsidR="00022C3E" w:rsidRDefault="00022C3E" w:rsidP="00022C3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9B9256" w14:textId="091EE75A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523E" w:rsidRPr="00F8523E" w:rsidSect="000332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7AFA"/>
    <w:multiLevelType w:val="hybridMultilevel"/>
    <w:tmpl w:val="1D882FF6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116459C3"/>
    <w:multiLevelType w:val="hybridMultilevel"/>
    <w:tmpl w:val="967224DC"/>
    <w:lvl w:ilvl="0" w:tplc="FB661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A94"/>
    <w:multiLevelType w:val="hybridMultilevel"/>
    <w:tmpl w:val="854C2BF2"/>
    <w:lvl w:ilvl="0" w:tplc="79EA6A7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1D8A"/>
    <w:multiLevelType w:val="hybridMultilevel"/>
    <w:tmpl w:val="331C2CC4"/>
    <w:lvl w:ilvl="0" w:tplc="640ECC7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6" w15:restartNumberingAfterBreak="0">
    <w:nsid w:val="2ABC202D"/>
    <w:multiLevelType w:val="hybridMultilevel"/>
    <w:tmpl w:val="77DEE7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4136CCA"/>
    <w:multiLevelType w:val="hybridMultilevel"/>
    <w:tmpl w:val="23EA392C"/>
    <w:lvl w:ilvl="0" w:tplc="9F34F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C0E"/>
    <w:multiLevelType w:val="hybridMultilevel"/>
    <w:tmpl w:val="CAE2E3C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E6874"/>
    <w:multiLevelType w:val="hybridMultilevel"/>
    <w:tmpl w:val="13DAE318"/>
    <w:lvl w:ilvl="0" w:tplc="4184FA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87D"/>
    <w:multiLevelType w:val="hybridMultilevel"/>
    <w:tmpl w:val="FCEC8A98"/>
    <w:lvl w:ilvl="0" w:tplc="B426A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902"/>
    <w:multiLevelType w:val="hybridMultilevel"/>
    <w:tmpl w:val="162A8F18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55621"/>
    <w:multiLevelType w:val="hybridMultilevel"/>
    <w:tmpl w:val="14567818"/>
    <w:lvl w:ilvl="0" w:tplc="4C4098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3508"/>
    <w:multiLevelType w:val="hybridMultilevel"/>
    <w:tmpl w:val="35A4626E"/>
    <w:lvl w:ilvl="0" w:tplc="6F3A981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59DB7126"/>
    <w:multiLevelType w:val="hybridMultilevel"/>
    <w:tmpl w:val="04462C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BBB63B3"/>
    <w:multiLevelType w:val="hybridMultilevel"/>
    <w:tmpl w:val="19A8AC0E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7" w15:restartNumberingAfterBreak="0">
    <w:nsid w:val="5FC557F5"/>
    <w:multiLevelType w:val="hybridMultilevel"/>
    <w:tmpl w:val="F2A06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55305"/>
    <w:multiLevelType w:val="hybridMultilevel"/>
    <w:tmpl w:val="FE9AE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4372B"/>
    <w:multiLevelType w:val="hybridMultilevel"/>
    <w:tmpl w:val="F364E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6366"/>
    <w:multiLevelType w:val="hybridMultilevel"/>
    <w:tmpl w:val="9EE8AF60"/>
    <w:lvl w:ilvl="0" w:tplc="05B68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8B57FF0"/>
    <w:multiLevelType w:val="hybridMultilevel"/>
    <w:tmpl w:val="DBDC0CA6"/>
    <w:lvl w:ilvl="0" w:tplc="BDF03B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6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7"/>
  </w:num>
  <w:num w:numId="10">
    <w:abstractNumId w:val="20"/>
  </w:num>
  <w:num w:numId="11">
    <w:abstractNumId w:val="3"/>
  </w:num>
  <w:num w:numId="12">
    <w:abstractNumId w:val="18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4"/>
  </w:num>
  <w:num w:numId="18">
    <w:abstractNumId w:val="17"/>
  </w:num>
  <w:num w:numId="19">
    <w:abstractNumId w:val="19"/>
  </w:num>
  <w:num w:numId="20">
    <w:abstractNumId w:val="14"/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C"/>
    <w:rsid w:val="00022C3E"/>
    <w:rsid w:val="000332E1"/>
    <w:rsid w:val="00034EB2"/>
    <w:rsid w:val="00044400"/>
    <w:rsid w:val="00063321"/>
    <w:rsid w:val="000753A2"/>
    <w:rsid w:val="00082193"/>
    <w:rsid w:val="000A5921"/>
    <w:rsid w:val="000C6DEE"/>
    <w:rsid w:val="000D53C5"/>
    <w:rsid w:val="000F253B"/>
    <w:rsid w:val="0010282E"/>
    <w:rsid w:val="001055F9"/>
    <w:rsid w:val="0013304C"/>
    <w:rsid w:val="001430F5"/>
    <w:rsid w:val="00150D4A"/>
    <w:rsid w:val="00151305"/>
    <w:rsid w:val="00192123"/>
    <w:rsid w:val="001A1297"/>
    <w:rsid w:val="001A1FDE"/>
    <w:rsid w:val="001E3840"/>
    <w:rsid w:val="00282CAE"/>
    <w:rsid w:val="00292729"/>
    <w:rsid w:val="002B1916"/>
    <w:rsid w:val="002C75DF"/>
    <w:rsid w:val="002D4266"/>
    <w:rsid w:val="002E293A"/>
    <w:rsid w:val="0031494B"/>
    <w:rsid w:val="00314CB4"/>
    <w:rsid w:val="00364B97"/>
    <w:rsid w:val="003A2D78"/>
    <w:rsid w:val="00442F16"/>
    <w:rsid w:val="00447E75"/>
    <w:rsid w:val="00450089"/>
    <w:rsid w:val="00453C0A"/>
    <w:rsid w:val="004611E4"/>
    <w:rsid w:val="004A77C7"/>
    <w:rsid w:val="004D34A5"/>
    <w:rsid w:val="004D71D3"/>
    <w:rsid w:val="004E3A11"/>
    <w:rsid w:val="00507DEF"/>
    <w:rsid w:val="00514F69"/>
    <w:rsid w:val="00530E07"/>
    <w:rsid w:val="00552DE7"/>
    <w:rsid w:val="005627FE"/>
    <w:rsid w:val="005662D1"/>
    <w:rsid w:val="0057493B"/>
    <w:rsid w:val="005837CD"/>
    <w:rsid w:val="00583D84"/>
    <w:rsid w:val="00584821"/>
    <w:rsid w:val="005B4C8F"/>
    <w:rsid w:val="005E76B5"/>
    <w:rsid w:val="0060151B"/>
    <w:rsid w:val="0064171C"/>
    <w:rsid w:val="00644921"/>
    <w:rsid w:val="006E2B37"/>
    <w:rsid w:val="006E5A23"/>
    <w:rsid w:val="0072179E"/>
    <w:rsid w:val="007406E9"/>
    <w:rsid w:val="00757AE4"/>
    <w:rsid w:val="00762DF5"/>
    <w:rsid w:val="00770601"/>
    <w:rsid w:val="0078648C"/>
    <w:rsid w:val="00791C41"/>
    <w:rsid w:val="00791C8D"/>
    <w:rsid w:val="007C2C1A"/>
    <w:rsid w:val="007D4191"/>
    <w:rsid w:val="007D5927"/>
    <w:rsid w:val="00811161"/>
    <w:rsid w:val="00844B92"/>
    <w:rsid w:val="00866DC9"/>
    <w:rsid w:val="008B4703"/>
    <w:rsid w:val="008B671D"/>
    <w:rsid w:val="008D1AB9"/>
    <w:rsid w:val="008D4735"/>
    <w:rsid w:val="008E3E6F"/>
    <w:rsid w:val="008E493E"/>
    <w:rsid w:val="008E621A"/>
    <w:rsid w:val="008E6A89"/>
    <w:rsid w:val="00985D82"/>
    <w:rsid w:val="0099404C"/>
    <w:rsid w:val="009D657F"/>
    <w:rsid w:val="009E434C"/>
    <w:rsid w:val="00A05B5A"/>
    <w:rsid w:val="00A114D6"/>
    <w:rsid w:val="00A11C1E"/>
    <w:rsid w:val="00A33326"/>
    <w:rsid w:val="00A37A2E"/>
    <w:rsid w:val="00A51DB4"/>
    <w:rsid w:val="00A53659"/>
    <w:rsid w:val="00A5453E"/>
    <w:rsid w:val="00A619CB"/>
    <w:rsid w:val="00A61FE9"/>
    <w:rsid w:val="00A73D3F"/>
    <w:rsid w:val="00A83D11"/>
    <w:rsid w:val="00AB1165"/>
    <w:rsid w:val="00AE0ACB"/>
    <w:rsid w:val="00B01CAC"/>
    <w:rsid w:val="00B67851"/>
    <w:rsid w:val="00B74C16"/>
    <w:rsid w:val="00BA51B0"/>
    <w:rsid w:val="00C27C5C"/>
    <w:rsid w:val="00C41DFA"/>
    <w:rsid w:val="00C767E2"/>
    <w:rsid w:val="00C9725D"/>
    <w:rsid w:val="00CB4451"/>
    <w:rsid w:val="00CC2ACE"/>
    <w:rsid w:val="00D0241B"/>
    <w:rsid w:val="00D03976"/>
    <w:rsid w:val="00D04A29"/>
    <w:rsid w:val="00D17778"/>
    <w:rsid w:val="00D2305A"/>
    <w:rsid w:val="00D4386D"/>
    <w:rsid w:val="00D522CD"/>
    <w:rsid w:val="00D554EF"/>
    <w:rsid w:val="00D560E3"/>
    <w:rsid w:val="00D96726"/>
    <w:rsid w:val="00DA509C"/>
    <w:rsid w:val="00DF750F"/>
    <w:rsid w:val="00E0654E"/>
    <w:rsid w:val="00E2425A"/>
    <w:rsid w:val="00E604C3"/>
    <w:rsid w:val="00E73FF8"/>
    <w:rsid w:val="00EB5C3A"/>
    <w:rsid w:val="00EB63ED"/>
    <w:rsid w:val="00EB756F"/>
    <w:rsid w:val="00EB7B08"/>
    <w:rsid w:val="00ED30A3"/>
    <w:rsid w:val="00ED30F9"/>
    <w:rsid w:val="00EE7759"/>
    <w:rsid w:val="00F05CD2"/>
    <w:rsid w:val="00F17646"/>
    <w:rsid w:val="00F30C83"/>
    <w:rsid w:val="00F37B50"/>
    <w:rsid w:val="00F4401D"/>
    <w:rsid w:val="00F515BD"/>
    <w:rsid w:val="00F519C8"/>
    <w:rsid w:val="00F5410B"/>
    <w:rsid w:val="00F75508"/>
    <w:rsid w:val="00F8523E"/>
    <w:rsid w:val="00F85A72"/>
    <w:rsid w:val="00FB0BDF"/>
    <w:rsid w:val="00FB2A6D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9E7C"/>
  <w15:chartTrackingRefBased/>
  <w15:docId w15:val="{C44750A2-91E4-4F76-BA3D-26CB161C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C0A"/>
    <w:pPr>
      <w:ind w:left="720"/>
      <w:contextualSpacing/>
    </w:pPr>
  </w:style>
  <w:style w:type="table" w:styleId="a4">
    <w:name w:val="Table Grid"/>
    <w:basedOn w:val="a1"/>
    <w:uiPriority w:val="39"/>
    <w:rsid w:val="00B7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770601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paragraph" w:customStyle="1" w:styleId="1">
    <w:name w:val="Основной текст1"/>
    <w:basedOn w:val="a"/>
    <w:link w:val="a5"/>
    <w:rsid w:val="00770601"/>
    <w:pPr>
      <w:widowControl w:val="0"/>
      <w:shd w:val="clear" w:color="auto" w:fill="FFFFFF"/>
      <w:spacing w:after="0" w:line="240" w:lineRule="exact"/>
      <w:ind w:firstLine="600"/>
      <w:jc w:val="both"/>
    </w:pPr>
    <w:rPr>
      <w:rFonts w:ascii="Times New Roman" w:eastAsia="Times New Roman" w:hAnsi="Times New Roman" w:cs="Times New Roman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F8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F8523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4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DAF4-1243-48DE-AD9F-54AF02A6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10843</Words>
  <Characters>6181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Катерина</dc:creator>
  <cp:keywords/>
  <dc:description/>
  <cp:lastModifiedBy>Grudz</cp:lastModifiedBy>
  <cp:revision>82</cp:revision>
  <cp:lastPrinted>2025-08-29T08:18:00Z</cp:lastPrinted>
  <dcterms:created xsi:type="dcterms:W3CDTF">2023-04-06T08:45:00Z</dcterms:created>
  <dcterms:modified xsi:type="dcterms:W3CDTF">2025-08-29T08:18:00Z</dcterms:modified>
</cp:coreProperties>
</file>