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E29D" w14:textId="6F4ABD3E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2F8AFF11" w:rsidR="00C96A29" w:rsidRPr="006B6C31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333633" w:rsidRPr="00333633">
              <w:rPr>
                <w:sz w:val="26"/>
                <w:szCs w:val="26"/>
                <w:u w:val="single"/>
              </w:rPr>
              <w:t>Заклад загальної середньої освіти І-ІІІ ступенів №4 м. Гайсин Гайсинської міської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2AA9A94F" w:rsidR="00C96A29" w:rsidRPr="006B6C31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333633" w:rsidRPr="00333633">
              <w:rPr>
                <w:sz w:val="28"/>
                <w:szCs w:val="28"/>
                <w:u w:val="single"/>
              </w:rPr>
              <w:t>заклад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5594103D" w:rsidR="00C96A29" w:rsidRPr="006B6C31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333633" w:rsidRPr="00333633">
              <w:rPr>
                <w:sz w:val="28"/>
                <w:szCs w:val="28"/>
                <w:u w:val="single"/>
              </w:rPr>
              <w:t>місто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7B9D3C0C" w:rsidR="00C96A29" w:rsidRPr="006B6C31" w:rsidRDefault="009672B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33633" w:rsidRPr="00333633">
              <w:rPr>
                <w:sz w:val="28"/>
                <w:szCs w:val="28"/>
                <w:u w:val="single"/>
              </w:rPr>
              <w:t>Гайсин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32734926" w:rsidR="00C96A29" w:rsidRPr="006B6C31" w:rsidRDefault="009672B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333633" w:rsidRPr="00333633">
              <w:rPr>
                <w:sz w:val="28"/>
                <w:szCs w:val="28"/>
                <w:u w:val="single"/>
              </w:rPr>
              <w:t>вулиця Паркова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B9934A6" w:rsidR="00C96A29" w:rsidRPr="006B6C31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33633">
              <w:rPr>
                <w:sz w:val="28"/>
                <w:szCs w:val="28"/>
                <w:u w:val="single"/>
              </w:rPr>
              <w:t xml:space="preserve">буд. </w:t>
            </w:r>
            <w:r w:rsidR="00333633" w:rsidRPr="00333633">
              <w:rPr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4FBF9BE3" w:rsidR="00C96A29" w:rsidRPr="006B6C31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333633" w:rsidRPr="00333633">
              <w:rPr>
                <w:sz w:val="28"/>
                <w:szCs w:val="28"/>
                <w:u w:val="single"/>
              </w:rPr>
              <w:t>три поверхи (головний корпус)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0ED02648" w:rsidR="00C96A29" w:rsidRPr="006B6C31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333633" w:rsidRPr="00333633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72A67733" w14:textId="77777777" w:rsidR="00333633" w:rsidRDefault="00C96A29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355F57B8" w:rsidR="00333633" w:rsidRPr="00333633" w:rsidRDefault="00333633" w:rsidP="00333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тел. 0433425224, </w:t>
            </w:r>
            <w:proofErr w:type="spellStart"/>
            <w:r>
              <w:rPr>
                <w:sz w:val="28"/>
                <w:szCs w:val="28"/>
              </w:rPr>
              <w:t>ел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B6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B6C31">
              <w:rPr>
                <w:sz w:val="28"/>
                <w:szCs w:val="28"/>
              </w:rPr>
              <w:t>ошт</w:t>
            </w:r>
            <w:r>
              <w:rPr>
                <w:sz w:val="28"/>
                <w:szCs w:val="28"/>
              </w:rPr>
              <w:t xml:space="preserve">а </w:t>
            </w:r>
            <w:hyperlink r:id="rId8" w:history="1">
              <w:r w:rsidRPr="00F94613">
                <w:rPr>
                  <w:rStyle w:val="af5"/>
                  <w:szCs w:val="28"/>
                  <w:lang w:val="en-US"/>
                </w:rPr>
                <w:t>informgru@ukr.net</w:t>
              </w:r>
            </w:hyperlink>
            <w:r>
              <w:rPr>
                <w:sz w:val="28"/>
                <w:szCs w:val="28"/>
              </w:rPr>
              <w:t xml:space="preserve"> , сайт </w:t>
            </w:r>
            <w:hyperlink r:id="rId9" w:history="1">
              <w:r w:rsidRPr="00F94613">
                <w:rPr>
                  <w:rStyle w:val="af5"/>
                  <w:szCs w:val="28"/>
                </w:rPr>
                <w:t>https://sch4.gnedu.vn.ua/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1E352F6C" w:rsidR="00BA2754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BA2754">
              <w:rPr>
                <w:sz w:val="28"/>
                <w:szCs w:val="28"/>
              </w:rPr>
              <w:t xml:space="preserve">Посилання на фото- та відеоматеріали </w:t>
            </w:r>
            <w:hyperlink r:id="rId10" w:history="1">
              <w:r w:rsidR="00BA2754" w:rsidRPr="00F16E94">
                <w:rPr>
                  <w:rStyle w:val="af5"/>
                  <w:szCs w:val="28"/>
                </w:rPr>
                <w:t>https://drive.google.com/drive/folders/1eteROC5Q1Hf-0Am48qHi0nahORRCtOBP?usp=sharing</w:t>
              </w:r>
            </w:hyperlink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0DDC7D03" w:rsidR="00C96A29" w:rsidRPr="006B6C31" w:rsidRDefault="00C96A29" w:rsidP="00333633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333633" w:rsidRPr="00333633">
              <w:rPr>
                <w:sz w:val="28"/>
                <w:szCs w:val="28"/>
                <w:u w:val="single"/>
              </w:rPr>
              <w:t>01.07.2025 року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630"/>
        <w:gridCol w:w="1832"/>
        <w:gridCol w:w="1982"/>
        <w:gridCol w:w="2480"/>
      </w:tblGrid>
      <w:tr w:rsidR="002B62DD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2B62DD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1E7279C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</w:t>
            </w:r>
            <w:r w:rsidRPr="006B6C31">
              <w:rPr>
                <w:szCs w:val="28"/>
              </w:rPr>
              <w:lastRenderedPageBreak/>
              <w:t>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E6779C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50E23F8" w:rsidR="00C96A29" w:rsidRPr="006B6C31" w:rsidRDefault="00333633" w:rsidP="00333633">
            <w:pPr>
              <w:spacing w:before="120"/>
              <w:jc w:val="center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4746952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25E2E3C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8B5D4B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05D52">
              <w:rPr>
                <w:noProof/>
              </w:rPr>
              <w:drawing>
                <wp:inline distT="0" distB="0" distL="0" distR="0" wp14:anchorId="62AEC7D3" wp14:editId="6634C4D7">
                  <wp:extent cx="1217248" cy="1623042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76" cy="16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2DD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46FC2BB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856DD2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r w:rsidR="002B62DD">
              <w:rPr>
                <w:noProof/>
              </w:rPr>
              <w:drawing>
                <wp:inline distT="0" distB="0" distL="0" distR="0" wp14:anchorId="4CCAC27F" wp14:editId="09633D0C">
                  <wp:extent cx="1439460" cy="1079555"/>
                  <wp:effectExtent l="0" t="0" r="889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090" cy="110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B62DD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2044DB8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B7DF02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435812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D53444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54B2DDB" w:rsidR="00C96A29" w:rsidRPr="006B6C31" w:rsidRDefault="00333633" w:rsidP="00333633">
            <w:pPr>
              <w:spacing w:before="120"/>
              <w:jc w:val="center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</w:t>
            </w:r>
            <w:r w:rsidRPr="006B6C31">
              <w:rPr>
                <w:szCs w:val="28"/>
              </w:rPr>
              <w:lastRenderedPageBreak/>
              <w:t>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47668C7" w:rsidR="00C96A29" w:rsidRPr="006B6C31" w:rsidRDefault="00333633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01309AEE" w:rsidR="00C96A29" w:rsidRPr="006B6C31" w:rsidRDefault="00333633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92F1F9B" w:rsidR="00C96A29" w:rsidRPr="006B6C31" w:rsidRDefault="00333633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001424D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3363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lastRenderedPageBreak/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40DC33D" w:rsidR="00C96A29" w:rsidRPr="006B6C31" w:rsidRDefault="0033363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1B574B1" w:rsidR="00C96A29" w:rsidRPr="006B6C31" w:rsidRDefault="00333633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6ADD1ED" w:rsidR="00C96A29" w:rsidRPr="006B6C31" w:rsidRDefault="00333633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також паралельно до сходів, перед і після сходового маршу розташована </w:t>
            </w:r>
            <w:r w:rsidRPr="006B6C31">
              <w:rPr>
                <w:szCs w:val="28"/>
              </w:rPr>
              <w:lastRenderedPageBreak/>
              <w:t>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0C9EB6D9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9E817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7569439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A4F97D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420A69C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5309FDD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 xml:space="preserve">глибина тамбурів становить не менше ніж 1,8 </w:t>
            </w:r>
            <w:r w:rsidRPr="006B6C31">
              <w:lastRenderedPageBreak/>
              <w:t>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3DEDB30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47B374A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9A3184">
              <w:rPr>
                <w:szCs w:val="28"/>
              </w:rPr>
              <w:t xml:space="preserve"> </w:t>
            </w:r>
            <w:r w:rsidR="00DF129B" w:rsidRPr="009A3184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AF1042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28290FB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9D3B4E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</w:t>
            </w:r>
            <w:r w:rsidRPr="006B6C31">
              <w:rPr>
                <w:szCs w:val="28"/>
              </w:rPr>
              <w:lastRenderedPageBreak/>
              <w:t xml:space="preserve">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F71476E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32747E9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6EA41669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4B6FDDF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5D4FED2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DDBFB2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5DC8D76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252B0E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 xml:space="preserve">) на шляхах руху осіб з інвалідністю немає </w:t>
            </w:r>
            <w:r w:rsidRPr="006B6C31">
              <w:rPr>
                <w:szCs w:val="28"/>
              </w:rPr>
              <w:lastRenderedPageBreak/>
              <w:t>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4469771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8BCD96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0B060E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B8CACB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F129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 xml:space="preserve">, доступні та безпечні для </w:t>
            </w:r>
            <w:r w:rsidRPr="006B6C31">
              <w:rPr>
                <w:szCs w:val="28"/>
              </w:rPr>
              <w:lastRenderedPageBreak/>
              <w:t>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39C645E2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F9D0B9F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8AA993E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5E2DED33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6D19B73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</w:t>
            </w:r>
            <w:r>
              <w:rPr>
                <w:szCs w:val="28"/>
              </w:rPr>
              <w:lastRenderedPageBreak/>
              <w:t xml:space="preserve">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FCEF58E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65878EE5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2B62DD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7809E172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5933365D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9517A8E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4A02A388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62E0818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6B199CD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E25A381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47F4DD32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</w:t>
            </w:r>
            <w:r w:rsidRPr="006B6C31">
              <w:rPr>
                <w:szCs w:val="28"/>
              </w:rPr>
              <w:lastRenderedPageBreak/>
              <w:t>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EC2E166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92B7AC2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12CB642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AFB0CBB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6FB58936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EA62834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37D5B90D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color w:val="2D2C37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B62DD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у разі відсутності ліфта забезпечено можливість для </w:t>
            </w:r>
            <w:r w:rsidRPr="006B6C31">
              <w:rPr>
                <w:szCs w:val="28"/>
              </w:rPr>
              <w:lastRenderedPageBreak/>
              <w:t>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F0B874A" w:rsidR="00C96A29" w:rsidRPr="006B6C31" w:rsidRDefault="00DF129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73FC44CA" w14:textId="112082B6" w:rsidR="00C96A29" w:rsidRDefault="00C96A29" w:rsidP="00DF129B">
      <w:pPr>
        <w:spacing w:before="120" w:after="120"/>
        <w:rPr>
          <w:sz w:val="24"/>
          <w:szCs w:val="24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DF129B" w:rsidRPr="00DF129B">
        <w:rPr>
          <w:b/>
          <w:szCs w:val="24"/>
          <w:u w:val="single"/>
        </w:rPr>
        <w:t xml:space="preserve">об’єкт є частково </w:t>
      </w:r>
      <w:proofErr w:type="spellStart"/>
      <w:r w:rsidR="00DF129B" w:rsidRPr="00DF129B">
        <w:rPr>
          <w:b/>
          <w:szCs w:val="24"/>
          <w:u w:val="single"/>
        </w:rPr>
        <w:t>безбар’єрним</w:t>
      </w:r>
      <w:proofErr w:type="spellEnd"/>
    </w:p>
    <w:p w14:paraId="27432E5A" w14:textId="77777777" w:rsidR="00DF129B" w:rsidRPr="00AB10B5" w:rsidRDefault="00DF129B" w:rsidP="00DF129B">
      <w:pPr>
        <w:spacing w:before="120"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1549584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65719A59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E1214EF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A743F5B" w:rsidR="00C96A29" w:rsidRPr="009A3184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9A3184"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BF7087E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5EC57DED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1B91A93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3036DF9" w:rsidR="00C96A29" w:rsidRPr="009A3184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9A3184"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DE3EDA2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AEA93FF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F9C5470" w:rsidR="00C96A29" w:rsidRPr="006B6C31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026C4ACA" w:rsidR="00C96A29" w:rsidRPr="009A3184" w:rsidRDefault="00DF129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9A3184"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54AAFB87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1F41299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0B14D539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3D7FE39" w:rsidR="00B92B6E" w:rsidRPr="009A3184" w:rsidRDefault="009A3184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9A3184">
              <w:rPr>
                <w:szCs w:val="28"/>
              </w:rPr>
              <w:t>5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A60A727" w:rsidR="00B92B6E" w:rsidRPr="006B6C31" w:rsidRDefault="009A3184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21A8FA7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37AF7A6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418B076" w:rsidR="00B92B6E" w:rsidRPr="009A3184" w:rsidRDefault="009A3184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9A3184">
              <w:rPr>
                <w:szCs w:val="28"/>
              </w:rPr>
              <w:t>6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41F1478" w:rsidR="00B92B6E" w:rsidRPr="006B6C31" w:rsidRDefault="009A3184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5A0AF28A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1615E34C" w:rsidR="00B92B6E" w:rsidRPr="006B6C31" w:rsidRDefault="00DF129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55B05C9B" w:rsidR="00B92B6E" w:rsidRPr="009A3184" w:rsidRDefault="009A3184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</w:t>
      </w:r>
      <w:r w:rsidRPr="006B6C31">
        <w:rPr>
          <w:sz w:val="24"/>
          <w:szCs w:val="24"/>
        </w:rPr>
        <w:lastRenderedPageBreak/>
        <w:t xml:space="preserve">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098B5AF" w14:textId="1EF11E6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23284596" w14:textId="4EA6966F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67E60EFE" w14:textId="2FAF602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608B020" w14:textId="5EF43F2E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B28BB19" w14:textId="5B6B64E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420B667C" w14:textId="06A2697A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FB51AA7" w14:textId="076A593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5EC3DBD" w14:textId="4CB1B722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8CB6F10" w14:textId="05EE0C4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3"/>
      <w:headerReference w:type="default" r:id="rId14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E50D8" w14:textId="77777777" w:rsidR="009D00BB" w:rsidRDefault="009D00BB">
      <w:r>
        <w:separator/>
      </w:r>
    </w:p>
  </w:endnote>
  <w:endnote w:type="continuationSeparator" w:id="0">
    <w:p w14:paraId="101C38FC" w14:textId="77777777" w:rsidR="009D00BB" w:rsidRDefault="009D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4C94C" w14:textId="77777777" w:rsidR="009D00BB" w:rsidRDefault="009D00BB">
      <w:r>
        <w:separator/>
      </w:r>
    </w:p>
  </w:footnote>
  <w:footnote w:type="continuationSeparator" w:id="0">
    <w:p w14:paraId="0DD163C9" w14:textId="77777777" w:rsidR="009D00BB" w:rsidRDefault="009D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1ACFF13A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F59CF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365B6"/>
    <w:rsid w:val="00062A85"/>
    <w:rsid w:val="000B3A6A"/>
    <w:rsid w:val="000E65C8"/>
    <w:rsid w:val="00131C7B"/>
    <w:rsid w:val="00155F4E"/>
    <w:rsid w:val="00190793"/>
    <w:rsid w:val="001A5FC5"/>
    <w:rsid w:val="00210F96"/>
    <w:rsid w:val="00235E70"/>
    <w:rsid w:val="002B62DD"/>
    <w:rsid w:val="002E2C3F"/>
    <w:rsid w:val="002E577A"/>
    <w:rsid w:val="002F59CF"/>
    <w:rsid w:val="003149CC"/>
    <w:rsid w:val="00333633"/>
    <w:rsid w:val="004A0210"/>
    <w:rsid w:val="004A44C8"/>
    <w:rsid w:val="004C29EB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D6342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A3184"/>
    <w:rsid w:val="009D00BB"/>
    <w:rsid w:val="00A239A5"/>
    <w:rsid w:val="00A50F46"/>
    <w:rsid w:val="00A833AC"/>
    <w:rsid w:val="00B0462B"/>
    <w:rsid w:val="00B92B6E"/>
    <w:rsid w:val="00BA2754"/>
    <w:rsid w:val="00C02385"/>
    <w:rsid w:val="00C0603E"/>
    <w:rsid w:val="00C96A29"/>
    <w:rsid w:val="00CB2FF3"/>
    <w:rsid w:val="00CC08F8"/>
    <w:rsid w:val="00D43E93"/>
    <w:rsid w:val="00D62814"/>
    <w:rsid w:val="00D80C97"/>
    <w:rsid w:val="00D9783F"/>
    <w:rsid w:val="00DC64C3"/>
    <w:rsid w:val="00DF129B"/>
    <w:rsid w:val="00E14E67"/>
    <w:rsid w:val="00EC470E"/>
    <w:rsid w:val="00F05D5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gru@ukr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eteROC5Q1Hf-0Am48qHi0nahORRCtOBP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4.gnedu.vn.u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33D6-6D21-4C3A-B623-D66A91E2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10117</Words>
  <Characters>5767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7</cp:revision>
  <cp:lastPrinted>2002-04-19T12:13:00Z</cp:lastPrinted>
  <dcterms:created xsi:type="dcterms:W3CDTF">2025-07-01T10:58:00Z</dcterms:created>
  <dcterms:modified xsi:type="dcterms:W3CDTF">2025-09-17T11:39:00Z</dcterms:modified>
</cp:coreProperties>
</file>