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8206B" w14:textId="6F91B5EF" w:rsidR="00022C3E" w:rsidRPr="00022C3E" w:rsidRDefault="00022C3E" w:rsidP="00E3672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90" w:dyaOrig="945" w14:anchorId="72B43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28092704" r:id="rId7"/>
        </w:object>
      </w:r>
    </w:p>
    <w:p w14:paraId="66A06B7B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</w:p>
    <w:p w14:paraId="334839E2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ГАЙСИНСЬКА МІСЬКА РАДА </w:t>
      </w: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Гайсинського району Вінницької області</w:t>
      </w:r>
    </w:p>
    <w:p w14:paraId="74E151AA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306DA4D" w14:textId="39249A5B" w:rsidR="00022C3E" w:rsidRPr="00022C3E" w:rsidRDefault="00AA22F6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22C3E"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РІШЕННЯ №</w:t>
      </w:r>
      <w:r w:rsidR="00E3672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14:paraId="38F1730C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D75A3F" w14:textId="0DC95910" w:rsidR="00022C3E" w:rsidRPr="00022C3E" w:rsidRDefault="00E36728" w:rsidP="00022C3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24 </w:t>
      </w:r>
      <w:r w:rsidR="002B13F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грудня</w:t>
      </w:r>
      <w:r w:rsidR="00022C3E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2025 року                       м. Гайсин                  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93</w:t>
      </w:r>
      <w:r w:rsidR="00022C3E" w:rsidRPr="00022C3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сесія 8 скликання</w:t>
      </w:r>
    </w:p>
    <w:p w14:paraId="5DADE6EC" w14:textId="77777777" w:rsidR="00022C3E" w:rsidRPr="00022C3E" w:rsidRDefault="00022C3E" w:rsidP="00E36728">
      <w:pPr>
        <w:shd w:val="clear" w:color="auto" w:fill="FFFFFF"/>
        <w:spacing w:after="0" w:line="240" w:lineRule="auto"/>
        <w:ind w:left="8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26B278D" w14:textId="202121C4" w:rsidR="00583D84" w:rsidRDefault="002B13F6" w:rsidP="00E3672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внесення змін до</w:t>
      </w:r>
      <w:r w:rsidR="00022C3E"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Програми </w:t>
      </w:r>
      <w:r w:rsidR="00985D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«О</w:t>
      </w:r>
      <w:r w:rsidR="00985D82">
        <w:rPr>
          <w:rFonts w:ascii="Times New Roman" w:hAnsi="Times New Roman" w:cs="Times New Roman"/>
          <w:b/>
          <w:sz w:val="28"/>
          <w:szCs w:val="28"/>
          <w:lang w:val="uk-UA"/>
        </w:rPr>
        <w:t>рганізація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відшкодування різниці між розміром тариф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централізованого водопостачання та централізованого водовідведення, 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Гайсинської міської ради,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583D84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CE452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D935060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</w:p>
    <w:p w14:paraId="777F67E9" w14:textId="34C0CB0E" w:rsidR="00022C3E" w:rsidRPr="00022C3E" w:rsidRDefault="000753A2" w:rsidP="00022C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CC64C9">
        <w:rPr>
          <w:rFonts w:ascii="Times New Roman" w:eastAsia="Times New Roman" w:hAnsi="Times New Roman"/>
          <w:color w:val="1D1B11"/>
          <w:sz w:val="28"/>
          <w:szCs w:val="28"/>
          <w:lang w:val="uk-UA"/>
        </w:rPr>
        <w:t xml:space="preserve">Відповідно до статті 91 Бюджетного кодексу України, пункту 22 </w:t>
      </w:r>
      <w:r w:rsidRPr="00CC64C9">
        <w:rPr>
          <w:rFonts w:ascii="Times New Roman" w:eastAsia="Times New Roman" w:hAnsi="Times New Roman"/>
          <w:color w:val="1D1B11"/>
          <w:sz w:val="28"/>
          <w:szCs w:val="28"/>
          <w:shd w:val="clear" w:color="auto" w:fill="FFFFFF"/>
          <w:lang w:val="uk-UA"/>
        </w:rPr>
        <w:t>статті 26 Закону України «Про місцеве самоврядування в Україні», законів України «Про питну воду і питне водопостачання», «Про державні цільові програми», «Про комерційний облік теплової енергії та водопостачання», «Про ціни і ціноутворення», статті 31 Закону України «Про житлово-комунальні послуги», постанови Кабінету Міністрів України від 01 червня 2011 року № 869 «Про забезпечення єдиного підходу до формування тарифів на житлово-комунальні послуги»</w:t>
      </w:r>
      <w:r w:rsidR="00022C3E"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22C3E" w:rsidRPr="00022C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міська рада </w:t>
      </w:r>
      <w:r w:rsidR="00022C3E" w:rsidRPr="00022C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DC24B34" w14:textId="77777777" w:rsidR="00022C3E" w:rsidRPr="00022C3E" w:rsidRDefault="00022C3E" w:rsidP="00022C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1CC09F1" w14:textId="3EA61AA1" w:rsidR="00022C3E" w:rsidRPr="00022C3E" w:rsidRDefault="00022C3E" w:rsidP="00022C3E">
      <w:pPr>
        <w:shd w:val="clear" w:color="auto" w:fill="FFFFFF"/>
        <w:spacing w:after="0" w:line="240" w:lineRule="auto"/>
        <w:ind w:firstLine="75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2B1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Програм</w:t>
      </w:r>
      <w:r w:rsidR="002B1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5D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«Організація</w:t>
      </w:r>
      <w:r w:rsidR="000753A2" w:rsidRPr="0007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відшкодування різниці між розміром тарифів на послуги централізованого водопостачання та централізованого водовідведення, затверджених рішенням Гайсинської міської ради, та їх економічно-обґрунтованим розміром на 2026-2028 роки</w:t>
      </w:r>
      <w:r w:rsidR="002B13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 рішенням 68 сесії Гайсинської міської ради 8 скликання від 28 серпня 2025 року № 21, виклавши її в новій редакції</w:t>
      </w:r>
      <w:r w:rsidR="000753A2" w:rsidRPr="000753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(додається).</w:t>
      </w:r>
    </w:p>
    <w:p w14:paraId="1BA64CBA" w14:textId="77777777" w:rsidR="00022C3E" w:rsidRPr="00022C3E" w:rsidRDefault="00022C3E" w:rsidP="00022C3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126736940"/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усім учасникам та виконавцям Програми забезпечити реалізацію її заходів.</w:t>
      </w:r>
    </w:p>
    <w:p w14:paraId="55DA3DCE" w14:textId="77777777" w:rsidR="00022C3E" w:rsidRPr="00022C3E" w:rsidRDefault="00022C3E" w:rsidP="00022C3E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Фінансування Програми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здійснювати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межах кошторисних призначень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коштів міського бюджету та інших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 фінансування,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заборонених чинним законодавством.</w:t>
      </w:r>
    </w:p>
    <w:bookmarkEnd w:id="0"/>
    <w:p w14:paraId="3081F78E" w14:textId="77777777" w:rsidR="00022C3E" w:rsidRPr="00022C3E" w:rsidRDefault="00022C3E" w:rsidP="00022C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постійн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з питань 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фінансів, бюджету,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планування, соціально-економічного розвитку,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інвестицій та міжнародного співробітництва 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Гукало А.І.</w:t>
      </w:r>
      <w:r w:rsidRPr="00022C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22C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502D5C3" w14:textId="77777777" w:rsidR="00022C3E" w:rsidRPr="00022C3E" w:rsidRDefault="00022C3E" w:rsidP="00022C3E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8906E7" w14:textId="77582A8C" w:rsidR="00610BFF" w:rsidRPr="00610BFF" w:rsidRDefault="00022C3E" w:rsidP="00610BFF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2C3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10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14:paraId="7BDA92F2" w14:textId="77777777" w:rsidR="00610BFF" w:rsidRPr="00610BFF" w:rsidRDefault="00610BFF" w:rsidP="00610BFF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0B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14:paraId="0C8F3ED9" w14:textId="579519B6" w:rsidR="00022C3E" w:rsidRPr="00022C3E" w:rsidRDefault="00022C3E" w:rsidP="00610BFF">
      <w:pPr>
        <w:shd w:val="clear" w:color="auto" w:fill="FFFFFF"/>
        <w:tabs>
          <w:tab w:val="left" w:pos="5098"/>
        </w:tabs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22C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14:paraId="6E6ACF3D" w14:textId="77777777" w:rsidR="00022C3E" w:rsidRPr="00022C3E" w:rsidRDefault="00022C3E" w:rsidP="00022C3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C5B962" w14:textId="60D49CCB" w:rsidR="008B671D" w:rsidRPr="00A83D11" w:rsidRDefault="00A83D11" w:rsidP="00A83D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                        </w:t>
      </w:r>
      <w:r w:rsidR="00022C3E" w:rsidRPr="00022C3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</w:t>
      </w:r>
      <w:r w:rsidR="00022C3E" w:rsidRPr="000332E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8B671D" w:rsidRPr="000332E1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6AECF75" w14:textId="22C9B14C" w:rsidR="00791C41" w:rsidRDefault="00791C41" w:rsidP="00791C41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91C41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8B671D"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ішенням  </w:t>
      </w:r>
      <w:r w:rsidR="00E36728">
        <w:rPr>
          <w:rFonts w:ascii="Times New Roman" w:hAnsi="Times New Roman" w:cs="Times New Roman"/>
          <w:sz w:val="28"/>
          <w:szCs w:val="28"/>
          <w:lang w:val="uk-UA"/>
        </w:rPr>
        <w:t xml:space="preserve">93 </w:t>
      </w:r>
      <w:r w:rsidR="008B671D"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Гайсинської </w:t>
      </w:r>
    </w:p>
    <w:p w14:paraId="68F54C5A" w14:textId="51D0DB77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8B671D" w:rsidRPr="00791C41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8 скликання </w:t>
      </w:r>
    </w:p>
    <w:p w14:paraId="5D659FF1" w14:textId="785872F6" w:rsidR="008B671D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2B13F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від</w:t>
      </w:r>
      <w:r w:rsidR="00E36728">
        <w:rPr>
          <w:rFonts w:ascii="Times New Roman" w:hAnsi="Times New Roman" w:cs="Times New Roman"/>
          <w:sz w:val="28"/>
          <w:szCs w:val="28"/>
          <w:lang w:val="uk-UA"/>
        </w:rPr>
        <w:t xml:space="preserve"> 24 </w:t>
      </w:r>
      <w:r w:rsidR="002B13F6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D11" w:rsidRPr="00791C41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="008B671D" w:rsidRPr="00791C41">
        <w:rPr>
          <w:rFonts w:ascii="Times New Roman" w:hAnsi="Times New Roman" w:cs="Times New Roman"/>
          <w:sz w:val="28"/>
          <w:szCs w:val="28"/>
          <w:lang w:val="uk-UA"/>
        </w:rPr>
        <w:t xml:space="preserve"> р. №</w:t>
      </w:r>
      <w:r w:rsidR="00E36728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256999DB" w14:textId="5F401FE1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13D2DB" w14:textId="258CE66A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703598" w14:textId="50C4CDD4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9190E0A" w14:textId="413C6F2C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81C725" w14:textId="7BC1C050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FBB027" w14:textId="006A703E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E609B32" w14:textId="77777777" w:rsidR="00E36728" w:rsidRDefault="00E36728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C94BF1" w14:textId="77777777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D0F865" w14:textId="0ED63A73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8CF5B7" w14:textId="66770B7F" w:rsid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91C41">
        <w:rPr>
          <w:rFonts w:ascii="Times New Roman" w:hAnsi="Times New Roman" w:cs="Times New Roman"/>
          <w:b/>
          <w:sz w:val="36"/>
          <w:szCs w:val="36"/>
          <w:lang w:val="uk-UA"/>
        </w:rPr>
        <w:t>ПРОГРАМА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</w:p>
    <w:p w14:paraId="0000FD27" w14:textId="77777777" w:rsidR="00791C41" w:rsidRPr="00791C41" w:rsidRDefault="00791C41" w:rsidP="00791C41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6BC2D381" w14:textId="1193CAB9" w:rsidR="00022C3E" w:rsidRPr="00022C3E" w:rsidRDefault="00791C41" w:rsidP="008B67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«Організація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відшкодування різниці між розміром тариф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централізованого водопостачання та централізованого водовідведення,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Гайсинської міської ради,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2F14856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B0C169A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BF0F46B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15FE4F1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A78A0A9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589B5BC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C3BF6CD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FAC0C4C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3759C3D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1A0FDC66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B02547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C8606D6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4B29AAF8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7E61264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FF1052E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A739F52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59121753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9A65C15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76788D1D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37188184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7269AC0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0E694B27" w14:textId="77777777" w:rsidR="00791C41" w:rsidRDefault="00791C41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2C38FA6B" w14:textId="760B3F60" w:rsidR="00022C3E" w:rsidRPr="00022C3E" w:rsidRDefault="008B671D" w:rsidP="00022C3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1. </w:t>
      </w:r>
      <w:r w:rsidR="002B13F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Паспорт</w:t>
      </w:r>
      <w:r w:rsidR="00022C3E" w:rsidRPr="00022C3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П</w:t>
      </w:r>
      <w:r w:rsidR="002B13F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рограми</w:t>
      </w: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714"/>
        <w:gridCol w:w="5075"/>
      </w:tblGrid>
      <w:tr w:rsidR="00022C3E" w:rsidRPr="00022C3E" w14:paraId="362ED16E" w14:textId="77777777" w:rsidTr="004A1931">
        <w:trPr>
          <w:trHeight w:val="4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F55C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1.</w:t>
            </w:r>
          </w:p>
          <w:p w14:paraId="3C5EBDAA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453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527" w14:textId="77777777" w:rsidR="00022C3E" w:rsidRPr="00022C3E" w:rsidRDefault="00022C3E" w:rsidP="00022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 w:eastAsia="ru-RU"/>
              </w:rPr>
              <w:t xml:space="preserve">Гайсинська міська 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рада</w:t>
            </w:r>
          </w:p>
        </w:tc>
      </w:tr>
      <w:tr w:rsidR="00022C3E" w:rsidRPr="00022C3E" w14:paraId="0DF37982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30F8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6D462EC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  <w:p w14:paraId="2CE3E6DB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2159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838193D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Законодавча база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50E" w14:textId="251CF082" w:rsidR="00022C3E" w:rsidRPr="00022C3E" w:rsidRDefault="00022C3E" w:rsidP="00583D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Бюджетний Кодекс України, Закон України «Про місцеве самоврядування в Україні», Закон України </w:t>
            </w:r>
            <w:r w:rsidR="00583D84" w:rsidRPr="00866D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 житлово-комунальні послуги»</w:t>
            </w:r>
            <w:r w:rsidR="00583D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Закон України «Про ціни та ціноутворення»</w:t>
            </w:r>
          </w:p>
        </w:tc>
      </w:tr>
      <w:tr w:rsidR="00022C3E" w:rsidRPr="0048470A" w14:paraId="16D39FD7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2799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8C0FB57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FB84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D8AA" w14:textId="3DF4D0E3" w:rsidR="00022C3E" w:rsidRPr="00022C3E" w:rsidRDefault="00A83D11" w:rsidP="00A83D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Рішення </w:t>
            </w:r>
            <w:r w:rsidR="00AA22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93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сесії Гайсинської міської ради 8 скликання від </w:t>
            </w:r>
            <w:r w:rsidR="00AA22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.08.2025 року №</w:t>
            </w:r>
            <w:r w:rsidR="00AA22F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22C3E" w:rsidRPr="0048470A" w14:paraId="26E75C9C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9C8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F4CCDA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  <w:p w14:paraId="3463C72D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C61D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AA92C4A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E022" w14:textId="5A171EF3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містобудування</w:t>
            </w:r>
            <w:r w:rsidR="009E43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архітектури, ЖКГ, благоустрою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інфраструктури Гайсинської міської ради</w:t>
            </w:r>
          </w:p>
        </w:tc>
      </w:tr>
      <w:tr w:rsidR="00022C3E" w:rsidRPr="0048470A" w14:paraId="5FB35C5D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8180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0ECC126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ABE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Відповідальний виконавець Програми (головний розпорядник бюджетних коштів)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FFF" w14:textId="498D4D59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містобудування</w:t>
            </w:r>
            <w:r w:rsidR="009E43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архітектури, ЖКГ, благоустрою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інфраструктури Гайсинської міської ради</w:t>
            </w:r>
          </w:p>
        </w:tc>
      </w:tr>
      <w:tr w:rsidR="00022C3E" w:rsidRPr="0048470A" w14:paraId="708C7EBC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347F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049EEBD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</w:t>
            </w:r>
          </w:p>
          <w:p w14:paraId="4F589337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48F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Виконавці програми (учасники Програми)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1AD" w14:textId="7E5DEFE8" w:rsidR="00022C3E" w:rsidRPr="00022C3E" w:rsidRDefault="00022C3E" w:rsidP="00583D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Відділ містобудування</w:t>
            </w:r>
            <w:r w:rsidR="009E43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архітектури, ЖКГ, благоустрою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інфраструктури Гайсинської міської ради, </w:t>
            </w:r>
            <w:r w:rsidR="00583D8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КП Гайсинводоканал</w:t>
            </w: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    </w:t>
            </w:r>
          </w:p>
        </w:tc>
      </w:tr>
      <w:tr w:rsidR="00022C3E" w:rsidRPr="00022C3E" w14:paraId="35AA285F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4AB" w14:textId="26A50F52" w:rsidR="00022C3E" w:rsidRPr="00022C3E" w:rsidRDefault="00022C3E" w:rsidP="00A83D1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71B" w14:textId="77777777" w:rsidR="00022C3E" w:rsidRPr="00022C3E" w:rsidRDefault="00022C3E" w:rsidP="00022C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9F7D" w14:textId="77777777" w:rsidR="00022C3E" w:rsidRPr="00022C3E" w:rsidRDefault="00022C3E" w:rsidP="00022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2026-2028 роки</w:t>
            </w:r>
          </w:p>
        </w:tc>
      </w:tr>
      <w:tr w:rsidR="00022C3E" w:rsidRPr="00022C3E" w14:paraId="291DA70A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38F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347" w14:textId="77732552" w:rsidR="00022C3E" w:rsidRPr="00022C3E" w:rsidRDefault="00022C3E" w:rsidP="00583D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862A" w14:textId="275FF3DF" w:rsidR="00022C3E" w:rsidRPr="00022C3E" w:rsidRDefault="00A83D11" w:rsidP="00022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 етап</w:t>
            </w:r>
          </w:p>
        </w:tc>
      </w:tr>
      <w:tr w:rsidR="00022C3E" w:rsidRPr="00022C3E" w14:paraId="4C617C0D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03CB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88CB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Загальний обсяг фінансових ресурсів, в т.ч. кредиторська заборгованість минулих періодів, необхідних для реалізації програми, всього, гривень</w:t>
            </w:r>
          </w:p>
          <w:p w14:paraId="0700ABF1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E802" w14:textId="5431A0FD" w:rsidR="00022C3E" w:rsidRPr="00022C3E" w:rsidRDefault="00F141BC" w:rsidP="00757A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38831442</w:t>
            </w:r>
          </w:p>
        </w:tc>
      </w:tr>
      <w:tr w:rsidR="00022C3E" w:rsidRPr="00022C3E" w14:paraId="0036D868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EB11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8.1.</w:t>
            </w:r>
          </w:p>
          <w:p w14:paraId="19A6DE0B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0EE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бюджету Гайсинської територіальної громади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880" w14:textId="0CD75710" w:rsidR="00022C3E" w:rsidRPr="00022C3E" w:rsidRDefault="00F141BC" w:rsidP="00022C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38831442</w:t>
            </w:r>
          </w:p>
        </w:tc>
      </w:tr>
      <w:tr w:rsidR="00022C3E" w:rsidRPr="00022C3E" w14:paraId="0206164D" w14:textId="77777777" w:rsidTr="004A1931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C035" w14:textId="77777777" w:rsidR="00022C3E" w:rsidRPr="00022C3E" w:rsidRDefault="00022C3E" w:rsidP="00022C3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475" w14:textId="77777777" w:rsidR="00022C3E" w:rsidRPr="00022C3E" w:rsidRDefault="00022C3E" w:rsidP="00022C3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022C3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Кошти інших джерел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479C" w14:textId="40FC77DE" w:rsidR="00022C3E" w:rsidRPr="00022C3E" w:rsidRDefault="00791C41" w:rsidP="00791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0418CA97" w14:textId="77777777" w:rsidR="00791C41" w:rsidRDefault="00791C41" w:rsidP="000332E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0D7423" w14:textId="308F4A0E" w:rsidR="00082193" w:rsidRDefault="008B671D" w:rsidP="000332E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AE0ACB" w:rsidRPr="008B671D">
        <w:rPr>
          <w:rFonts w:ascii="Times New Roman" w:hAnsi="Times New Roman" w:cs="Times New Roman"/>
          <w:b/>
          <w:sz w:val="28"/>
          <w:szCs w:val="28"/>
          <w:lang w:val="uk-UA"/>
        </w:rPr>
        <w:t>Визначення проблеми, на розв’язання якої спрямована Програма</w:t>
      </w:r>
    </w:p>
    <w:p w14:paraId="3E208F01" w14:textId="77777777" w:rsidR="000332E1" w:rsidRPr="008B671D" w:rsidRDefault="000332E1" w:rsidP="000332E1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2D46AB" w14:textId="77777777" w:rsidR="00453C0A" w:rsidRPr="00866DC9" w:rsidRDefault="00453C0A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підприємство «Гайсинводоканал» здійснює свою діяльність на підставі Статуту, затвердженого рішенням Гайсинської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ради. Основними видами діяльності підприємства є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надання житлово-комунальних послуг з централізованого водопостачання та централізованого водовідведення.</w:t>
      </w:r>
    </w:p>
    <w:p w14:paraId="75FCF3CC" w14:textId="7DF6996A" w:rsidR="00453C0A" w:rsidRPr="00866DC9" w:rsidRDefault="00453C0A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Закону України «Про місцеве самоврядування в Україні», статті 31 Закону України «Про житлово-комунальні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послуги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» орган місцевого самоврядування встановлює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тарифи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 житлово-комунальні послуги. 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статті 15 Закону України «Про ціни та ціноутворення» орган місцевого 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самоврядування, який встановив тарифи в розмірі, нижчому від економічно-</w:t>
      </w:r>
      <w:r w:rsidR="00292729">
        <w:rPr>
          <w:rFonts w:ascii="Times New Roman" w:hAnsi="Times New Roman" w:cs="Times New Roman"/>
          <w:sz w:val="28"/>
          <w:szCs w:val="28"/>
          <w:lang w:val="uk-UA"/>
        </w:rPr>
        <w:t>обґрунтованого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 xml:space="preserve"> розміру,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зобов’язаний відшкодувати виконавцю різницю між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 xml:space="preserve"> такими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розмір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4735">
        <w:rPr>
          <w:rFonts w:ascii="Times New Roman" w:hAnsi="Times New Roman" w:cs="Times New Roman"/>
          <w:sz w:val="28"/>
          <w:szCs w:val="28"/>
          <w:lang w:val="uk-UA"/>
        </w:rPr>
        <w:t>за рахунок коштів</w:t>
      </w:r>
      <w:r w:rsidR="008D473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місцевого бюджету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21C59C" w14:textId="77777777" w:rsidR="00453C0A" w:rsidRPr="00866DC9" w:rsidRDefault="00453C0A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 разі змін цін на складові тарифів, збільшення мінімальної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заробітної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плати, податків та зборів діюче законодавство, зокрема, постанова Кабінету Міністрів України від 01 червня 2011 року №</w:t>
      </w:r>
      <w:r w:rsidR="007C2C1A" w:rsidRPr="00866DC9">
        <w:rPr>
          <w:rFonts w:ascii="Times New Roman" w:hAnsi="Times New Roman" w:cs="Times New Roman"/>
          <w:sz w:val="28"/>
          <w:szCs w:val="28"/>
          <w:lang w:val="uk-UA"/>
        </w:rPr>
        <w:t>869 «Про забезпечення єдиного підходу до формування тарифів на житлово-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>комунальні послуги» з метою недопущення збитковості підприємств, які надають такі послуги, передбачає коригування тарифів за відповідними складовими.</w:t>
      </w:r>
    </w:p>
    <w:p w14:paraId="1EA6A5C0" w14:textId="77777777" w:rsidR="000D53C5" w:rsidRPr="00866DC9" w:rsidRDefault="000D53C5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Проте, сама процедура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коригування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організаційні та технологічні зміни на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підприємствах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, не дозволяють здійснювати коригування діючих тарифів при кожній зміні цін на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складові. В результаті на підприємстві створюються значні суми кредиторської заборгованості, в тому числі із заробітної плати, податках, єдиному соціальному внеску, оплаті за енергоносії. Виробник послуг не в змозі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проводити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поточні ремонти мереж та інше через відсутність коштів.</w:t>
      </w:r>
    </w:p>
    <w:p w14:paraId="7A317370" w14:textId="5B049004" w:rsidR="000D53C5" w:rsidRPr="00866DC9" w:rsidRDefault="00552DE7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>ідсутність відшкодовуванн</w:t>
      </w:r>
      <w:r w:rsidR="007D5927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комунальному підприємству </w:t>
      </w:r>
      <w:r w:rsidR="00C767E2">
        <w:rPr>
          <w:rFonts w:ascii="Times New Roman" w:hAnsi="Times New Roman" w:cs="Times New Roman"/>
          <w:sz w:val="28"/>
          <w:szCs w:val="28"/>
          <w:lang w:val="uk-UA"/>
        </w:rPr>
        <w:t xml:space="preserve">«Гайсинводоканал» 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>різниці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 xml:space="preserve"> між розміром затверджених тарифів та їх економічно-</w:t>
      </w:r>
      <w:r w:rsidR="00292729">
        <w:rPr>
          <w:rFonts w:ascii="Times New Roman" w:hAnsi="Times New Roman" w:cs="Times New Roman"/>
          <w:sz w:val="28"/>
          <w:szCs w:val="28"/>
          <w:lang w:val="uk-UA"/>
        </w:rPr>
        <w:t>обґрунтованими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 xml:space="preserve"> розміром</w:t>
      </w:r>
      <w:r w:rsidR="000D53C5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ставить під загрозу стабільність забезпечення населення житлово-комунальними послугами належної якості і може призвести до:</w:t>
      </w:r>
    </w:p>
    <w:p w14:paraId="562694D6" w14:textId="77777777" w:rsidR="000D53C5" w:rsidRPr="00FB2A6D" w:rsidRDefault="00AB1165" w:rsidP="00A83D11">
      <w:pPr>
        <w:pStyle w:val="a3"/>
        <w:numPr>
          <w:ilvl w:val="0"/>
          <w:numId w:val="9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припинення або суттєвого обмеження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надання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цих послуг;</w:t>
      </w:r>
    </w:p>
    <w:p w14:paraId="2128A70B" w14:textId="77777777" w:rsidR="00AB1165" w:rsidRPr="00FB2A6D" w:rsidRDefault="00AB1165" w:rsidP="00A83D11">
      <w:pPr>
        <w:pStyle w:val="a3"/>
        <w:numPr>
          <w:ilvl w:val="0"/>
          <w:numId w:val="9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збільшення заборгованості за спожиту електроенергію </w:t>
      </w:r>
      <w:r w:rsidR="00082193" w:rsidRPr="00FB2A6D">
        <w:rPr>
          <w:rFonts w:ascii="Times New Roman" w:hAnsi="Times New Roman" w:cs="Times New Roman"/>
          <w:sz w:val="28"/>
          <w:szCs w:val="28"/>
          <w:lang w:val="uk-UA"/>
        </w:rPr>
        <w:t>та інші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товаро</w:t>
      </w:r>
      <w:r w:rsidR="00082193" w:rsidRPr="00FB2A6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матеріальні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цінності;</w:t>
      </w:r>
    </w:p>
    <w:p w14:paraId="2F9D078C" w14:textId="77777777" w:rsidR="00AB1165" w:rsidRPr="00FB2A6D" w:rsidRDefault="00AB1165" w:rsidP="00A83D11">
      <w:pPr>
        <w:pStyle w:val="a3"/>
        <w:numPr>
          <w:ilvl w:val="0"/>
          <w:numId w:val="9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>виникнення заборгованості із заробітної плати;</w:t>
      </w:r>
    </w:p>
    <w:p w14:paraId="36374254" w14:textId="77777777" w:rsidR="00AB1165" w:rsidRPr="00FB2A6D" w:rsidRDefault="00AB1165" w:rsidP="00A83D11">
      <w:pPr>
        <w:pStyle w:val="a3"/>
        <w:numPr>
          <w:ilvl w:val="0"/>
          <w:numId w:val="9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нарахування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підприємству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штрафних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санкцій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і пені за несвоєчасні і неповні розрахунки за </w:t>
      </w:r>
      <w:r w:rsidR="00FB0BDF" w:rsidRPr="00FB2A6D">
        <w:rPr>
          <w:rFonts w:ascii="Times New Roman" w:hAnsi="Times New Roman" w:cs="Times New Roman"/>
          <w:sz w:val="28"/>
          <w:szCs w:val="28"/>
          <w:lang w:val="uk-UA"/>
        </w:rPr>
        <w:t>енергоносії</w:t>
      </w:r>
      <w:r w:rsidRPr="00FB2A6D">
        <w:rPr>
          <w:rFonts w:ascii="Times New Roman" w:hAnsi="Times New Roman" w:cs="Times New Roman"/>
          <w:sz w:val="28"/>
          <w:szCs w:val="28"/>
          <w:lang w:val="uk-UA"/>
        </w:rPr>
        <w:t xml:space="preserve"> та по податкових зобов’язанням.</w:t>
      </w:r>
    </w:p>
    <w:p w14:paraId="00F85A66" w14:textId="4217C8FC" w:rsidR="00AB1165" w:rsidRDefault="00AB1165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Видатки на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різниці в тарифах для населення з міського бюджету є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найбільш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реальним джерелом </w:t>
      </w:r>
      <w:r w:rsidR="00C767E2">
        <w:rPr>
          <w:rFonts w:ascii="Times New Roman" w:hAnsi="Times New Roman" w:cs="Times New Roman"/>
          <w:sz w:val="28"/>
          <w:szCs w:val="28"/>
          <w:lang w:val="uk-UA"/>
        </w:rPr>
        <w:t>стабілізації фінансового стану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«Гайсинводоканал» в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 xml:space="preserve"> разі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тарифів в розмірі менш</w:t>
      </w:r>
      <w:r w:rsidR="004D34A5">
        <w:rPr>
          <w:rFonts w:ascii="Times New Roman" w:hAnsi="Times New Roman" w:cs="Times New Roman"/>
          <w:sz w:val="28"/>
          <w:szCs w:val="28"/>
          <w:lang w:val="uk-UA"/>
        </w:rPr>
        <w:t>ому,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ніж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обґрунтований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та в період між встановленням нових тарифів. </w:t>
      </w:r>
    </w:p>
    <w:p w14:paraId="258632CE" w14:textId="2B689ED2" w:rsidR="00F519C8" w:rsidRPr="00866DC9" w:rsidRDefault="00F519C8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2024-2025 року з бюджету Гайсинської міської територіальної громади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на відшкодування різниці в тарифах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були виділено </w:t>
      </w:r>
      <w:r w:rsidR="002C75DF">
        <w:rPr>
          <w:rFonts w:ascii="Times New Roman" w:hAnsi="Times New Roman" w:cs="Times New Roman"/>
          <w:sz w:val="28"/>
          <w:szCs w:val="28"/>
          <w:lang w:val="uk-UA"/>
        </w:rPr>
        <w:t>16837,720 тис. грн., що запобігло виникненню кредиторської заборгованості на підприємстві, що у свою чергу не призвело до обмеження водопостачання 9184 абонентів, а це 18143 особи, з яких станом на 01.01.2025 року: 10887 жінок і 7256 чоловіків.</w:t>
      </w:r>
    </w:p>
    <w:p w14:paraId="40896E06" w14:textId="77777777" w:rsidR="002C75DF" w:rsidRDefault="002C75DF" w:rsidP="00FB0BDF">
      <w:pPr>
        <w:pStyle w:val="a3"/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1E6941" w14:textId="1AB9F564" w:rsidR="009D657F" w:rsidRDefault="008B671D" w:rsidP="00FB0BDF">
      <w:pPr>
        <w:pStyle w:val="a3"/>
        <w:spacing w:after="0" w:line="276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9D657F" w:rsidRPr="00866DC9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791C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Визначення</w:t>
      </w:r>
      <w:r w:rsidR="009D657F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1C41">
        <w:rPr>
          <w:rFonts w:ascii="Times New Roman" w:hAnsi="Times New Roman" w:cs="Times New Roman"/>
          <w:b/>
          <w:sz w:val="28"/>
          <w:szCs w:val="28"/>
          <w:lang w:val="uk-UA"/>
        </w:rPr>
        <w:t>мети</w:t>
      </w:r>
      <w:r w:rsidR="009D657F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C6779A7" w14:textId="77777777" w:rsidR="008B671D" w:rsidRPr="00866DC9" w:rsidRDefault="008B671D" w:rsidP="00A83D11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748E03" w14:textId="23DF8070" w:rsidR="00B67851" w:rsidRPr="00C9725D" w:rsidRDefault="009D657F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Прийняття даної Програми має за мету</w:t>
      </w:r>
      <w:r w:rsidR="00C9725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B67851" w:rsidRPr="00C9725D">
        <w:rPr>
          <w:rFonts w:ascii="Times New Roman" w:hAnsi="Times New Roman" w:cs="Times New Roman"/>
          <w:sz w:val="28"/>
          <w:szCs w:val="28"/>
          <w:lang w:val="uk-UA"/>
        </w:rPr>
        <w:t>ідшкодування різниці між розміром затверджених тарифів для населення на централізоване водопостачання та централізоване водовідведення  та їх економічно-</w:t>
      </w:r>
      <w:r w:rsidR="00791C41" w:rsidRPr="00C9725D">
        <w:rPr>
          <w:rFonts w:ascii="Times New Roman" w:hAnsi="Times New Roman" w:cs="Times New Roman"/>
          <w:sz w:val="28"/>
          <w:szCs w:val="28"/>
          <w:lang w:val="uk-UA"/>
        </w:rPr>
        <w:t>обґрунтованими</w:t>
      </w:r>
      <w:r w:rsidR="00B67851" w:rsidRPr="00C9725D">
        <w:rPr>
          <w:rFonts w:ascii="Times New Roman" w:hAnsi="Times New Roman" w:cs="Times New Roman"/>
          <w:sz w:val="28"/>
          <w:szCs w:val="28"/>
          <w:lang w:val="uk-UA"/>
        </w:rPr>
        <w:t xml:space="preserve"> розміром</w:t>
      </w:r>
      <w:r w:rsidR="00C9725D">
        <w:rPr>
          <w:rFonts w:ascii="Times New Roman" w:hAnsi="Times New Roman" w:cs="Times New Roman"/>
          <w:sz w:val="28"/>
          <w:szCs w:val="28"/>
          <w:lang w:val="uk-UA"/>
        </w:rPr>
        <w:t>, що забезпечить:</w:t>
      </w:r>
    </w:p>
    <w:p w14:paraId="22783968" w14:textId="3EFF112D" w:rsidR="009D657F" w:rsidRPr="00866DC9" w:rsidRDefault="00C767E2" w:rsidP="002C75DF">
      <w:pPr>
        <w:pStyle w:val="a3"/>
        <w:numPr>
          <w:ilvl w:val="0"/>
          <w:numId w:val="2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стабілізаці</w:t>
      </w:r>
      <w:r w:rsidR="00B67851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фінансового стан</w:t>
      </w:r>
      <w:r w:rsidR="00C9725D">
        <w:rPr>
          <w:rFonts w:ascii="Times New Roman" w:hAnsi="Times New Roman" w:cs="Times New Roman"/>
          <w:sz w:val="28"/>
          <w:szCs w:val="28"/>
          <w:lang w:val="uk-UA"/>
        </w:rPr>
        <w:t>у КП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«Гайсинводоканал»</w:t>
      </w:r>
      <w:r w:rsidR="009D657F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в частині надання послуг з централізованого водопостачання та централізованого водовідведення;</w:t>
      </w:r>
    </w:p>
    <w:p w14:paraId="533402D5" w14:textId="77777777" w:rsidR="00B67851" w:rsidRDefault="00B67851" w:rsidP="002C75DF">
      <w:pPr>
        <w:pStyle w:val="a3"/>
        <w:numPr>
          <w:ilvl w:val="0"/>
          <w:numId w:val="2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збереження кількості та якості наданих послуг з централізованого водопостачання та централізованого водовідведення; </w:t>
      </w:r>
    </w:p>
    <w:p w14:paraId="26896133" w14:textId="284FDFF7" w:rsidR="001E3840" w:rsidRPr="00D96726" w:rsidRDefault="009D657F" w:rsidP="002C75DF">
      <w:pPr>
        <w:pStyle w:val="a3"/>
        <w:numPr>
          <w:ilvl w:val="0"/>
          <w:numId w:val="22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дотримання вимог діючого законодавства</w:t>
      </w:r>
      <w:r w:rsidR="00B678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E674BF" w14:textId="77777777" w:rsidR="007D4191" w:rsidRPr="00866DC9" w:rsidRDefault="007D4191" w:rsidP="00A83D11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7445E7" w14:textId="11E67B78" w:rsidR="00514F69" w:rsidRDefault="008B671D" w:rsidP="00583D8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B0BDF" w:rsidRPr="00583D84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  <w:r w:rsidR="00151305" w:rsidRPr="00583D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12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завдань </w:t>
      </w:r>
      <w:r w:rsidR="00151305" w:rsidRPr="00583D84">
        <w:rPr>
          <w:rFonts w:ascii="Times New Roman" w:hAnsi="Times New Roman" w:cs="Times New Roman"/>
          <w:b/>
          <w:sz w:val="28"/>
          <w:szCs w:val="28"/>
          <w:lang w:val="uk-UA"/>
        </w:rPr>
        <w:t>і засобів розв’язання проблем</w:t>
      </w:r>
      <w:r w:rsidR="00F1764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1A1297">
        <w:rPr>
          <w:rFonts w:ascii="Times New Roman" w:hAnsi="Times New Roman" w:cs="Times New Roman"/>
          <w:b/>
          <w:sz w:val="28"/>
          <w:szCs w:val="28"/>
          <w:lang w:val="uk-UA"/>
        </w:rPr>
        <w:t>, завдань і заходів, показники</w:t>
      </w:r>
      <w:r w:rsidR="004D71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результативності Програми</w:t>
      </w:r>
    </w:p>
    <w:p w14:paraId="033F0CD0" w14:textId="77777777" w:rsidR="00F17646" w:rsidRPr="00583D84" w:rsidRDefault="00F17646" w:rsidP="00A83D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0CA83E" w14:textId="77777777" w:rsidR="00514F69" w:rsidRDefault="00514F69" w:rsidP="00A83D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 різниці в тарифах для населення з міського бюджету є найбільш реальним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засобом для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стабілізації фінансового стану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підприємства «Гайсинводоканал». </w:t>
      </w:r>
    </w:p>
    <w:p w14:paraId="20749970" w14:textId="2A4F412A" w:rsidR="00151305" w:rsidRPr="00866DC9" w:rsidRDefault="00151305" w:rsidP="00A83D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4F69">
        <w:rPr>
          <w:rFonts w:ascii="Times New Roman" w:hAnsi="Times New Roman" w:cs="Times New Roman"/>
          <w:sz w:val="28"/>
          <w:szCs w:val="28"/>
          <w:lang w:val="uk-UA"/>
        </w:rPr>
        <w:t>Серед альтернативних способів досягнення цілей даної Програми є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4F69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більш високих економічно </w:t>
      </w:r>
      <w:r w:rsidR="00FB0BDF" w:rsidRPr="00514F69">
        <w:rPr>
          <w:rFonts w:ascii="Times New Roman" w:hAnsi="Times New Roman" w:cs="Times New Roman"/>
          <w:sz w:val="28"/>
          <w:szCs w:val="28"/>
          <w:lang w:val="uk-UA"/>
        </w:rPr>
        <w:t>обґрунтованих</w:t>
      </w:r>
      <w:r w:rsidRPr="00514F69">
        <w:rPr>
          <w:rFonts w:ascii="Times New Roman" w:hAnsi="Times New Roman" w:cs="Times New Roman"/>
          <w:sz w:val="28"/>
          <w:szCs w:val="28"/>
          <w:lang w:val="uk-UA"/>
        </w:rPr>
        <w:t xml:space="preserve"> тарифі</w:t>
      </w:r>
      <w:r w:rsidR="00082193" w:rsidRPr="00514F6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14F6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83D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Ця альтернатива є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неприйнятною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з двох причин:</w:t>
      </w:r>
    </w:p>
    <w:p w14:paraId="0BD967A3" w14:textId="77777777" w:rsidR="005E76B5" w:rsidRDefault="00151305" w:rsidP="000332E1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своєчасність процедури перегляду тарифів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неможлива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з-за самої процедури її встановлення;</w:t>
      </w:r>
    </w:p>
    <w:p w14:paraId="0DDBCC8C" w14:textId="276C9694" w:rsidR="00151305" w:rsidRPr="005E76B5" w:rsidRDefault="00151305" w:rsidP="000332E1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76B5">
        <w:rPr>
          <w:rFonts w:ascii="Times New Roman" w:hAnsi="Times New Roman" w:cs="Times New Roman"/>
          <w:sz w:val="28"/>
          <w:szCs w:val="28"/>
          <w:lang w:val="uk-UA"/>
        </w:rPr>
        <w:t>часте підвищення тарифі</w:t>
      </w:r>
      <w:r w:rsidR="00082193" w:rsidRPr="005E76B5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5E76B5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r w:rsidR="00FB0BDF" w:rsidRPr="005E76B5">
        <w:rPr>
          <w:rFonts w:ascii="Times New Roman" w:hAnsi="Times New Roman" w:cs="Times New Roman"/>
          <w:sz w:val="28"/>
          <w:szCs w:val="28"/>
          <w:lang w:val="uk-UA"/>
        </w:rPr>
        <w:t>населення небажане з соціально</w:t>
      </w:r>
      <w:r w:rsidRPr="005E76B5">
        <w:rPr>
          <w:rFonts w:ascii="Times New Roman" w:hAnsi="Times New Roman" w:cs="Times New Roman"/>
          <w:sz w:val="28"/>
          <w:szCs w:val="28"/>
          <w:lang w:val="uk-UA"/>
        </w:rPr>
        <w:t>-політичних мотивів.</w:t>
      </w:r>
    </w:p>
    <w:p w14:paraId="4F9F4CF7" w14:textId="24417270" w:rsidR="002D4266" w:rsidRDefault="00151305" w:rsidP="002C7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З метою врахування інтересів споживачів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послуг</w:t>
      </w:r>
      <w:r w:rsidR="00D96726">
        <w:rPr>
          <w:rFonts w:ascii="Times New Roman" w:hAnsi="Times New Roman" w:cs="Times New Roman"/>
          <w:sz w:val="28"/>
          <w:szCs w:val="28"/>
          <w:lang w:val="uk-UA"/>
        </w:rPr>
        <w:t xml:space="preserve"> та дотримуючись норм чинного законодавства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, вирішення проблеми пропонується здійснити шляхом 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відшкодування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різниці між розміром тариф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 послуги  централізованого водопостачання та централізованого водовідведення, затвердж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ен</w:t>
      </w:r>
      <w:r w:rsidR="002D4266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Гайсинської міської ради, та 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їх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C83" w:rsidRPr="00866DC9">
        <w:rPr>
          <w:rFonts w:ascii="Times New Roman" w:hAnsi="Times New Roman" w:cs="Times New Roman"/>
          <w:sz w:val="28"/>
          <w:szCs w:val="28"/>
          <w:lang w:val="uk-UA"/>
        </w:rPr>
        <w:t>економічно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B0BDF"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</w:t>
      </w:r>
      <w:r w:rsidR="00514F69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30C83"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4266">
        <w:rPr>
          <w:rFonts w:ascii="Times New Roman" w:hAnsi="Times New Roman" w:cs="Times New Roman"/>
          <w:sz w:val="28"/>
          <w:szCs w:val="28"/>
          <w:lang w:val="uk-UA"/>
        </w:rPr>
        <w:t>розміром</w:t>
      </w:r>
      <w:r w:rsidR="00F30C83" w:rsidRPr="00866DC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76C4DC5" w14:textId="5AED807E" w:rsidR="00F30C83" w:rsidRDefault="002D4266" w:rsidP="002C7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ідшкодування різниці в тарифах для комунального підприємства «Гайсинводоканал» проводиться </w:t>
      </w:r>
      <w:r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552DE7">
        <w:rPr>
          <w:rFonts w:ascii="Times New Roman" w:hAnsi="Times New Roman" w:cs="Times New Roman"/>
          <w:sz w:val="28"/>
          <w:szCs w:val="28"/>
          <w:lang w:val="uk-UA"/>
        </w:rPr>
        <w:t>місяч</w:t>
      </w:r>
      <w:r>
        <w:rPr>
          <w:rFonts w:ascii="Times New Roman" w:hAnsi="Times New Roman" w:cs="Times New Roman"/>
          <w:sz w:val="28"/>
          <w:szCs w:val="28"/>
          <w:lang w:val="uk-UA"/>
        </w:rPr>
        <w:t>но</w:t>
      </w:r>
      <w:r w:rsidR="000F253B">
        <w:rPr>
          <w:rFonts w:ascii="Times New Roman" w:hAnsi="Times New Roman" w:cs="Times New Roman"/>
          <w:sz w:val="28"/>
          <w:szCs w:val="28"/>
          <w:lang w:val="uk-UA"/>
        </w:rPr>
        <w:t xml:space="preserve"> згідно фактичних об</w:t>
      </w:r>
      <w:r w:rsidR="000F253B" w:rsidRPr="000F253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0F253B">
        <w:rPr>
          <w:rFonts w:ascii="Times New Roman" w:hAnsi="Times New Roman" w:cs="Times New Roman"/>
          <w:sz w:val="28"/>
          <w:szCs w:val="28"/>
          <w:lang w:val="uk-UA"/>
        </w:rPr>
        <w:t>ємів реалізації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2DE7">
        <w:rPr>
          <w:rFonts w:ascii="Times New Roman" w:hAnsi="Times New Roman" w:cs="Times New Roman"/>
          <w:sz w:val="28"/>
          <w:szCs w:val="28"/>
          <w:lang w:val="uk-UA"/>
        </w:rPr>
        <w:t xml:space="preserve">за попередній місяць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розрахунку різниці між розміром тариф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централізоване водопостачання та централізоване водовідведення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для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обґрунтовани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розміром,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>
        <w:rPr>
          <w:rFonts w:ascii="Times New Roman" w:hAnsi="Times New Roman" w:cs="Times New Roman"/>
          <w:sz w:val="28"/>
          <w:szCs w:val="28"/>
          <w:lang w:val="uk-UA"/>
        </w:rPr>
        <w:t>ений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 рішенням виконавчого комітету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B63ED">
        <w:rPr>
          <w:rFonts w:ascii="Times New Roman" w:hAnsi="Times New Roman" w:cs="Times New Roman"/>
          <w:sz w:val="28"/>
          <w:szCs w:val="28"/>
          <w:lang w:val="uk-UA"/>
        </w:rPr>
        <w:t xml:space="preserve"> Розрахунок обсягів компенсації різниці в тарифах на кожен рік зазначений у додатку 3 до цієї програми.</w:t>
      </w:r>
    </w:p>
    <w:p w14:paraId="616E2B0A" w14:textId="42497BBA" w:rsidR="00644921" w:rsidRDefault="00644921" w:rsidP="002C7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 з</w:t>
      </w:r>
      <w:r w:rsidR="00F30C83" w:rsidRPr="00644921">
        <w:rPr>
          <w:rFonts w:ascii="Times New Roman" w:hAnsi="Times New Roman" w:cs="Times New Roman"/>
          <w:sz w:val="28"/>
          <w:szCs w:val="28"/>
          <w:lang w:val="uk-UA"/>
        </w:rPr>
        <w:t>авданням Програми</w:t>
      </w:r>
      <w:r w:rsidR="00D522CD" w:rsidRPr="006449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C83" w:rsidRPr="0064492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C75DF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 xml:space="preserve">табілізація фінансового стану та забезпечення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належної та безперебійної </w:t>
      </w:r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>діяльності КП «Гайсинводоканал» в частині надання послуг з централізованого водопостачання та централізованого водовідведення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4266" w:rsidRPr="002D42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3B6B48" w14:textId="6FD7DD68" w:rsidR="00644921" w:rsidRDefault="00644921" w:rsidP="002C75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Виконання даного завдання забезпечить:</w:t>
      </w:r>
    </w:p>
    <w:p w14:paraId="6B396C1C" w14:textId="3D605735" w:rsidR="008D1AB9" w:rsidRPr="00644921" w:rsidRDefault="00FB0BDF" w:rsidP="002C75DF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921">
        <w:rPr>
          <w:rFonts w:ascii="Times New Roman" w:hAnsi="Times New Roman" w:cs="Times New Roman"/>
          <w:sz w:val="28"/>
          <w:szCs w:val="28"/>
          <w:lang w:val="uk-UA"/>
        </w:rPr>
        <w:t>збереження</w:t>
      </w:r>
      <w:r w:rsidR="008D1AB9" w:rsidRPr="00644921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</w:t>
      </w:r>
      <w:r w:rsidR="001E3840">
        <w:rPr>
          <w:rFonts w:ascii="Times New Roman" w:hAnsi="Times New Roman" w:cs="Times New Roman"/>
          <w:sz w:val="28"/>
          <w:szCs w:val="28"/>
          <w:lang w:val="uk-UA"/>
        </w:rPr>
        <w:t>та покращення якості</w:t>
      </w:r>
      <w:r w:rsidR="008D1AB9" w:rsidRPr="00644921">
        <w:rPr>
          <w:rFonts w:ascii="Times New Roman" w:hAnsi="Times New Roman" w:cs="Times New Roman"/>
          <w:sz w:val="28"/>
          <w:szCs w:val="28"/>
          <w:lang w:val="uk-UA"/>
        </w:rPr>
        <w:t xml:space="preserve"> надання послуг з централізованого водопостачання та централізованого водовідведення;</w:t>
      </w:r>
    </w:p>
    <w:p w14:paraId="14F55128" w14:textId="4293CD66" w:rsidR="008D1AB9" w:rsidRDefault="008D1AB9" w:rsidP="002C75DF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4921">
        <w:rPr>
          <w:rFonts w:ascii="Times New Roman" w:hAnsi="Times New Roman" w:cs="Times New Roman"/>
          <w:sz w:val="28"/>
          <w:szCs w:val="28"/>
          <w:lang w:val="uk-UA"/>
        </w:rPr>
        <w:t>забезпечення своєчасних розрахунків за надані послуги.</w:t>
      </w:r>
    </w:p>
    <w:p w14:paraId="022AFDD9" w14:textId="77777777" w:rsidR="00EB5C3A" w:rsidRPr="00866DC9" w:rsidRDefault="00EB5C3A" w:rsidP="002C75DF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виконання вимог Закону України «Про житлово-комунальні послуги»</w:t>
      </w:r>
    </w:p>
    <w:p w14:paraId="6828A171" w14:textId="2657BDDA" w:rsidR="00EB5C3A" w:rsidRPr="001E3840" w:rsidRDefault="00EB5C3A" w:rsidP="002C75DF">
      <w:pPr>
        <w:pStyle w:val="a3"/>
        <w:numPr>
          <w:ilvl w:val="0"/>
          <w:numId w:val="7"/>
        </w:numPr>
        <w:spacing w:after="0" w:line="240" w:lineRule="auto"/>
        <w:ind w:left="340" w:hanging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DC9">
        <w:rPr>
          <w:rFonts w:ascii="Times New Roman" w:hAnsi="Times New Roman" w:cs="Times New Roman"/>
          <w:sz w:val="28"/>
          <w:szCs w:val="28"/>
          <w:lang w:val="uk-UA"/>
        </w:rPr>
        <w:t>своєчасна сплата податків, зборів та інших платежів</w:t>
      </w:r>
      <w:r w:rsidR="001E384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1E3840">
        <w:rPr>
          <w:rFonts w:ascii="Times New Roman" w:hAnsi="Times New Roman" w:cs="Times New Roman"/>
          <w:sz w:val="28"/>
          <w:szCs w:val="28"/>
          <w:lang w:val="uk-UA"/>
        </w:rPr>
        <w:t>належне виконання зобов’язань роботодавця перед працівниками підприємства по оплаті праці</w:t>
      </w:r>
      <w:r w:rsidR="001E38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922351C" w14:textId="77777777" w:rsidR="00791C41" w:rsidRDefault="00791C41" w:rsidP="002C75D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>Дані щодо завдання Програми, заходу, строків його виконання, виконавців, обсягів та джерел фінансування по роках, очікуваний результат від виконання заходу наведені у Додатку 1 до Програми.</w:t>
      </w:r>
    </w:p>
    <w:p w14:paraId="196D8C27" w14:textId="5B154F36" w:rsidR="008B671D" w:rsidRDefault="008B671D" w:rsidP="002C75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Результативні показники Програми:</w:t>
      </w:r>
    </w:p>
    <w:tbl>
      <w:tblPr>
        <w:tblW w:w="100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2166"/>
        <w:gridCol w:w="1247"/>
        <w:gridCol w:w="1446"/>
        <w:gridCol w:w="1417"/>
        <w:gridCol w:w="1389"/>
        <w:gridCol w:w="1730"/>
      </w:tblGrid>
      <w:tr w:rsidR="00791C41" w:rsidRPr="00FB02EF" w14:paraId="457EE8EE" w14:textId="77777777" w:rsidTr="004F0B98"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27CA9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5441A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color w:val="000000"/>
                <w:spacing w:val="-3"/>
                <w:sz w:val="24"/>
                <w:szCs w:val="24"/>
                <w:lang w:val="uk-UA"/>
              </w:rPr>
              <w:t>Назва показника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251B7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15C322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Виконання Програми, по роках    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EBA753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color w:val="000000"/>
                <w:spacing w:val="-4"/>
                <w:sz w:val="24"/>
                <w:szCs w:val="24"/>
                <w:lang w:val="uk-UA"/>
              </w:rPr>
              <w:t xml:space="preserve">Всього за період дії Програми </w:t>
            </w:r>
          </w:p>
        </w:tc>
      </w:tr>
      <w:tr w:rsidR="00791C41" w:rsidRPr="00FB02EF" w14:paraId="5D7AA2B7" w14:textId="77777777" w:rsidTr="004F0B98"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ABAC5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BD5E9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A03EB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511A8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FB02EF"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233837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307C2E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7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E7A0" w14:textId="77777777" w:rsidR="00791C41" w:rsidRPr="00FB02EF" w:rsidRDefault="00791C41" w:rsidP="004F0B98">
            <w:pPr>
              <w:spacing w:line="256" w:lineRule="auto"/>
              <w:rPr>
                <w:rFonts w:ascii="Times New Roman" w:eastAsia="Batang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791C41" w:rsidRPr="00FB02EF" w14:paraId="356DDBFC" w14:textId="77777777" w:rsidTr="004F0B98">
        <w:trPr>
          <w:trHeight w:val="24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12C28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C7E707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6D1FC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26D3E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859BF1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BC6423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A68A8" w14:textId="77777777" w:rsidR="00791C41" w:rsidRPr="00FB02EF" w:rsidRDefault="00791C41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</w:tr>
      <w:tr w:rsidR="00791C41" w:rsidRPr="00FB02EF" w14:paraId="7049FFD4" w14:textId="77777777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D1C0D" w14:textId="77777777" w:rsidR="00791C41" w:rsidRPr="00FB02EF" w:rsidRDefault="00791C41" w:rsidP="004F0B98">
            <w:pPr>
              <w:spacing w:after="12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затрат</w:t>
            </w:r>
          </w:p>
        </w:tc>
      </w:tr>
      <w:tr w:rsidR="00791C41" w:rsidRPr="00FB02EF" w14:paraId="06A16989" w14:textId="77777777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85170" w14:textId="17AF58E4" w:rsidR="00791C41" w:rsidRPr="00FB02EF" w:rsidRDefault="0099404C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2568" w14:textId="650673D7" w:rsidR="00791C41" w:rsidRPr="00FB02EF" w:rsidRDefault="00791C41" w:rsidP="0057493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Обсяг видатків на </w:t>
            </w:r>
            <w:r w:rsidR="0057493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відшкодування тарифів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CD9F4" w14:textId="4B670188" w:rsidR="00791C41" w:rsidRPr="00FB02EF" w:rsidRDefault="00791C41" w:rsidP="004F0B9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  <w:r w:rsidR="002470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230F1" w14:textId="0C5AC3F9" w:rsidR="00791C41" w:rsidRPr="00FB02EF" w:rsidRDefault="0057493B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2470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4900000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4C7C73" w14:textId="4C06A6C0" w:rsidR="00791C41" w:rsidRPr="00FB02EF" w:rsidRDefault="0057493B" w:rsidP="004F0B9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11706925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4EF4A9" w14:textId="6C005B81" w:rsidR="00791C41" w:rsidRPr="00FB02EF" w:rsidRDefault="0057493B" w:rsidP="004F0B98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12224517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CC9AA" w14:textId="0925724E" w:rsidR="00791C41" w:rsidRPr="00FB02EF" w:rsidRDefault="0099404C" w:rsidP="004F0B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2470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8831442</w:t>
            </w:r>
          </w:p>
        </w:tc>
      </w:tr>
      <w:tr w:rsidR="00791C41" w:rsidRPr="00FB02EF" w14:paraId="1A3F6D2A" w14:textId="77777777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5A5A19" w14:textId="77777777" w:rsidR="00791C41" w:rsidRPr="00FB02EF" w:rsidRDefault="00791C41" w:rsidP="004F0B98">
            <w:pPr>
              <w:spacing w:after="120" w:line="264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продукту </w:t>
            </w:r>
          </w:p>
        </w:tc>
      </w:tr>
      <w:tr w:rsidR="00791C41" w:rsidRPr="00FB02EF" w14:paraId="50B18161" w14:textId="77777777" w:rsidTr="0099404C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BB64F" w14:textId="28B3B219" w:rsidR="00791C41" w:rsidRPr="00FB02EF" w:rsidRDefault="0099404C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E500" w14:textId="5B8ECB3A" w:rsidR="00791C41" w:rsidRPr="00FB02EF" w:rsidRDefault="0099404C" w:rsidP="004F0B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40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Обсяг надання послуг централізованого водопостачання та централізованого водовідведення для населення міста Гайсин на рік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F11BC" w14:textId="7A905B99" w:rsidR="00791C41" w:rsidRPr="00FB02EF" w:rsidRDefault="0099404C" w:rsidP="004F0B98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тис.м</w:t>
            </w:r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="00791C41" w:rsidRPr="00FB02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ED83" w14:textId="5B7025AF" w:rsidR="00791C41" w:rsidRPr="00FB02EF" w:rsidRDefault="00247041" w:rsidP="00994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17B62" w14:textId="23E0E727" w:rsidR="00791C41" w:rsidRPr="00FB02EF" w:rsidRDefault="0099404C" w:rsidP="0099404C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466,12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517004" w14:textId="52BCDAAC" w:rsidR="0099404C" w:rsidRPr="00FB02EF" w:rsidRDefault="0099404C" w:rsidP="0099404C">
            <w:pPr>
              <w:spacing w:after="0" w:line="240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486,74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C446" w14:textId="372E39BA" w:rsidR="00791C41" w:rsidRPr="00FB02EF" w:rsidRDefault="0099404C" w:rsidP="009940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 w:rsidR="002470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462,76</w:t>
            </w:r>
          </w:p>
        </w:tc>
      </w:tr>
      <w:tr w:rsidR="00791C41" w:rsidRPr="00FB02EF" w14:paraId="2A393D7C" w14:textId="77777777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BD38CF" w14:textId="77777777" w:rsidR="00791C41" w:rsidRPr="00FB02EF" w:rsidRDefault="00791C41" w:rsidP="004F0B98">
            <w:pPr>
              <w:spacing w:after="0" w:line="264" w:lineRule="auto"/>
              <w:ind w:right="51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Показники ефективності</w:t>
            </w:r>
          </w:p>
        </w:tc>
      </w:tr>
      <w:tr w:rsidR="00791C41" w:rsidRPr="00FB02EF" w14:paraId="128C473C" w14:textId="77777777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8812E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B853" w14:textId="211C6A5A" w:rsidR="00791C41" w:rsidRPr="00FB02EF" w:rsidRDefault="0099404C" w:rsidP="004F0B98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Середня сума відшкодування різни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 в тарифах з розрахунку на 1м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9940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води та стоків, реалізованих населенню міста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C104F" w14:textId="54281D75" w:rsidR="00791C41" w:rsidRPr="00FB02EF" w:rsidRDefault="00791C41" w:rsidP="004F0B98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7D78" w14:textId="1C8DF9FE" w:rsidR="0099404C" w:rsidRPr="00FB02EF" w:rsidRDefault="0099404C" w:rsidP="0099404C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2470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2C251C" w14:textId="5998F15B" w:rsidR="00791C41" w:rsidRPr="00FB02EF" w:rsidRDefault="0099404C" w:rsidP="004F0B98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25,1</w:t>
            </w:r>
            <w:r w:rsidR="002470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9865B6" w14:textId="067E7A40" w:rsidR="00791C41" w:rsidRPr="00FB02EF" w:rsidRDefault="0099404C" w:rsidP="004F0B98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25,11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B5FB" w14:textId="70BDD9F9" w:rsidR="00791C41" w:rsidRPr="00FB02EF" w:rsidRDefault="0099404C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24704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6,</w:t>
            </w:r>
            <w:r w:rsidR="0062315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55</w:t>
            </w:r>
          </w:p>
        </w:tc>
      </w:tr>
      <w:tr w:rsidR="00791C41" w:rsidRPr="00FB02EF" w14:paraId="4798EF64" w14:textId="77777777" w:rsidTr="004F0B98">
        <w:tc>
          <w:tcPr>
            <w:tcW w:w="100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95959A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Показники якості </w:t>
            </w:r>
          </w:p>
        </w:tc>
      </w:tr>
      <w:tr w:rsidR="00791C41" w:rsidRPr="00FB02EF" w14:paraId="349B8B9F" w14:textId="77777777" w:rsidTr="004F0B98">
        <w:trPr>
          <w:trHeight w:val="3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49CE1" w14:textId="5370931B" w:rsidR="00791C41" w:rsidRPr="00FB02EF" w:rsidRDefault="0099404C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3D82" w14:textId="3FF31CE5" w:rsidR="00791C41" w:rsidRPr="00FB02EF" w:rsidRDefault="0099404C" w:rsidP="00292729">
            <w:pPr>
              <w:spacing w:after="120"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своєчасних розрахунків</w:t>
            </w:r>
            <w:r w:rsidR="00292729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підприємствами постачальниками послуг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4892" w14:textId="77777777" w:rsidR="00791C41" w:rsidRPr="00FB02EF" w:rsidRDefault="00791C41" w:rsidP="004F0B98">
            <w:pPr>
              <w:spacing w:after="120" w:line="256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відсоток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C02F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28BF4A" w14:textId="77777777" w:rsidR="00791C41" w:rsidRPr="00FB02EF" w:rsidRDefault="00791C41" w:rsidP="004F0B98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3F4928" w14:textId="77777777" w:rsidR="00791C41" w:rsidRPr="00FB02EF" w:rsidRDefault="00791C41" w:rsidP="004F0B98">
            <w:pPr>
              <w:spacing w:after="120" w:line="256" w:lineRule="auto"/>
              <w:ind w:right="3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641D" w14:textId="77777777" w:rsidR="00791C41" w:rsidRPr="00FB02EF" w:rsidRDefault="00791C41" w:rsidP="004F0B98">
            <w:pPr>
              <w:spacing w:after="12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B02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14:paraId="5B8CA488" w14:textId="77777777" w:rsidR="00791C41" w:rsidRDefault="00791C41" w:rsidP="002C75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79AB78" w14:textId="77777777" w:rsidR="00292729" w:rsidRDefault="00292729" w:rsidP="00292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276E58">
        <w:rPr>
          <w:rFonts w:ascii="Times New Roman" w:hAnsi="Times New Roman" w:cs="Times New Roman"/>
          <w:b/>
          <w:sz w:val="28"/>
          <w:szCs w:val="28"/>
          <w:lang w:val="uk-UA"/>
        </w:rPr>
        <w:t>. Обсяги та джерела фінансування Програми</w:t>
      </w:r>
    </w:p>
    <w:p w14:paraId="0BB3FA48" w14:textId="77777777" w:rsidR="00292729" w:rsidRPr="00276E58" w:rsidRDefault="00292729" w:rsidP="00292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54DE9" w14:textId="77777777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на 2026-2028 роки буде здійснюватися за рахунок коштів бюджету Гайсинської міської територіальної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 та інших джерел не заборонених чинним законодавством.</w:t>
      </w:r>
    </w:p>
    <w:p w14:paraId="04DAAE80" w14:textId="77777777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</w:rPr>
        <w:t>Фінансування заходів щодо виконання Програми здійснюється в порядку, визначеному нормативно</w:t>
      </w:r>
      <w:r w:rsidRPr="00A01B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A01B14">
        <w:rPr>
          <w:rFonts w:ascii="Times New Roman" w:hAnsi="Times New Roman" w:cs="Times New Roman"/>
          <w:sz w:val="28"/>
          <w:szCs w:val="28"/>
        </w:rPr>
        <w:t>правовими актами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01B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52995" w14:textId="77777777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  <w:lang w:val="uk-UA"/>
        </w:rPr>
        <w:lastRenderedPageBreak/>
        <w:t>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Гайсинської міської територіальної громади на відповідний бюджетний період.</w:t>
      </w:r>
    </w:p>
    <w:p w14:paraId="47F9251A" w14:textId="5BC9908A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1B14">
        <w:rPr>
          <w:rFonts w:ascii="Times New Roman" w:hAnsi="Times New Roman" w:cs="Times New Roman"/>
          <w:sz w:val="28"/>
          <w:szCs w:val="28"/>
          <w:lang w:val="uk-UA"/>
        </w:rPr>
        <w:t xml:space="preserve">Орієнтовні обсяги фінансових витрат, необхідних для виконання Програми загалом і </w:t>
      </w:r>
      <w:r w:rsidR="0048470A" w:rsidRPr="00A01B14">
        <w:rPr>
          <w:rFonts w:ascii="Times New Roman" w:hAnsi="Times New Roman" w:cs="Times New Roman"/>
          <w:sz w:val="28"/>
          <w:szCs w:val="28"/>
          <w:lang w:val="uk-UA"/>
        </w:rPr>
        <w:t>диференційовано</w:t>
      </w:r>
      <w:r w:rsidRPr="00A01B14">
        <w:rPr>
          <w:rFonts w:ascii="Times New Roman" w:hAnsi="Times New Roman" w:cs="Times New Roman"/>
          <w:sz w:val="28"/>
          <w:szCs w:val="28"/>
          <w:lang w:val="uk-UA"/>
        </w:rPr>
        <w:t xml:space="preserve"> по роках з визначенням джерел фінансування наведені у додатку2.</w:t>
      </w:r>
    </w:p>
    <w:p w14:paraId="3C112678" w14:textId="77777777" w:rsidR="00292729" w:rsidRPr="00A01B14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B14">
        <w:rPr>
          <w:rFonts w:ascii="Times New Roman" w:hAnsi="Times New Roman" w:cs="Times New Roman"/>
          <w:sz w:val="28"/>
          <w:szCs w:val="28"/>
        </w:rPr>
        <w:t>Обсяги фінансових ресурсів на реалізацію Програми, у разі потреби, протягом року можуть уточнюватися.</w:t>
      </w:r>
    </w:p>
    <w:p w14:paraId="78FDA321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14:paraId="35682B84" w14:textId="77777777" w:rsidR="00292729" w:rsidRPr="00276E58" w:rsidRDefault="00292729" w:rsidP="002927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 w:bidi="uk-UA"/>
        </w:rPr>
      </w:pPr>
      <w:r>
        <w:rPr>
          <w:rFonts w:ascii="Times New Roman" w:hAnsi="Times New Roman" w:cs="Times New Roman"/>
          <w:b/>
          <w:sz w:val="28"/>
          <w:szCs w:val="28"/>
          <w:lang w:val="uk-UA" w:bidi="uk-UA"/>
        </w:rPr>
        <w:t>6</w:t>
      </w:r>
      <w:r w:rsidRPr="00276E58">
        <w:rPr>
          <w:rFonts w:ascii="Times New Roman" w:hAnsi="Times New Roman" w:cs="Times New Roman"/>
          <w:b/>
          <w:sz w:val="28"/>
          <w:szCs w:val="28"/>
          <w:lang w:val="uk-UA" w:bidi="uk-UA"/>
        </w:rPr>
        <w:t>. Строки та етапи виконання Програми</w:t>
      </w:r>
    </w:p>
    <w:p w14:paraId="785A2A9C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 w:bidi="uk-UA"/>
        </w:rPr>
      </w:pPr>
    </w:p>
    <w:p w14:paraId="3621A3B3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>Початок дії Програми: з 01 січня 2026 року.</w:t>
      </w:r>
    </w:p>
    <w:p w14:paraId="4391DBC6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>Закінчення дії Програми: 31 грудня 2028 року.</w:t>
      </w:r>
    </w:p>
    <w:p w14:paraId="4DA91B49" w14:textId="77777777" w:rsidR="00292729" w:rsidRPr="00276E58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276E58">
        <w:rPr>
          <w:rFonts w:ascii="Times New Roman" w:hAnsi="Times New Roman" w:cs="Times New Roman"/>
          <w:sz w:val="28"/>
          <w:szCs w:val="28"/>
          <w:lang w:val="uk-UA" w:bidi="uk-UA"/>
        </w:rPr>
        <w:t>Програма реалізується в один етап: І рік – 2026 рік, ІІ рік – 2027 рік, ІІІ рік – 2028 рік.</w:t>
      </w:r>
    </w:p>
    <w:p w14:paraId="6F7DC715" w14:textId="77777777" w:rsidR="00292729" w:rsidRDefault="00292729" w:rsidP="00292729">
      <w:pPr>
        <w:tabs>
          <w:tab w:val="left" w:pos="709"/>
        </w:tabs>
        <w:spacing w:after="0" w:line="240" w:lineRule="auto"/>
        <w:ind w:left="1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7EC16ED" w14:textId="4282B7B5" w:rsidR="00D560E3" w:rsidRPr="00F17646" w:rsidRDefault="00292729" w:rsidP="00DF750F">
      <w:pPr>
        <w:tabs>
          <w:tab w:val="left" w:pos="709"/>
        </w:tabs>
        <w:spacing w:after="200" w:line="240" w:lineRule="auto"/>
        <w:ind w:left="146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560E3" w:rsidRPr="00F176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Очікув</w:t>
      </w:r>
      <w:r w:rsidR="00D560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ані результати виконання П</w:t>
      </w:r>
      <w:r w:rsidR="00D560E3" w:rsidRPr="00F176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</w:t>
      </w:r>
    </w:p>
    <w:p w14:paraId="77384FDF" w14:textId="77777777" w:rsidR="00D560E3" w:rsidRPr="006E5A23" w:rsidRDefault="00D560E3" w:rsidP="005B4C8F">
      <w:pPr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Основним очікуваним результатом впровадження даної Програми є забезпечення стабільного функціонування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Гайсинводоканал</w:t>
      </w: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якісного та в повному обсязі забезпечення споживачів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послугами водопостачання та водовідведення.</w:t>
      </w:r>
    </w:p>
    <w:p w14:paraId="465D0CAE" w14:textId="77777777" w:rsidR="00D560E3" w:rsidRDefault="00D560E3" w:rsidP="005B4C8F">
      <w:pPr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 з цим, від функціонування даної Програми очікується:</w:t>
      </w:r>
    </w:p>
    <w:p w14:paraId="7ABC53FC" w14:textId="77777777" w:rsidR="00D560E3" w:rsidRDefault="00D560E3" w:rsidP="005B4C8F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забезпечення виконання вимог Господарського кодексу України, Законів України «Про житлово-комунальні послуги», «Про ціни і ціноутворення»; </w:t>
      </w:r>
    </w:p>
    <w:p w14:paraId="25EEF684" w14:textId="77777777" w:rsidR="00D560E3" w:rsidRDefault="00D560E3" w:rsidP="005B4C8F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належне виконання зобов'язань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 Гайсинводоканал</w:t>
      </w: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працівниками підприємства по оплаті праці; </w:t>
      </w:r>
    </w:p>
    <w:p w14:paraId="5B73E51E" w14:textId="77777777" w:rsidR="00D560E3" w:rsidRDefault="00D560E3" w:rsidP="005B4C8F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своєчасно та в повному обсязі сплачені податки, збори, спожиті енергоносії та інші платежі;</w:t>
      </w:r>
    </w:p>
    <w:p w14:paraId="08298E76" w14:textId="77777777" w:rsidR="00D560E3" w:rsidRPr="006E5A23" w:rsidRDefault="00D560E3" w:rsidP="005B4C8F">
      <w:pPr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 w:bidi="uk-UA"/>
        </w:rPr>
      </w:pPr>
      <w:r w:rsidRPr="006E5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надання споживачам послуг за цінами, нижчими від розміру економічно-обґрунтованих витрат на їх виробництво, для зменшення фінансового навантаження на таких споживачів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серед яких є одинокі матері, пенсіонери, населення з доходами нижче певного рівня, безробітні.</w:t>
      </w:r>
    </w:p>
    <w:p w14:paraId="1909256A" w14:textId="53E34C4D" w:rsidR="00022C3E" w:rsidRDefault="00022C3E" w:rsidP="008B671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75AE3B" w14:textId="5BC31FF5" w:rsidR="008D1AB9" w:rsidRDefault="008B671D" w:rsidP="00292729">
      <w:pPr>
        <w:pStyle w:val="a3"/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D560E3">
        <w:rPr>
          <w:rFonts w:ascii="Times New Roman" w:hAnsi="Times New Roman" w:cs="Times New Roman"/>
          <w:b/>
          <w:sz w:val="28"/>
          <w:szCs w:val="28"/>
          <w:lang w:val="uk-UA"/>
        </w:rPr>
        <w:t>. Координація</w:t>
      </w:r>
      <w:r w:rsidR="001E384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контрол</w:t>
      </w:r>
      <w:r w:rsidR="00D560E3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 w:rsidR="008B4703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ходом виконання Програми</w:t>
      </w:r>
    </w:p>
    <w:p w14:paraId="1BE0CAFA" w14:textId="77777777" w:rsidR="008B671D" w:rsidRPr="00866DC9" w:rsidRDefault="008B671D" w:rsidP="00DF750F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F7C264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Координатором Програми є виконавчий комітет Гайсинської міської ради.</w:t>
      </w:r>
    </w:p>
    <w:p w14:paraId="02E9630E" w14:textId="77777777" w:rsidR="00292729" w:rsidRPr="00FE5B00" w:rsidRDefault="00292729" w:rsidP="00292729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Arial" w:hAnsi="Times New Roman" w:cs="Times New Roman"/>
          <w:sz w:val="28"/>
          <w:szCs w:val="28"/>
          <w:lang w:val="uk-UA"/>
        </w:rPr>
        <w:t>Головний розпорядник спільно з відповідальним виконавцем для здійснення моніторингу реалізації Програми раз на рік до 15 лютого року, наступного за звітним подає</w:t>
      </w:r>
      <w:r w:rsidRPr="00FE5B00">
        <w:rPr>
          <w:rFonts w:ascii="Times New Roman" w:eastAsia="Arial" w:hAnsi="Times New Roman" w:cs="Times New Roman"/>
          <w:spacing w:val="80"/>
          <w:w w:val="150"/>
          <w:sz w:val="28"/>
          <w:szCs w:val="28"/>
          <w:lang w:val="uk-UA"/>
        </w:rPr>
        <w:t xml:space="preserve"> </w:t>
      </w:r>
      <w:r w:rsidRPr="00FE5B00">
        <w:rPr>
          <w:rFonts w:ascii="Times New Roman" w:eastAsia="Arial" w:hAnsi="Times New Roman" w:cs="Times New Roman"/>
          <w:sz w:val="28"/>
          <w:szCs w:val="28"/>
          <w:lang w:val="uk-UA"/>
        </w:rPr>
        <w:t>на розгляд міської ради щорічний  звіт про стан виконання Програми.</w:t>
      </w:r>
    </w:p>
    <w:p w14:paraId="139C59F5" w14:textId="55B9E331" w:rsidR="00292729" w:rsidRPr="00FE5B00" w:rsidRDefault="00292729" w:rsidP="004847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Arial" w:hAnsi="Times New Roman" w:cs="Times New Roman"/>
          <w:sz w:val="28"/>
          <w:szCs w:val="28"/>
          <w:lang w:val="uk-UA" w:eastAsia="ru-RU"/>
        </w:rPr>
        <w:t xml:space="preserve"> </w:t>
      </w:r>
      <w:r w:rsidRPr="00FE5B00">
        <w:rPr>
          <w:rFonts w:ascii="Times New Roman" w:eastAsia="Arial" w:hAnsi="Times New Roman" w:cs="Times New Roman"/>
          <w:sz w:val="28"/>
          <w:szCs w:val="28"/>
          <w:lang w:val="uk-UA" w:eastAsia="ru-RU"/>
        </w:rPr>
        <w:tab/>
      </w: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Організація виконання заходів Програми покладається на відповідальних виконавців зазначених у паспорті програми, які забезпечують ефективне та цільове використання бюджетних коштів. </w:t>
      </w:r>
    </w:p>
    <w:p w14:paraId="7033D86E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Контроль за виконанням даної Програми покладено на </w:t>
      </w:r>
      <w:r w:rsidRPr="00FE5B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</w:t>
      </w: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002D84B" w14:textId="77777777" w:rsidR="00292729" w:rsidRPr="00FE5B00" w:rsidRDefault="00292729" w:rsidP="002927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hAnsi="Times New Roman" w:cs="Times New Roman"/>
          <w:sz w:val="28"/>
          <w:szCs w:val="28"/>
          <w:lang w:val="uk-UA"/>
        </w:rPr>
        <w:t>Виконання Програми припиняється після закінчення встановленого терміну, після чого відповідальний виконавець Програми у місячний строк складає підсумковий звіт про результати її виконання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закінчення встановленого строку її виконання.</w:t>
      </w:r>
    </w:p>
    <w:p w14:paraId="629009CB" w14:textId="77777777" w:rsidR="00292729" w:rsidRPr="00FE5B00" w:rsidRDefault="00292729" w:rsidP="0029272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Щорічний і підсумковий звіти про результати виконання Програми повинні бути розглянуті на засіданні Гайсинської міської ради з ухваленням відповідного рішення щодо її результативності, в строки, визначені рішенням про затвердження програми, але не пізніше 1 квітня року, наступного за звітним, </w:t>
      </w:r>
    </w:p>
    <w:p w14:paraId="30BCCF1A" w14:textId="4AD4A39C" w:rsidR="001E3840" w:rsidRPr="00791C8D" w:rsidRDefault="00292729" w:rsidP="0029272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B00">
        <w:rPr>
          <w:rFonts w:ascii="Times New Roman" w:eastAsia="Times New Roman" w:hAnsi="Times New Roman" w:cs="Times New Roman"/>
          <w:sz w:val="28"/>
          <w:szCs w:val="28"/>
          <w:lang w:val="uk-UA"/>
        </w:rPr>
        <w:t>Звіти про виконання Програми відповідальні виконавці розміщують на офіційному веб сайті Гайсинської міської ради.</w:t>
      </w:r>
    </w:p>
    <w:p w14:paraId="34CE4221" w14:textId="77777777" w:rsidR="00292729" w:rsidRDefault="00FB2A6D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</w:t>
      </w:r>
    </w:p>
    <w:p w14:paraId="482F247C" w14:textId="77777777" w:rsidR="00292729" w:rsidRDefault="00292729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012D1A" w14:textId="77777777" w:rsidR="00292729" w:rsidRDefault="00292729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03E7A3" w14:textId="1DD503B0" w:rsidR="00552DE7" w:rsidRDefault="00866DC9" w:rsidP="0029272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</w:t>
      </w:r>
      <w:r w:rsidR="00A53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2927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AA22F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2927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A53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Анатолій ГУК</w:t>
      </w:r>
    </w:p>
    <w:p w14:paraId="13AB7DDF" w14:textId="6E41F63E" w:rsidR="00770601" w:rsidRPr="0064171C" w:rsidRDefault="00770601" w:rsidP="0064171C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13B9D97" w14:textId="213B4B03" w:rsidR="000332E1" w:rsidRDefault="000332E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AB96C02" w14:textId="77777777" w:rsidR="00D4386D" w:rsidRPr="00EB63ED" w:rsidRDefault="00D4386D" w:rsidP="00EB63ED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  <w:sectPr w:rsidR="00D4386D" w:rsidRPr="00EB63ED" w:rsidSect="0013304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37FFB4A" w14:textId="63DD70C2" w:rsidR="00770601" w:rsidRPr="00866DC9" w:rsidRDefault="00770601" w:rsidP="00D4386D">
      <w:pPr>
        <w:pStyle w:val="a3"/>
        <w:spacing w:after="0" w:line="276" w:lineRule="auto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D4386D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</w:p>
    <w:p w14:paraId="7FD81142" w14:textId="77777777" w:rsidR="00770601" w:rsidRPr="00866DC9" w:rsidRDefault="00770601" w:rsidP="00D4386D">
      <w:pPr>
        <w:pStyle w:val="a3"/>
        <w:spacing w:after="0" w:line="276" w:lineRule="auto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14:paraId="1F1B06D7" w14:textId="77777777" w:rsidR="00770601" w:rsidRPr="00866DC9" w:rsidRDefault="00770601" w:rsidP="00770601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B78FF37" w14:textId="77777777" w:rsidR="00D4386D" w:rsidRDefault="00D4386D" w:rsidP="0077060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386D">
        <w:rPr>
          <w:rFonts w:ascii="Times New Roman" w:hAnsi="Times New Roman" w:cs="Times New Roman"/>
          <w:b/>
          <w:sz w:val="28"/>
          <w:szCs w:val="28"/>
          <w:lang w:val="uk-UA"/>
        </w:rPr>
        <w:t>ЗАХОДИ З РЕАЛІЗАЦІЇ ПРОГРАМИ</w:t>
      </w:r>
    </w:p>
    <w:p w14:paraId="64CD81DF" w14:textId="6CDB0CA9" w:rsidR="00770601" w:rsidRPr="00866DC9" w:rsidRDefault="0078648C" w:rsidP="0077060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«О</w:t>
      </w:r>
      <w:r w:rsidR="0099404C">
        <w:rPr>
          <w:rFonts w:ascii="Times New Roman" w:hAnsi="Times New Roman" w:cs="Times New Roman"/>
          <w:b/>
          <w:sz w:val="28"/>
          <w:szCs w:val="28"/>
          <w:lang w:val="uk-UA"/>
        </w:rPr>
        <w:t>рганізація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відшкодування різниці між розміром </w:t>
      </w:r>
      <w:r w:rsidR="00D43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>тариф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 централізованого водопостачання та централізованого водовідведення,</w:t>
      </w:r>
      <w:r w:rsidR="00770601" w:rsidRPr="005627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Гайсинської міської ради, </w:t>
      </w:r>
      <w:r w:rsidR="00D438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9404C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99404C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="0099404C"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 w:rsidR="0099404C"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 w:rsidR="007706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A37A2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A37A2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70601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52888576" w14:textId="77777777" w:rsidR="00770601" w:rsidRPr="00770601" w:rsidRDefault="00770601" w:rsidP="00770601">
      <w:pPr>
        <w:pStyle w:val="1"/>
        <w:spacing w:line="240" w:lineRule="auto"/>
        <w:ind w:hanging="40"/>
        <w:jc w:val="center"/>
        <w:rPr>
          <w:b/>
          <w:bCs/>
          <w:sz w:val="28"/>
          <w:szCs w:val="28"/>
        </w:rPr>
      </w:pPr>
    </w:p>
    <w:tbl>
      <w:tblPr>
        <w:tblW w:w="1576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417"/>
        <w:gridCol w:w="1843"/>
        <w:gridCol w:w="1276"/>
        <w:gridCol w:w="2410"/>
        <w:gridCol w:w="1134"/>
        <w:gridCol w:w="1220"/>
        <w:gridCol w:w="1189"/>
        <w:gridCol w:w="1276"/>
        <w:gridCol w:w="1276"/>
        <w:gridCol w:w="2126"/>
      </w:tblGrid>
      <w:tr w:rsidR="00A53659" w:rsidRPr="00770601" w14:paraId="4D881C57" w14:textId="77777777" w:rsidTr="0099404C">
        <w:tc>
          <w:tcPr>
            <w:tcW w:w="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A6F59" w14:textId="77777777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№ з/п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C92F6" w14:textId="5A8142AB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3"/>
                <w:lang w:val="uk-UA"/>
              </w:rPr>
              <w:t xml:space="preserve">Завдання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E9288" w14:textId="4C2C82A3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3"/>
                <w:lang w:val="uk-UA"/>
              </w:rPr>
              <w:t xml:space="preserve">Зміст заходів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A054FC" w14:textId="7AE8DA48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84624" w14:textId="2E82D7DF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D202" w14:textId="77777777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lang w:val="uk-UA"/>
              </w:rPr>
              <w:t xml:space="preserve">Джерела </w:t>
            </w:r>
            <w:r w:rsidRPr="00A53659">
              <w:rPr>
                <w:rFonts w:ascii="Times New Roman" w:hAnsi="Times New Roman" w:cs="Times New Roman"/>
                <w:b/>
                <w:color w:val="000000"/>
                <w:spacing w:val="-1"/>
                <w:lang w:val="uk-UA"/>
              </w:rPr>
              <w:t>фінансу-вання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CF262" w14:textId="0E6AA63E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 xml:space="preserve">Обсяги фінансування по роках, тис.грн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65002" w14:textId="3A8A3B97" w:rsidR="00A53659" w:rsidRPr="00A53659" w:rsidRDefault="00A5365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color w:val="000000"/>
                <w:spacing w:val="-4"/>
                <w:lang w:val="uk-UA"/>
              </w:rPr>
              <w:t xml:space="preserve">Очікуваний </w:t>
            </w:r>
            <w:r w:rsidRPr="00A53659">
              <w:rPr>
                <w:rFonts w:ascii="Times New Roman" w:hAnsi="Times New Roman" w:cs="Times New Roman"/>
                <w:b/>
                <w:color w:val="000000"/>
                <w:lang w:val="uk-UA"/>
              </w:rPr>
              <w:t>результат</w:t>
            </w:r>
          </w:p>
        </w:tc>
      </w:tr>
      <w:tr w:rsidR="00A53659" w:rsidRPr="00770601" w14:paraId="6C95433C" w14:textId="77777777" w:rsidTr="0099404C">
        <w:tc>
          <w:tcPr>
            <w:tcW w:w="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4179C" w14:textId="77777777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12BC" w14:textId="77777777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AABFE" w14:textId="2BBEC8DA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C6F7" w14:textId="77777777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ED8B" w14:textId="5DE9329E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99ECC" w14:textId="77777777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8DE5E2" w14:textId="4F4F50AC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І рік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9DBAD0" w14:textId="3C5DA361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ІІ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A5D296" w14:textId="054547F3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ІІІ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6EF4" w14:textId="5FB72FB4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  <w:r w:rsidRPr="00A53659">
              <w:rPr>
                <w:rFonts w:ascii="Times New Roman" w:eastAsia="Batang" w:hAnsi="Times New Roman" w:cs="Times New Roman"/>
                <w:b/>
                <w:lang w:val="uk-UA" w:eastAsia="ru-RU"/>
              </w:rPr>
              <w:t xml:space="preserve">Всього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8349" w14:textId="458B9456" w:rsidR="00A53659" w:rsidRPr="00A53659" w:rsidRDefault="00A53659">
            <w:pPr>
              <w:spacing w:line="256" w:lineRule="auto"/>
              <w:rPr>
                <w:rFonts w:ascii="Times New Roman" w:eastAsia="Batang" w:hAnsi="Times New Roman" w:cs="Times New Roman"/>
                <w:b/>
                <w:lang w:val="uk-UA" w:eastAsia="ru-RU"/>
              </w:rPr>
            </w:pPr>
          </w:p>
        </w:tc>
      </w:tr>
      <w:tr w:rsidR="00A53659" w:rsidRPr="00A53659" w14:paraId="33F0D160" w14:textId="77777777" w:rsidTr="0099404C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14C15" w14:textId="77777777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F5E51" w14:textId="1887C3D5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10A210" w14:textId="15DEB34B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B30F" w14:textId="1B90F481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610E3" w14:textId="6BBDD8D4" w:rsidR="00A53659" w:rsidRPr="00A53659" w:rsidRDefault="00A53659" w:rsidP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9C78" w14:textId="03F5CEF2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1996C9" w14:textId="072B8C6F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BB913D0" w14:textId="0DDE360A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69F02F0" w14:textId="4FE4D086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4DD2" w14:textId="326E9CCF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0A46C" w14:textId="477ED77A" w:rsidR="00A53659" w:rsidRPr="00A53659" w:rsidRDefault="00A53659">
            <w:pPr>
              <w:spacing w:after="120" w:line="256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53659">
              <w:rPr>
                <w:rFonts w:ascii="Times New Roman" w:hAnsi="Times New Roman" w:cs="Times New Roman"/>
                <w:b/>
                <w:lang w:val="uk-UA"/>
              </w:rPr>
              <w:t>12</w:t>
            </w:r>
          </w:p>
        </w:tc>
      </w:tr>
      <w:tr w:rsidR="00192123" w:rsidRPr="0048470A" w14:paraId="42AFFD7B" w14:textId="77777777" w:rsidTr="0099404C">
        <w:trPr>
          <w:trHeight w:val="382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3C65" w14:textId="56ED8E9F" w:rsidR="00192123" w:rsidRPr="00A53659" w:rsidRDefault="0057493B" w:rsidP="0057493B">
            <w:pPr>
              <w:spacing w:after="120" w:line="256" w:lineRule="auto"/>
              <w:ind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F447E9" w14:textId="539C66F5" w:rsidR="00192123" w:rsidRPr="00A53659" w:rsidRDefault="00192123" w:rsidP="0057493B">
            <w:pPr>
              <w:ind w:left="-66" w:right="-111"/>
              <w:rPr>
                <w:rFonts w:ascii="Times New Roman" w:hAnsi="Times New Roman" w:cs="Times New Roman"/>
                <w:lang w:val="uk-UA"/>
              </w:rPr>
            </w:pPr>
            <w:r w:rsidRPr="008B671D">
              <w:rPr>
                <w:rFonts w:ascii="Times New Roman" w:hAnsi="Times New Roman" w:cs="Times New Roman"/>
                <w:lang w:val="uk-UA"/>
              </w:rPr>
              <w:t>Стабілізація фінансового стану та забезпечення належної та безперебійної діяльності КП «Гайсинводо</w:t>
            </w:r>
            <w:r w:rsidR="0099404C">
              <w:rPr>
                <w:rFonts w:ascii="Times New Roman" w:hAnsi="Times New Roman" w:cs="Times New Roman"/>
                <w:lang w:val="uk-UA"/>
              </w:rPr>
              <w:t>-</w:t>
            </w:r>
            <w:r w:rsidRPr="008B671D">
              <w:rPr>
                <w:rFonts w:ascii="Times New Roman" w:hAnsi="Times New Roman" w:cs="Times New Roman"/>
                <w:lang w:val="uk-UA"/>
              </w:rPr>
              <w:t>канал»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B80B" w14:textId="153C862E" w:rsidR="00192123" w:rsidRPr="00A53659" w:rsidRDefault="00192123" w:rsidP="0057493B">
            <w:pPr>
              <w:ind w:left="-66" w:right="-111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Відшкодування  різниці в тарифах по централізованому водопостачанню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93FE" w14:textId="4F639F96" w:rsidR="00192123" w:rsidRPr="00A53659" w:rsidRDefault="00192123" w:rsidP="0057493B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2026-2028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12F4" w14:textId="77777777" w:rsidR="00192123" w:rsidRDefault="00192123" w:rsidP="00A53659">
            <w:pPr>
              <w:spacing w:after="0" w:line="257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</w:p>
          <w:p w14:paraId="29D77788" w14:textId="4B75DB4B" w:rsidR="00192123" w:rsidRPr="00A53659" w:rsidRDefault="00192123" w:rsidP="00770601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Гайсинводоканал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67B5" w14:textId="52054CAD" w:rsidR="00192123" w:rsidRPr="00A53659" w:rsidRDefault="0057493B" w:rsidP="00770601">
            <w:pPr>
              <w:spacing w:after="120"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міський</w:t>
            </w:r>
            <w:r w:rsidR="00192123" w:rsidRPr="00A53659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479A7" w14:textId="2F650F0D" w:rsidR="00192123" w:rsidRPr="00A53659" w:rsidRDefault="00F141BC" w:rsidP="00A619CB">
            <w:pPr>
              <w:spacing w:after="120" w:line="256" w:lineRule="auto"/>
              <w:ind w:left="-114" w:right="-16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10250,000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2E7D5F" w14:textId="7501E8BF" w:rsidR="00192123" w:rsidRPr="00A53659" w:rsidRDefault="00292729" w:rsidP="00A619CB">
            <w:pPr>
              <w:spacing w:after="120" w:line="256" w:lineRule="auto"/>
              <w:ind w:left="-190"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8105,425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FDFB7E" w14:textId="2EB17051" w:rsidR="00192123" w:rsidRPr="00A53659" w:rsidRDefault="00292729" w:rsidP="00A619CB">
            <w:pPr>
              <w:spacing w:after="120" w:line="256" w:lineRule="auto"/>
              <w:ind w:left="-112" w:right="-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8451,517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20DEC" w14:textId="6110107D" w:rsidR="00192123" w:rsidRPr="00A53659" w:rsidRDefault="00292729" w:rsidP="0064171C">
            <w:pPr>
              <w:spacing w:after="120" w:line="256" w:lineRule="auto"/>
              <w:ind w:left="-114" w:right="-1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F141BC">
              <w:rPr>
                <w:rFonts w:ascii="Times New Roman" w:hAnsi="Times New Roman" w:cs="Times New Roman"/>
                <w:lang w:val="uk-UA"/>
              </w:rPr>
              <w:t>6806,942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5FB8B" w14:textId="5A87A216" w:rsidR="00192123" w:rsidRPr="00A53659" w:rsidRDefault="00192123" w:rsidP="0057493B">
            <w:pPr>
              <w:spacing w:after="120" w:line="256" w:lineRule="auto"/>
              <w:ind w:left="-114" w:right="-160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Стабілізація фінансового стану та забезпечення належної та безперебійної діяльності комунального підприємства  «Гайсинводоканал» в частині надання послуг з централізованого водопостачання та централізованого водовідведення</w:t>
            </w:r>
          </w:p>
        </w:tc>
      </w:tr>
      <w:tr w:rsidR="00192123" w:rsidRPr="00A53659" w14:paraId="60199FED" w14:textId="77777777" w:rsidTr="0099404C">
        <w:trPr>
          <w:trHeight w:val="2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C266E" w14:textId="10BDBBA9" w:rsidR="00192123" w:rsidRPr="00A53659" w:rsidRDefault="0057493B" w:rsidP="0057493B">
            <w:pPr>
              <w:spacing w:after="120" w:line="256" w:lineRule="auto"/>
              <w:ind w:right="-10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949C0D" w14:textId="77777777" w:rsidR="00192123" w:rsidRPr="00A53659" w:rsidRDefault="00192123" w:rsidP="0064171C">
            <w:pPr>
              <w:spacing w:after="120" w:line="256" w:lineRule="auto"/>
              <w:ind w:left="-66" w:right="-11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467E" w14:textId="2F778E23" w:rsidR="00192123" w:rsidRPr="00A53659" w:rsidRDefault="00192123" w:rsidP="0057493B">
            <w:pPr>
              <w:spacing w:after="120" w:line="256" w:lineRule="auto"/>
              <w:ind w:left="-66" w:right="-111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Відшкодування різниці в тарифах по централізованому водовідведенню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054F" w14:textId="45C68263" w:rsidR="00192123" w:rsidRPr="00A53659" w:rsidRDefault="00192123" w:rsidP="0057493B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2026-2028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03FB" w14:textId="77777777" w:rsidR="00192123" w:rsidRDefault="00192123" w:rsidP="00A53659">
            <w:pPr>
              <w:spacing w:after="0" w:line="257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</w:p>
          <w:p w14:paraId="054C256C" w14:textId="02D30031" w:rsidR="00192123" w:rsidRPr="00A53659" w:rsidRDefault="00192123" w:rsidP="00770601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КП Гайсинводоканал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44F3" w14:textId="2951F80D" w:rsidR="00192123" w:rsidRPr="00A53659" w:rsidRDefault="0057493B" w:rsidP="00770601">
            <w:pPr>
              <w:spacing w:after="120" w:line="256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міський</w:t>
            </w:r>
            <w:r w:rsidR="00192123" w:rsidRPr="00A53659">
              <w:rPr>
                <w:rFonts w:ascii="Times New Roman" w:hAnsi="Times New Roman" w:cs="Times New Roman"/>
                <w:lang w:val="uk-UA"/>
              </w:rPr>
              <w:t xml:space="preserve"> бюджет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15F844" w14:textId="22818827" w:rsidR="00192123" w:rsidRPr="00A53659" w:rsidRDefault="00F141BC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465</w:t>
            </w:r>
            <w:r w:rsidR="00192123" w:rsidRPr="00A53659">
              <w:rPr>
                <w:rFonts w:ascii="Times New Roman" w:hAnsi="Times New Roman" w:cs="Times New Roman"/>
                <w:lang w:val="uk-UA"/>
              </w:rPr>
              <w:t>0,0</w:t>
            </w:r>
            <w:r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C49CEF" w14:textId="67AA788B" w:rsidR="00192123" w:rsidRPr="00A53659" w:rsidRDefault="00192123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3601,5</w:t>
            </w:r>
            <w:r w:rsidR="00F141BC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368A91" w14:textId="41F290DD" w:rsidR="00192123" w:rsidRPr="00A53659" w:rsidRDefault="00192123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53659">
              <w:rPr>
                <w:rFonts w:ascii="Times New Roman" w:hAnsi="Times New Roman" w:cs="Times New Roman"/>
                <w:lang w:val="uk-UA"/>
              </w:rPr>
              <w:t>3773,0</w:t>
            </w:r>
            <w:r w:rsidR="00F141BC">
              <w:rPr>
                <w:rFonts w:ascii="Times New Roman" w:hAnsi="Times New Roman" w:cs="Times New Roman"/>
                <w:lang w:val="uk-UA"/>
              </w:rPr>
              <w:t>00</w:t>
            </w:r>
          </w:p>
          <w:p w14:paraId="5F315635" w14:textId="5470FFAE" w:rsidR="00192123" w:rsidRPr="00A53659" w:rsidRDefault="00192123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1476F8F" w14:textId="36BD474A" w:rsidR="00192123" w:rsidRPr="00A53659" w:rsidRDefault="00192123" w:rsidP="00770601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  <w:r w:rsidR="00F141BC">
              <w:rPr>
                <w:rFonts w:ascii="Times New Roman" w:eastAsia="Times New Roman" w:hAnsi="Times New Roman" w:cs="Times New Roman"/>
                <w:lang w:val="uk-UA"/>
              </w:rPr>
              <w:t>2024,500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52498" w14:textId="6CBCC7BC" w:rsidR="00192123" w:rsidRPr="00A53659" w:rsidRDefault="00192123" w:rsidP="00770601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57493B" w:rsidRPr="00A53659" w14:paraId="5C8FDDDD" w14:textId="77777777" w:rsidTr="0057493B">
        <w:trPr>
          <w:trHeight w:val="204"/>
        </w:trPr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3629" w14:textId="2FE92159" w:rsidR="0057493B" w:rsidRPr="0057493B" w:rsidRDefault="0057493B" w:rsidP="0057493B">
            <w:pPr>
              <w:spacing w:after="120"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57493B">
              <w:rPr>
                <w:rFonts w:ascii="Times New Roman" w:hAnsi="Times New Roman" w:cs="Times New Roman"/>
                <w:b/>
                <w:lang w:val="uk-UA"/>
              </w:rPr>
              <w:t>ВСЬОГО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AF51" w14:textId="77777777" w:rsidR="0057493B" w:rsidRPr="00A53659" w:rsidRDefault="0057493B" w:rsidP="00A53659">
            <w:pPr>
              <w:spacing w:after="0" w:line="257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89F8" w14:textId="77777777" w:rsidR="0057493B" w:rsidRPr="00A53659" w:rsidRDefault="0057493B" w:rsidP="00770601">
            <w:pPr>
              <w:spacing w:after="120" w:line="256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22DD3E" w14:textId="5747D3BA" w:rsidR="0057493B" w:rsidRPr="00A53659" w:rsidRDefault="0057493B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F141BC">
              <w:rPr>
                <w:rFonts w:ascii="Times New Roman" w:hAnsi="Times New Roman" w:cs="Times New Roman"/>
                <w:lang w:val="uk-UA"/>
              </w:rPr>
              <w:t>4900,000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4774" w14:textId="4DF9FBDB" w:rsidR="0057493B" w:rsidRPr="00A53659" w:rsidRDefault="0057493B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11706,925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57DBE5" w14:textId="1D531085" w:rsidR="0057493B" w:rsidRPr="00A53659" w:rsidRDefault="0057493B" w:rsidP="00770601">
            <w:pPr>
              <w:spacing w:after="120" w:line="256" w:lineRule="auto"/>
              <w:ind w:right="3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12224,517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738" w14:textId="2F3F70F3" w:rsidR="0057493B" w:rsidRDefault="0057493B" w:rsidP="00770601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="00F141BC">
              <w:rPr>
                <w:rFonts w:ascii="Times New Roman" w:eastAsia="Times New Roman" w:hAnsi="Times New Roman" w:cs="Times New Roman"/>
                <w:lang w:val="uk-UA"/>
              </w:rPr>
              <w:t>8831,442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8B6F" w14:textId="77777777" w:rsidR="0057493B" w:rsidRPr="00A53659" w:rsidRDefault="0057493B" w:rsidP="00770601">
            <w:pPr>
              <w:spacing w:after="120" w:line="256" w:lineRule="auto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</w:tbl>
    <w:p w14:paraId="1A32AFD4" w14:textId="77777777" w:rsidR="0057493B" w:rsidRDefault="000332E1" w:rsidP="000332E1">
      <w:pPr>
        <w:spacing w:after="0"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</w:t>
      </w:r>
    </w:p>
    <w:p w14:paraId="7A765D5C" w14:textId="25902874" w:rsidR="00282CAE" w:rsidRPr="00F8523E" w:rsidRDefault="00D2305A" w:rsidP="0057493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52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Міський голова                                         </w:t>
      </w:r>
      <w:r w:rsidR="00BA51B0" w:rsidRPr="00F852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5365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Анатолій ГУК</w:t>
      </w:r>
    </w:p>
    <w:p w14:paraId="18261D9E" w14:textId="77777777" w:rsidR="00D4386D" w:rsidRDefault="00D4386D" w:rsidP="00FB2A6D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  <w:sectPr w:rsidR="00D4386D" w:rsidSect="00D4386D">
          <w:pgSz w:w="16838" w:h="11906" w:orient="landscape"/>
          <w:pgMar w:top="1276" w:right="567" w:bottom="851" w:left="709" w:header="709" w:footer="709" w:gutter="0"/>
          <w:cols w:space="708"/>
          <w:docGrid w:linePitch="360"/>
        </w:sectPr>
      </w:pPr>
    </w:p>
    <w:p w14:paraId="1286CA30" w14:textId="32BA778C" w:rsidR="00022C3E" w:rsidRPr="00866DC9" w:rsidRDefault="0057493B" w:rsidP="00022C3E">
      <w:pPr>
        <w:pStyle w:val="a3"/>
        <w:spacing w:after="0" w:line="276" w:lineRule="auto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="00022C3E" w:rsidRPr="00866DC9">
        <w:rPr>
          <w:rFonts w:ascii="Times New Roman" w:hAnsi="Times New Roman" w:cs="Times New Roman"/>
          <w:sz w:val="28"/>
          <w:szCs w:val="28"/>
          <w:lang w:val="uk-UA"/>
        </w:rPr>
        <w:t>одаток</w:t>
      </w:r>
      <w:r w:rsidR="00022C3E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14:paraId="58073D06" w14:textId="77777777" w:rsidR="00022C3E" w:rsidRPr="00866DC9" w:rsidRDefault="00022C3E" w:rsidP="00022C3E">
      <w:pPr>
        <w:pStyle w:val="a3"/>
        <w:spacing w:after="0" w:line="276" w:lineRule="auto"/>
        <w:ind w:left="609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866DC9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Програми</w:t>
      </w:r>
    </w:p>
    <w:p w14:paraId="28BCE1C1" w14:textId="77777777" w:rsidR="00022C3E" w:rsidRDefault="00022C3E" w:rsidP="00022C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712D6308" w14:textId="77777777" w:rsidR="00022C3E" w:rsidRPr="00D17778" w:rsidRDefault="00022C3E" w:rsidP="00022C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3647EBA8" w14:textId="77777777" w:rsidR="00022C3E" w:rsidRPr="00022C3E" w:rsidRDefault="00022C3E" w:rsidP="00022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2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РЕСУРСНЕ ЗАБЕЗПЕЧЕННЯ ПРОГРАМИ</w:t>
      </w:r>
    </w:p>
    <w:p w14:paraId="00285B76" w14:textId="77BE4388" w:rsidR="00022C3E" w:rsidRPr="0078648C" w:rsidRDefault="0078648C" w:rsidP="00022C3E">
      <w:pPr>
        <w:widowControl w:val="0"/>
        <w:shd w:val="clear" w:color="auto" w:fill="FFFFFF"/>
        <w:spacing w:after="0"/>
        <w:ind w:hanging="40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«Організація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відшкодування різниці між розміром тариф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ів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послуги  централізованого водопостачання та централізованого 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одовідведення,</w:t>
      </w:r>
      <w:r w:rsidR="00022C3E" w:rsidRPr="005627F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затверджених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рішенням Гайсинської міської ради, та 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їх 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економічно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рунтова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ним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розміром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022C3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22C3E" w:rsidRPr="00866D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27495FA9" w14:textId="77777777" w:rsidR="00022C3E" w:rsidRPr="0078648C" w:rsidRDefault="00022C3E" w:rsidP="00022C3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val="uk-UA" w:eastAsia="ru-RU"/>
        </w:rPr>
      </w:pPr>
    </w:p>
    <w:p w14:paraId="44E7AD2A" w14:textId="77777777" w:rsidR="00022C3E" w:rsidRPr="00022C3E" w:rsidRDefault="00022C3E" w:rsidP="00022C3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22C3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1163"/>
        <w:gridCol w:w="1275"/>
        <w:gridCol w:w="1276"/>
        <w:gridCol w:w="851"/>
        <w:gridCol w:w="992"/>
        <w:gridCol w:w="1353"/>
      </w:tblGrid>
      <w:tr w:rsidR="00022C3E" w:rsidRPr="00022C3E" w14:paraId="485CFC8F" w14:textId="77777777" w:rsidTr="009E434C">
        <w:tc>
          <w:tcPr>
            <w:tcW w:w="2660" w:type="dxa"/>
            <w:vMerge w:val="restart"/>
            <w:shd w:val="clear" w:color="auto" w:fill="FFFFFF"/>
            <w:vAlign w:val="center"/>
          </w:tcPr>
          <w:p w14:paraId="06EAF329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Обсяг коштів, що пропонується залучити на виконання програми</w:t>
            </w:r>
          </w:p>
        </w:tc>
        <w:tc>
          <w:tcPr>
            <w:tcW w:w="5557" w:type="dxa"/>
            <w:gridSpan w:val="5"/>
            <w:shd w:val="clear" w:color="auto" w:fill="FFFFFF"/>
            <w:vAlign w:val="center"/>
          </w:tcPr>
          <w:p w14:paraId="7E7F29A2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Етапи виконання Програми</w:t>
            </w:r>
          </w:p>
        </w:tc>
        <w:tc>
          <w:tcPr>
            <w:tcW w:w="1353" w:type="dxa"/>
            <w:vMerge w:val="restart"/>
            <w:shd w:val="clear" w:color="auto" w:fill="FFFFFF"/>
            <w:vAlign w:val="center"/>
          </w:tcPr>
          <w:p w14:paraId="6F6D1F77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Всього витрат на виконання програми</w:t>
            </w:r>
          </w:p>
        </w:tc>
      </w:tr>
      <w:tr w:rsidR="00022C3E" w:rsidRPr="00022C3E" w14:paraId="74AEA488" w14:textId="77777777" w:rsidTr="009E434C">
        <w:tc>
          <w:tcPr>
            <w:tcW w:w="2660" w:type="dxa"/>
            <w:vMerge/>
            <w:shd w:val="clear" w:color="auto" w:fill="FFFFFF"/>
            <w:vAlign w:val="center"/>
          </w:tcPr>
          <w:p w14:paraId="3251DC2E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714" w:type="dxa"/>
            <w:gridSpan w:val="3"/>
            <w:shd w:val="clear" w:color="auto" w:fill="FFFFFF"/>
            <w:vAlign w:val="center"/>
          </w:tcPr>
          <w:p w14:paraId="0978AF93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</w:t>
            </w:r>
          </w:p>
        </w:tc>
        <w:tc>
          <w:tcPr>
            <w:tcW w:w="851" w:type="dxa"/>
            <w:shd w:val="clear" w:color="auto" w:fill="FFFFFF"/>
          </w:tcPr>
          <w:p w14:paraId="75F44C3A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</w:t>
            </w:r>
          </w:p>
        </w:tc>
        <w:tc>
          <w:tcPr>
            <w:tcW w:w="992" w:type="dxa"/>
            <w:shd w:val="clear" w:color="auto" w:fill="FFFFFF"/>
          </w:tcPr>
          <w:p w14:paraId="381D4542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ІІІ</w:t>
            </w:r>
          </w:p>
        </w:tc>
        <w:tc>
          <w:tcPr>
            <w:tcW w:w="1353" w:type="dxa"/>
            <w:vMerge/>
            <w:shd w:val="clear" w:color="auto" w:fill="FFFFFF"/>
            <w:vAlign w:val="center"/>
          </w:tcPr>
          <w:p w14:paraId="55F6B5F0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22C3E" w:rsidRPr="00022C3E" w14:paraId="7D963DF3" w14:textId="77777777" w:rsidTr="009E434C">
        <w:tc>
          <w:tcPr>
            <w:tcW w:w="2660" w:type="dxa"/>
            <w:vMerge/>
            <w:shd w:val="clear" w:color="auto" w:fill="FFFFFF"/>
            <w:vAlign w:val="center"/>
          </w:tcPr>
          <w:p w14:paraId="6AEAE845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FFFFFF"/>
            <w:vAlign w:val="center"/>
          </w:tcPr>
          <w:p w14:paraId="50DD8A70" w14:textId="6B52C511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202</w:t>
            </w:r>
            <w:r w:rsidR="00D554EF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6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рік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5E14CFC4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27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рік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F736D50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28</w:t>
            </w: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рік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A359178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1A88A7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20__-20__ роки</w:t>
            </w:r>
          </w:p>
        </w:tc>
        <w:tc>
          <w:tcPr>
            <w:tcW w:w="1353" w:type="dxa"/>
            <w:vMerge/>
            <w:shd w:val="clear" w:color="auto" w:fill="FFFFFF"/>
            <w:vAlign w:val="center"/>
          </w:tcPr>
          <w:p w14:paraId="28F94344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022C3E" w:rsidRPr="00022C3E" w14:paraId="50F4C307" w14:textId="77777777" w:rsidTr="009E434C">
        <w:tc>
          <w:tcPr>
            <w:tcW w:w="2660" w:type="dxa"/>
            <w:shd w:val="clear" w:color="auto" w:fill="FFFFFF"/>
            <w:vAlign w:val="center"/>
          </w:tcPr>
          <w:p w14:paraId="07D3809A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57F94805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14CCAE0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4A0FABCC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63E8255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1ACCD3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1353" w:type="dxa"/>
            <w:shd w:val="clear" w:color="auto" w:fill="FFFFFF"/>
            <w:vAlign w:val="center"/>
          </w:tcPr>
          <w:p w14:paraId="1A307B3E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</w:tr>
      <w:tr w:rsidR="00292729" w:rsidRPr="00022C3E" w14:paraId="605C78D0" w14:textId="77777777" w:rsidTr="009E434C">
        <w:tc>
          <w:tcPr>
            <w:tcW w:w="2660" w:type="dxa"/>
          </w:tcPr>
          <w:p w14:paraId="58EAC4A6" w14:textId="77777777" w:rsidR="00292729" w:rsidRPr="00022C3E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Обсяг ресурсів, всього,</w:t>
            </w:r>
          </w:p>
          <w:p w14:paraId="4186FDBB" w14:textId="77777777" w:rsidR="00292729" w:rsidRPr="00022C3E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 тому числі:</w:t>
            </w:r>
          </w:p>
        </w:tc>
        <w:tc>
          <w:tcPr>
            <w:tcW w:w="1163" w:type="dxa"/>
            <w:vAlign w:val="center"/>
          </w:tcPr>
          <w:p w14:paraId="72C0B836" w14:textId="02C4D617" w:rsidR="00292729" w:rsidRPr="00F141BC" w:rsidRDefault="00292729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</w:t>
            </w:r>
            <w:r w:rsidR="00F141BC">
              <w:rPr>
                <w:rFonts w:ascii="Times New Roman" w:hAnsi="Times New Roman" w:cs="Times New Roman"/>
                <w:lang w:val="uk-UA"/>
              </w:rPr>
              <w:t>4900,000</w:t>
            </w:r>
          </w:p>
        </w:tc>
        <w:tc>
          <w:tcPr>
            <w:tcW w:w="1275" w:type="dxa"/>
            <w:vAlign w:val="center"/>
          </w:tcPr>
          <w:p w14:paraId="6667E22E" w14:textId="632A4D4A" w:rsidR="00292729" w:rsidRPr="009E434C" w:rsidRDefault="00292729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11706,925</w:t>
            </w:r>
          </w:p>
        </w:tc>
        <w:tc>
          <w:tcPr>
            <w:tcW w:w="1276" w:type="dxa"/>
            <w:vAlign w:val="center"/>
          </w:tcPr>
          <w:p w14:paraId="3A5CF493" w14:textId="0F72575E" w:rsidR="00292729" w:rsidRPr="009E434C" w:rsidRDefault="00292729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12224,517</w:t>
            </w:r>
          </w:p>
        </w:tc>
        <w:tc>
          <w:tcPr>
            <w:tcW w:w="851" w:type="dxa"/>
          </w:tcPr>
          <w:p w14:paraId="1B1F7A87" w14:textId="10D9BF18" w:rsidR="00292729" w:rsidRPr="00F519C8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1AC5FB1" w14:textId="0C84BF28" w:rsidR="00292729" w:rsidRPr="00F519C8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6CDFCA30" w14:textId="045D30BA" w:rsidR="00292729" w:rsidRPr="00022C3E" w:rsidRDefault="00292729" w:rsidP="0029272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  <w:r w:rsidR="00F141B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8831,442</w:t>
            </w:r>
          </w:p>
        </w:tc>
      </w:tr>
      <w:tr w:rsidR="00022C3E" w:rsidRPr="00022C3E" w14:paraId="02872839" w14:textId="77777777" w:rsidTr="009E434C">
        <w:tc>
          <w:tcPr>
            <w:tcW w:w="2660" w:type="dxa"/>
          </w:tcPr>
          <w:p w14:paraId="5693BA9F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C6B57A6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державний бюджет</w:t>
            </w:r>
          </w:p>
          <w:p w14:paraId="3D0E7F1B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702EF5C3" w14:textId="5BA6274A" w:rsidR="00022C3E" w:rsidRPr="00F519C8" w:rsidRDefault="00F519C8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54973A91" w14:textId="103E1FD9" w:rsidR="00022C3E" w:rsidRPr="00F519C8" w:rsidRDefault="00F519C8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48AEA8EA" w14:textId="3A5872C4" w:rsidR="00022C3E" w:rsidRPr="00F519C8" w:rsidRDefault="00F519C8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F92E37C" w14:textId="6E37A61D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12DFB03" w14:textId="67EC895D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0C03A2BF" w14:textId="785EA519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  <w:tr w:rsidR="009E434C" w:rsidRPr="00022C3E" w14:paraId="5AE00839" w14:textId="77777777" w:rsidTr="009E434C">
        <w:tc>
          <w:tcPr>
            <w:tcW w:w="2660" w:type="dxa"/>
          </w:tcPr>
          <w:p w14:paraId="161EB3FA" w14:textId="01C65C02" w:rsidR="009E434C" w:rsidRPr="00022C3E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Бюджет Гайсинської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міської </w:t>
            </w: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територіальної громади</w:t>
            </w:r>
          </w:p>
        </w:tc>
        <w:tc>
          <w:tcPr>
            <w:tcW w:w="1163" w:type="dxa"/>
            <w:vAlign w:val="center"/>
          </w:tcPr>
          <w:p w14:paraId="32EB4A2D" w14:textId="70659236" w:rsidR="009E434C" w:rsidRPr="00F141BC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</w:t>
            </w:r>
            <w:r w:rsidR="00F141BC">
              <w:rPr>
                <w:rFonts w:ascii="Times New Roman" w:hAnsi="Times New Roman" w:cs="Times New Roman"/>
                <w:lang w:val="uk-UA"/>
              </w:rPr>
              <w:t>4900,00</w:t>
            </w:r>
          </w:p>
        </w:tc>
        <w:tc>
          <w:tcPr>
            <w:tcW w:w="1275" w:type="dxa"/>
            <w:vAlign w:val="center"/>
          </w:tcPr>
          <w:p w14:paraId="07896E5A" w14:textId="100B25A2" w:rsidR="009E434C" w:rsidRPr="00022C3E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11706,925</w:t>
            </w:r>
          </w:p>
        </w:tc>
        <w:tc>
          <w:tcPr>
            <w:tcW w:w="1276" w:type="dxa"/>
            <w:vAlign w:val="center"/>
          </w:tcPr>
          <w:p w14:paraId="3E5B298B" w14:textId="62538B95" w:rsidR="009E434C" w:rsidRPr="00022C3E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E434C">
              <w:rPr>
                <w:rFonts w:ascii="Times New Roman" w:hAnsi="Times New Roman" w:cs="Times New Roman"/>
              </w:rPr>
              <w:t>12224,517</w:t>
            </w:r>
          </w:p>
        </w:tc>
        <w:tc>
          <w:tcPr>
            <w:tcW w:w="851" w:type="dxa"/>
          </w:tcPr>
          <w:p w14:paraId="4A5591D6" w14:textId="61F0BAFF" w:rsidR="009E434C" w:rsidRPr="00F519C8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FC89E80" w14:textId="6B42BFD8" w:rsidR="009E434C" w:rsidRPr="00F519C8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5E757395" w14:textId="48D522EC" w:rsidR="009E434C" w:rsidRPr="00022C3E" w:rsidRDefault="009E434C" w:rsidP="009E434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3</w:t>
            </w:r>
            <w:r w:rsidR="00F141B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8831,442</w:t>
            </w:r>
          </w:p>
        </w:tc>
      </w:tr>
      <w:tr w:rsidR="00022C3E" w:rsidRPr="00022C3E" w14:paraId="31031228" w14:textId="77777777" w:rsidTr="009E434C">
        <w:tc>
          <w:tcPr>
            <w:tcW w:w="2660" w:type="dxa"/>
          </w:tcPr>
          <w:p w14:paraId="5FA85E87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93F497E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2C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кошти інших джерел</w:t>
            </w:r>
          </w:p>
          <w:p w14:paraId="6BF3488D" w14:textId="77777777" w:rsidR="00022C3E" w:rsidRPr="00022C3E" w:rsidRDefault="00022C3E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6F334AFF" w14:textId="7AC6C14B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1DD1098E" w14:textId="35F255F4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276" w:type="dxa"/>
            <w:vAlign w:val="center"/>
          </w:tcPr>
          <w:p w14:paraId="77685C3B" w14:textId="2CD84749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9A746DB" w14:textId="0033869A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156307A" w14:textId="53BF7592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  <w:tc>
          <w:tcPr>
            <w:tcW w:w="1353" w:type="dxa"/>
            <w:vAlign w:val="center"/>
          </w:tcPr>
          <w:p w14:paraId="028E87F9" w14:textId="730E41A5" w:rsidR="00022C3E" w:rsidRPr="00F519C8" w:rsidRDefault="00F519C8" w:rsidP="00022C3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</w:p>
        </w:tc>
      </w:tr>
    </w:tbl>
    <w:p w14:paraId="431E4D08" w14:textId="77777777" w:rsidR="00022C3E" w:rsidRPr="00CB4451" w:rsidRDefault="00022C3E" w:rsidP="00022C3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70EF11EA" w14:textId="77777777" w:rsidR="00022C3E" w:rsidRDefault="00022C3E" w:rsidP="00022C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1E8F3525" w14:textId="77777777" w:rsidR="00022C3E" w:rsidRDefault="00022C3E" w:rsidP="00022C3E">
      <w:pPr>
        <w:pStyle w:val="a3"/>
        <w:spacing w:after="0" w:line="276" w:lineRule="auto"/>
        <w:ind w:left="6096"/>
        <w:rPr>
          <w:rFonts w:ascii="Times New Roman" w:hAnsi="Times New Roman" w:cs="Times New Roman"/>
          <w:sz w:val="28"/>
          <w:szCs w:val="28"/>
          <w:lang w:val="uk-UA"/>
        </w:rPr>
      </w:pPr>
    </w:p>
    <w:p w14:paraId="76F69F16" w14:textId="13422441" w:rsidR="00022C3E" w:rsidRDefault="00022C3E" w:rsidP="00022C3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91C8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Міський голова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Анатолій ГУК</w:t>
      </w:r>
    </w:p>
    <w:p w14:paraId="6B75841D" w14:textId="165A36B6" w:rsidR="00022C3E" w:rsidRDefault="00022C3E" w:rsidP="00022C3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9B9256" w14:textId="091EE75A" w:rsidR="00F8523E" w:rsidRPr="00F8523E" w:rsidRDefault="00F8523E" w:rsidP="00F8523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8523E" w:rsidRPr="00F8523E" w:rsidSect="000332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27AFA"/>
    <w:multiLevelType w:val="hybridMultilevel"/>
    <w:tmpl w:val="1D882FF6"/>
    <w:lvl w:ilvl="0" w:tplc="4C4098A0">
      <w:start w:val="1"/>
      <w:numFmt w:val="bullet"/>
      <w:lvlText w:val=""/>
      <w:lvlJc w:val="left"/>
      <w:pPr>
        <w:ind w:left="3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" w15:restartNumberingAfterBreak="0">
    <w:nsid w:val="116459C3"/>
    <w:multiLevelType w:val="hybridMultilevel"/>
    <w:tmpl w:val="967224DC"/>
    <w:lvl w:ilvl="0" w:tplc="FB661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22A94"/>
    <w:multiLevelType w:val="hybridMultilevel"/>
    <w:tmpl w:val="854C2BF2"/>
    <w:lvl w:ilvl="0" w:tplc="79EA6A74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C1D8A"/>
    <w:multiLevelType w:val="hybridMultilevel"/>
    <w:tmpl w:val="331C2CC4"/>
    <w:lvl w:ilvl="0" w:tplc="640ECC7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121358"/>
    <w:multiLevelType w:val="hybridMultilevel"/>
    <w:tmpl w:val="ADB218AE"/>
    <w:lvl w:ilvl="0" w:tplc="BC20BF38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86913"/>
    <w:multiLevelType w:val="multilevel"/>
    <w:tmpl w:val="92787890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6" w:hanging="2160"/>
      </w:pPr>
      <w:rPr>
        <w:rFonts w:hint="default"/>
      </w:rPr>
    </w:lvl>
  </w:abstractNum>
  <w:abstractNum w:abstractNumId="6" w15:restartNumberingAfterBreak="0">
    <w:nsid w:val="2ABC202D"/>
    <w:multiLevelType w:val="hybridMultilevel"/>
    <w:tmpl w:val="77DEE70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34136CCA"/>
    <w:multiLevelType w:val="hybridMultilevel"/>
    <w:tmpl w:val="23EA392C"/>
    <w:lvl w:ilvl="0" w:tplc="9F34F54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F2C0E"/>
    <w:multiLevelType w:val="hybridMultilevel"/>
    <w:tmpl w:val="CAE2E3C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E6874"/>
    <w:multiLevelType w:val="hybridMultilevel"/>
    <w:tmpl w:val="13DAE318"/>
    <w:lvl w:ilvl="0" w:tplc="4184FA4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10C3507"/>
    <w:multiLevelType w:val="hybridMultilevel"/>
    <w:tmpl w:val="E6F6FF3C"/>
    <w:lvl w:ilvl="0" w:tplc="298E72A6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D687D"/>
    <w:multiLevelType w:val="hybridMultilevel"/>
    <w:tmpl w:val="FCEC8A98"/>
    <w:lvl w:ilvl="0" w:tplc="B426AD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1902"/>
    <w:multiLevelType w:val="hybridMultilevel"/>
    <w:tmpl w:val="162A8F18"/>
    <w:lvl w:ilvl="0" w:tplc="0422000F">
      <w:start w:val="3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55621"/>
    <w:multiLevelType w:val="hybridMultilevel"/>
    <w:tmpl w:val="14567818"/>
    <w:lvl w:ilvl="0" w:tplc="4C4098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B3508"/>
    <w:multiLevelType w:val="hybridMultilevel"/>
    <w:tmpl w:val="35A4626E"/>
    <w:lvl w:ilvl="0" w:tplc="6F3A981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 w15:restartNumberingAfterBreak="0">
    <w:nsid w:val="59DB7126"/>
    <w:multiLevelType w:val="hybridMultilevel"/>
    <w:tmpl w:val="04462C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BBB63B3"/>
    <w:multiLevelType w:val="hybridMultilevel"/>
    <w:tmpl w:val="19A8AC0E"/>
    <w:lvl w:ilvl="0" w:tplc="4C4098A0">
      <w:start w:val="1"/>
      <w:numFmt w:val="bullet"/>
      <w:lvlText w:val=""/>
      <w:lvlJc w:val="left"/>
      <w:pPr>
        <w:ind w:left="32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7" w15:restartNumberingAfterBreak="0">
    <w:nsid w:val="5FC557F5"/>
    <w:multiLevelType w:val="hybridMultilevel"/>
    <w:tmpl w:val="F2A06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55305"/>
    <w:multiLevelType w:val="hybridMultilevel"/>
    <w:tmpl w:val="FE9AE9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4372B"/>
    <w:multiLevelType w:val="hybridMultilevel"/>
    <w:tmpl w:val="F364E0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E6366"/>
    <w:multiLevelType w:val="hybridMultilevel"/>
    <w:tmpl w:val="9EE8AF60"/>
    <w:lvl w:ilvl="0" w:tplc="05B681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8B57FF0"/>
    <w:multiLevelType w:val="hybridMultilevel"/>
    <w:tmpl w:val="DBDC0CA6"/>
    <w:lvl w:ilvl="0" w:tplc="BDF03BB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6"/>
  </w:num>
  <w:num w:numId="5">
    <w:abstractNumId w:val="0"/>
  </w:num>
  <w:num w:numId="6">
    <w:abstractNumId w:val="16"/>
  </w:num>
  <w:num w:numId="7">
    <w:abstractNumId w:val="11"/>
  </w:num>
  <w:num w:numId="8">
    <w:abstractNumId w:val="1"/>
  </w:num>
  <w:num w:numId="9">
    <w:abstractNumId w:val="7"/>
  </w:num>
  <w:num w:numId="10">
    <w:abstractNumId w:val="20"/>
  </w:num>
  <w:num w:numId="11">
    <w:abstractNumId w:val="3"/>
  </w:num>
  <w:num w:numId="12">
    <w:abstractNumId w:val="18"/>
  </w:num>
  <w:num w:numId="13">
    <w:abstractNumId w:val="2"/>
  </w:num>
  <w:num w:numId="14">
    <w:abstractNumId w:val="8"/>
  </w:num>
  <w:num w:numId="15">
    <w:abstractNumId w:val="5"/>
  </w:num>
  <w:num w:numId="16">
    <w:abstractNumId w:val="10"/>
  </w:num>
  <w:num w:numId="17">
    <w:abstractNumId w:val="4"/>
  </w:num>
  <w:num w:numId="18">
    <w:abstractNumId w:val="17"/>
  </w:num>
  <w:num w:numId="19">
    <w:abstractNumId w:val="19"/>
  </w:num>
  <w:num w:numId="20">
    <w:abstractNumId w:val="14"/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09C"/>
    <w:rsid w:val="00022C3E"/>
    <w:rsid w:val="000332E1"/>
    <w:rsid w:val="00034EB2"/>
    <w:rsid w:val="00044400"/>
    <w:rsid w:val="00063321"/>
    <w:rsid w:val="000753A2"/>
    <w:rsid w:val="00082193"/>
    <w:rsid w:val="000A5921"/>
    <w:rsid w:val="000C6DEE"/>
    <w:rsid w:val="000D53C5"/>
    <w:rsid w:val="000F253B"/>
    <w:rsid w:val="0010282E"/>
    <w:rsid w:val="001055F9"/>
    <w:rsid w:val="0013304C"/>
    <w:rsid w:val="001430F5"/>
    <w:rsid w:val="00150D4A"/>
    <w:rsid w:val="00151305"/>
    <w:rsid w:val="00192123"/>
    <w:rsid w:val="001A1297"/>
    <w:rsid w:val="001A1FDE"/>
    <w:rsid w:val="001E3840"/>
    <w:rsid w:val="00247041"/>
    <w:rsid w:val="00282CAE"/>
    <w:rsid w:val="00292729"/>
    <w:rsid w:val="002B13F6"/>
    <w:rsid w:val="002B1916"/>
    <w:rsid w:val="002C75DF"/>
    <w:rsid w:val="002D4266"/>
    <w:rsid w:val="002E293A"/>
    <w:rsid w:val="0031494B"/>
    <w:rsid w:val="00314CB4"/>
    <w:rsid w:val="00364B97"/>
    <w:rsid w:val="003A2D78"/>
    <w:rsid w:val="00442F16"/>
    <w:rsid w:val="00447E75"/>
    <w:rsid w:val="00450089"/>
    <w:rsid w:val="00453C0A"/>
    <w:rsid w:val="004611E4"/>
    <w:rsid w:val="0048470A"/>
    <w:rsid w:val="004A77C7"/>
    <w:rsid w:val="004D34A5"/>
    <w:rsid w:val="004D71D3"/>
    <w:rsid w:val="004E3A11"/>
    <w:rsid w:val="00507DEF"/>
    <w:rsid w:val="00514F69"/>
    <w:rsid w:val="00530E07"/>
    <w:rsid w:val="00552DE7"/>
    <w:rsid w:val="005627FE"/>
    <w:rsid w:val="005662D1"/>
    <w:rsid w:val="0057493B"/>
    <w:rsid w:val="005837CD"/>
    <w:rsid w:val="00583D84"/>
    <w:rsid w:val="00584821"/>
    <w:rsid w:val="005B4C8F"/>
    <w:rsid w:val="005E76B5"/>
    <w:rsid w:val="0060151B"/>
    <w:rsid w:val="00610BFF"/>
    <w:rsid w:val="0062315B"/>
    <w:rsid w:val="0064171C"/>
    <w:rsid w:val="00644921"/>
    <w:rsid w:val="006E2B37"/>
    <w:rsid w:val="006E5A23"/>
    <w:rsid w:val="0072179E"/>
    <w:rsid w:val="007406E9"/>
    <w:rsid w:val="00757AE4"/>
    <w:rsid w:val="00762DF5"/>
    <w:rsid w:val="00770601"/>
    <w:rsid w:val="0078648C"/>
    <w:rsid w:val="00791C41"/>
    <w:rsid w:val="00791C8D"/>
    <w:rsid w:val="007C2C1A"/>
    <w:rsid w:val="007D4191"/>
    <w:rsid w:val="007D5927"/>
    <w:rsid w:val="00811161"/>
    <w:rsid w:val="00844B92"/>
    <w:rsid w:val="00855394"/>
    <w:rsid w:val="00866DC9"/>
    <w:rsid w:val="008B4703"/>
    <w:rsid w:val="008B671D"/>
    <w:rsid w:val="008D1AB9"/>
    <w:rsid w:val="008D4735"/>
    <w:rsid w:val="008E493E"/>
    <w:rsid w:val="008E621A"/>
    <w:rsid w:val="00985D82"/>
    <w:rsid w:val="0099404C"/>
    <w:rsid w:val="009D657F"/>
    <w:rsid w:val="009E434C"/>
    <w:rsid w:val="00A05B5A"/>
    <w:rsid w:val="00A114D6"/>
    <w:rsid w:val="00A11C1E"/>
    <w:rsid w:val="00A33326"/>
    <w:rsid w:val="00A37A2E"/>
    <w:rsid w:val="00A51DB4"/>
    <w:rsid w:val="00A53659"/>
    <w:rsid w:val="00A5453E"/>
    <w:rsid w:val="00A619CB"/>
    <w:rsid w:val="00A61FE9"/>
    <w:rsid w:val="00A73D3F"/>
    <w:rsid w:val="00A83D11"/>
    <w:rsid w:val="00AA22F6"/>
    <w:rsid w:val="00AB1165"/>
    <w:rsid w:val="00AE0ACB"/>
    <w:rsid w:val="00B01CAC"/>
    <w:rsid w:val="00B67851"/>
    <w:rsid w:val="00B74C16"/>
    <w:rsid w:val="00BA51B0"/>
    <w:rsid w:val="00C27C5C"/>
    <w:rsid w:val="00C41DFA"/>
    <w:rsid w:val="00C767E2"/>
    <w:rsid w:val="00C9725D"/>
    <w:rsid w:val="00CB4451"/>
    <w:rsid w:val="00CC2ACE"/>
    <w:rsid w:val="00CE4521"/>
    <w:rsid w:val="00D0241B"/>
    <w:rsid w:val="00D03976"/>
    <w:rsid w:val="00D04A29"/>
    <w:rsid w:val="00D17778"/>
    <w:rsid w:val="00D2305A"/>
    <w:rsid w:val="00D4386D"/>
    <w:rsid w:val="00D522CD"/>
    <w:rsid w:val="00D554EF"/>
    <w:rsid w:val="00D560E3"/>
    <w:rsid w:val="00D96726"/>
    <w:rsid w:val="00DA509C"/>
    <w:rsid w:val="00DF750F"/>
    <w:rsid w:val="00E0654E"/>
    <w:rsid w:val="00E36728"/>
    <w:rsid w:val="00E52E89"/>
    <w:rsid w:val="00E604C3"/>
    <w:rsid w:val="00E73FF8"/>
    <w:rsid w:val="00EB5C3A"/>
    <w:rsid w:val="00EB63ED"/>
    <w:rsid w:val="00EB756F"/>
    <w:rsid w:val="00EB7B08"/>
    <w:rsid w:val="00ED30A3"/>
    <w:rsid w:val="00ED30F9"/>
    <w:rsid w:val="00EE7759"/>
    <w:rsid w:val="00F05CD2"/>
    <w:rsid w:val="00F141BC"/>
    <w:rsid w:val="00F17646"/>
    <w:rsid w:val="00F30C83"/>
    <w:rsid w:val="00F37B50"/>
    <w:rsid w:val="00F4401D"/>
    <w:rsid w:val="00F515BD"/>
    <w:rsid w:val="00F519C8"/>
    <w:rsid w:val="00F5410B"/>
    <w:rsid w:val="00F75508"/>
    <w:rsid w:val="00F8523E"/>
    <w:rsid w:val="00F85A72"/>
    <w:rsid w:val="00FB0BDF"/>
    <w:rsid w:val="00FB2A6D"/>
    <w:rsid w:val="00FD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9E7C"/>
  <w15:chartTrackingRefBased/>
  <w15:docId w15:val="{C44750A2-91E4-4F76-BA3D-26CB161C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C0A"/>
    <w:pPr>
      <w:ind w:left="720"/>
      <w:contextualSpacing/>
    </w:pPr>
  </w:style>
  <w:style w:type="table" w:styleId="a4">
    <w:name w:val="Table Grid"/>
    <w:basedOn w:val="a1"/>
    <w:uiPriority w:val="39"/>
    <w:rsid w:val="00B74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link w:val="1"/>
    <w:locked/>
    <w:rsid w:val="00770601"/>
    <w:rPr>
      <w:rFonts w:ascii="Times New Roman" w:eastAsia="Times New Roman" w:hAnsi="Times New Roman" w:cs="Times New Roman"/>
      <w:shd w:val="clear" w:color="auto" w:fill="FFFFFF"/>
      <w:lang w:val="uk-UA" w:eastAsia="zh-CN"/>
    </w:rPr>
  </w:style>
  <w:style w:type="paragraph" w:customStyle="1" w:styleId="1">
    <w:name w:val="Основной текст1"/>
    <w:basedOn w:val="a"/>
    <w:link w:val="a5"/>
    <w:rsid w:val="00770601"/>
    <w:pPr>
      <w:widowControl w:val="0"/>
      <w:shd w:val="clear" w:color="auto" w:fill="FFFFFF"/>
      <w:spacing w:after="0" w:line="240" w:lineRule="exact"/>
      <w:ind w:firstLine="600"/>
      <w:jc w:val="both"/>
    </w:pPr>
    <w:rPr>
      <w:rFonts w:ascii="Times New Roman" w:eastAsia="Times New Roman" w:hAnsi="Times New Roman" w:cs="Times New Roman"/>
      <w:lang w:val="uk-UA" w:eastAsia="zh-CN"/>
    </w:rPr>
  </w:style>
  <w:style w:type="paragraph" w:customStyle="1" w:styleId="TableParagraph">
    <w:name w:val="Table Paragraph"/>
    <w:basedOn w:val="a"/>
    <w:uiPriority w:val="1"/>
    <w:qFormat/>
    <w:rsid w:val="00F85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F8523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E4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E4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E839-C358-4E08-BC2A-68EA1917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10</Pages>
  <Words>10592</Words>
  <Characters>6039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Катерина</dc:creator>
  <cp:keywords/>
  <dc:description/>
  <cp:lastModifiedBy>Grudz</cp:lastModifiedBy>
  <cp:revision>92</cp:revision>
  <cp:lastPrinted>2025-12-24T12:44:00Z</cp:lastPrinted>
  <dcterms:created xsi:type="dcterms:W3CDTF">2023-04-06T08:45:00Z</dcterms:created>
  <dcterms:modified xsi:type="dcterms:W3CDTF">2025-12-24T12:45:00Z</dcterms:modified>
</cp:coreProperties>
</file>