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A7" w:rsidRDefault="000000A7" w:rsidP="0041745D">
      <w:pPr>
        <w:spacing w:after="0"/>
        <w:ind w:hanging="851"/>
        <w:rPr>
          <w:rFonts w:ascii="Times New Roman" w:hAnsi="Times New Roman" w:cs="Times New Roman"/>
          <w:sz w:val="24"/>
          <w:szCs w:val="24"/>
          <w:lang w:val="uk-UA"/>
        </w:rPr>
      </w:pPr>
    </w:p>
    <w:p w:rsidR="00C94A44" w:rsidRPr="00421E6E" w:rsidRDefault="00C94A44" w:rsidP="00C94A4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421E6E">
        <w:rPr>
          <w:color w:val="000000"/>
          <w:lang w:val="uk-UA"/>
        </w:rPr>
        <w:t xml:space="preserve">   </w:t>
      </w:r>
      <w:r w:rsidRPr="00421E6E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22684480" r:id="rId6"/>
        </w:object>
      </w:r>
    </w:p>
    <w:p w:rsidR="00C94A44" w:rsidRPr="00421E6E" w:rsidRDefault="00C94A44" w:rsidP="00C94A44">
      <w:pPr>
        <w:pStyle w:val="1"/>
        <w:jc w:val="center"/>
        <w:rPr>
          <w:b/>
          <w:bCs/>
          <w:color w:val="000000"/>
          <w:sz w:val="28"/>
          <w:szCs w:val="28"/>
          <w:lang w:val="uk-UA"/>
        </w:rPr>
      </w:pPr>
      <w:r w:rsidRPr="00421E6E">
        <w:rPr>
          <w:b/>
          <w:bCs/>
          <w:color w:val="000000"/>
          <w:sz w:val="28"/>
          <w:szCs w:val="28"/>
          <w:lang w:val="uk-UA"/>
        </w:rPr>
        <w:t>У К Р А Ї Н А</w:t>
      </w:r>
    </w:p>
    <w:p w:rsidR="00C94A44" w:rsidRPr="00421E6E" w:rsidRDefault="00C94A44" w:rsidP="00C94A44">
      <w:pPr>
        <w:pStyle w:val="21"/>
        <w:outlineLvl w:val="1"/>
        <w:rPr>
          <w:color w:val="000000"/>
          <w:sz w:val="28"/>
          <w:szCs w:val="28"/>
        </w:rPr>
      </w:pPr>
      <w:r w:rsidRPr="00421E6E">
        <w:rPr>
          <w:color w:val="000000"/>
          <w:sz w:val="28"/>
          <w:szCs w:val="28"/>
        </w:rPr>
        <w:t>Г А Й С И Н С Ь К А   М І С Ь К А   Р А Д А</w:t>
      </w:r>
    </w:p>
    <w:p w:rsidR="00C94A44" w:rsidRPr="00421E6E" w:rsidRDefault="00C94A44" w:rsidP="00C94A44">
      <w:pPr>
        <w:pStyle w:val="1"/>
        <w:jc w:val="center"/>
        <w:rPr>
          <w:color w:val="000000"/>
          <w:sz w:val="26"/>
          <w:szCs w:val="26"/>
          <w:lang w:val="uk-UA"/>
        </w:rPr>
      </w:pPr>
      <w:r w:rsidRPr="00421E6E">
        <w:rPr>
          <w:color w:val="000000"/>
          <w:sz w:val="26"/>
          <w:szCs w:val="26"/>
          <w:lang w:val="uk-UA"/>
        </w:rPr>
        <w:t>Гайсинського району     Вінницької області</w:t>
      </w:r>
    </w:p>
    <w:p w:rsidR="00C94A44" w:rsidRPr="00421E6E" w:rsidRDefault="00C94A44" w:rsidP="00C94A44">
      <w:pPr>
        <w:pStyle w:val="1"/>
        <w:jc w:val="center"/>
        <w:rPr>
          <w:b/>
          <w:color w:val="000000"/>
          <w:sz w:val="32"/>
          <w:szCs w:val="32"/>
          <w:lang w:val="uk-UA"/>
        </w:rPr>
      </w:pPr>
      <w:r w:rsidRPr="00421E6E">
        <w:rPr>
          <w:b/>
          <w:color w:val="000000"/>
          <w:sz w:val="32"/>
          <w:szCs w:val="32"/>
          <w:lang w:val="uk-UA"/>
        </w:rPr>
        <w:t>ВИКОНАВЧИЙ  КОМІТЕТ</w:t>
      </w:r>
    </w:p>
    <w:p w:rsidR="00C94A44" w:rsidRPr="00421E6E" w:rsidRDefault="00C94A44" w:rsidP="00C94A44">
      <w:pPr>
        <w:ind w:firstLine="1134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t xml:space="preserve">                             </w:t>
      </w:r>
      <w:r w:rsidR="007B006C">
        <w:rPr>
          <w:b/>
          <w:color w:val="000000"/>
          <w:sz w:val="36"/>
          <w:szCs w:val="36"/>
          <w:lang w:val="uk-UA"/>
        </w:rPr>
        <w:t xml:space="preserve">  </w:t>
      </w:r>
      <w:r w:rsidRPr="00421E6E">
        <w:rPr>
          <w:b/>
          <w:color w:val="000000"/>
          <w:sz w:val="36"/>
          <w:szCs w:val="36"/>
          <w:lang w:val="uk-UA"/>
        </w:rPr>
        <w:t xml:space="preserve">Р І Ш Е Н </w:t>
      </w:r>
      <w:proofErr w:type="spellStart"/>
      <w:r w:rsidRPr="00421E6E">
        <w:rPr>
          <w:b/>
          <w:color w:val="000000"/>
          <w:sz w:val="36"/>
          <w:szCs w:val="36"/>
          <w:lang w:val="uk-UA"/>
        </w:rPr>
        <w:t>Н</w:t>
      </w:r>
      <w:proofErr w:type="spellEnd"/>
      <w:r w:rsidRPr="00421E6E">
        <w:rPr>
          <w:b/>
          <w:color w:val="000000"/>
          <w:sz w:val="36"/>
          <w:szCs w:val="36"/>
          <w:lang w:val="uk-UA"/>
        </w:rPr>
        <w:t xml:space="preserve"> Я</w:t>
      </w:r>
    </w:p>
    <w:p w:rsidR="00C94A44" w:rsidRPr="00421E6E" w:rsidRDefault="00C94A44" w:rsidP="00C94A44">
      <w:pPr>
        <w:rPr>
          <w:sz w:val="10"/>
          <w:szCs w:val="10"/>
          <w:u w:val="single"/>
          <w:lang w:val="uk-UA"/>
        </w:rPr>
      </w:pPr>
    </w:p>
    <w:p w:rsidR="00C94A44" w:rsidRDefault="00A802F1" w:rsidP="00C94A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17 серпня 2022 р.№189</w:t>
      </w:r>
      <w:r w:rsidR="00C94A44" w:rsidRPr="00C94A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</w:p>
    <w:p w:rsidR="00512B39" w:rsidRPr="00C94A44" w:rsidRDefault="00512B39" w:rsidP="00C94A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94A4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тарифів на платні</w:t>
      </w:r>
    </w:p>
    <w:p w:rsidR="00512B39" w:rsidRPr="00C94A44" w:rsidRDefault="00C94A44" w:rsidP="00C94A44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512B39" w:rsidRPr="00C94A44">
        <w:rPr>
          <w:rFonts w:ascii="Times New Roman" w:hAnsi="Times New Roman" w:cs="Times New Roman"/>
          <w:b/>
          <w:sz w:val="28"/>
          <w:szCs w:val="28"/>
          <w:lang w:val="uk-UA"/>
        </w:rPr>
        <w:t>медичні послуги в КНП «Гайсинська</w:t>
      </w:r>
    </w:p>
    <w:p w:rsidR="00C94A44" w:rsidRDefault="00C94A44" w:rsidP="00C94A44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512B39" w:rsidRPr="00C94A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центральна районна лікарня </w:t>
      </w:r>
    </w:p>
    <w:p w:rsidR="00512B39" w:rsidRPr="00C94A44" w:rsidRDefault="00C94A44" w:rsidP="00C94A44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512B39" w:rsidRPr="00C94A44">
        <w:rPr>
          <w:rFonts w:ascii="Times New Roman" w:hAnsi="Times New Roman" w:cs="Times New Roman"/>
          <w:b/>
          <w:sz w:val="28"/>
          <w:szCs w:val="28"/>
          <w:lang w:val="uk-UA"/>
        </w:rPr>
        <w:t>Гайсинської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2B39" w:rsidRPr="00C94A4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ради»</w:t>
      </w:r>
    </w:p>
    <w:p w:rsidR="005C34DF" w:rsidRPr="00C94A44" w:rsidRDefault="005C34DF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3CEC" w:rsidRPr="00C94A44" w:rsidRDefault="00E73B91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94A4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40DF1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</w:t>
      </w:r>
      <w:r w:rsidR="00450B44">
        <w:rPr>
          <w:rFonts w:ascii="Times New Roman" w:hAnsi="Times New Roman" w:cs="Times New Roman"/>
          <w:sz w:val="28"/>
          <w:szCs w:val="28"/>
          <w:lang w:val="uk-UA"/>
        </w:rPr>
        <w:t>клопотання вих.№153 від 12 серпня 2022 р. начальника відділу охорони здоров’я Гайсинської міської ради Олійника М.О.</w:t>
      </w:r>
      <w:r w:rsidR="007223E6" w:rsidRPr="00C94A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C66" w:rsidRPr="00C94A44">
        <w:rPr>
          <w:rFonts w:ascii="Times New Roman" w:hAnsi="Times New Roman" w:cs="Times New Roman"/>
          <w:sz w:val="28"/>
          <w:szCs w:val="28"/>
          <w:lang w:val="uk-UA"/>
        </w:rPr>
        <w:t>щодо затвер</w:t>
      </w:r>
      <w:r w:rsidR="00914E24" w:rsidRPr="00C94A4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F3C66" w:rsidRPr="00C94A44">
        <w:rPr>
          <w:rFonts w:ascii="Times New Roman" w:hAnsi="Times New Roman" w:cs="Times New Roman"/>
          <w:sz w:val="28"/>
          <w:szCs w:val="28"/>
          <w:lang w:val="uk-UA"/>
        </w:rPr>
        <w:t>ження тарифів на платні медич</w:t>
      </w:r>
      <w:r w:rsidR="00640DF1" w:rsidRPr="00C94A44">
        <w:rPr>
          <w:rFonts w:ascii="Times New Roman" w:hAnsi="Times New Roman" w:cs="Times New Roman"/>
          <w:sz w:val="28"/>
          <w:szCs w:val="28"/>
          <w:lang w:val="uk-UA"/>
        </w:rPr>
        <w:t>ні послуги</w:t>
      </w:r>
      <w:r w:rsidR="00450B44">
        <w:rPr>
          <w:rFonts w:ascii="Times New Roman" w:hAnsi="Times New Roman" w:cs="Times New Roman"/>
          <w:sz w:val="28"/>
          <w:szCs w:val="28"/>
          <w:lang w:val="uk-UA"/>
        </w:rPr>
        <w:t xml:space="preserve"> (с</w:t>
      </w:r>
      <w:r w:rsidR="00640DF1" w:rsidRPr="00C94A44">
        <w:rPr>
          <w:rFonts w:ascii="Times New Roman" w:hAnsi="Times New Roman" w:cs="Times New Roman"/>
          <w:sz w:val="28"/>
          <w:szCs w:val="28"/>
          <w:lang w:val="uk-UA"/>
        </w:rPr>
        <w:t>томатологічна допомога,</w:t>
      </w:r>
      <w:r w:rsidR="00B6575E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FAC">
        <w:rPr>
          <w:rFonts w:ascii="Times New Roman" w:hAnsi="Times New Roman" w:cs="Times New Roman"/>
          <w:sz w:val="28"/>
          <w:szCs w:val="28"/>
          <w:lang w:val="uk-UA"/>
        </w:rPr>
        <w:t>що надаються</w:t>
      </w:r>
      <w:r w:rsidR="00640DF1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населенню госпрозрахунковими відділеннями,</w:t>
      </w:r>
      <w:r w:rsidR="00450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DF1" w:rsidRPr="00C94A44">
        <w:rPr>
          <w:rFonts w:ascii="Times New Roman" w:hAnsi="Times New Roman" w:cs="Times New Roman"/>
          <w:sz w:val="28"/>
          <w:szCs w:val="28"/>
          <w:lang w:val="uk-UA"/>
        </w:rPr>
        <w:t>кабінетами закладів охорони здоров’я)</w:t>
      </w:r>
      <w:r w:rsidR="00914E24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згідно пост</w:t>
      </w:r>
      <w:r w:rsidR="00640DF1" w:rsidRPr="00C94A44">
        <w:rPr>
          <w:rFonts w:ascii="Times New Roman" w:hAnsi="Times New Roman" w:cs="Times New Roman"/>
          <w:sz w:val="28"/>
          <w:szCs w:val="28"/>
          <w:lang w:val="uk-UA"/>
        </w:rPr>
        <w:t>анови КМУ від 17.09.1996р.№1138 п.11.</w:t>
      </w:r>
      <w:r w:rsidR="00450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75E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та (Стажування лікарів (провізорів)-інтернів у базових закладах та установах охорони здоров’я, якщо ці </w:t>
      </w:r>
      <w:r w:rsidR="00914E24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75E" w:rsidRPr="00C94A44">
        <w:rPr>
          <w:rFonts w:ascii="Times New Roman" w:hAnsi="Times New Roman" w:cs="Times New Roman"/>
          <w:sz w:val="28"/>
          <w:szCs w:val="28"/>
          <w:lang w:val="uk-UA"/>
        </w:rPr>
        <w:t>лікарі</w:t>
      </w:r>
      <w:r w:rsidR="00450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75E" w:rsidRPr="00C94A44">
        <w:rPr>
          <w:rFonts w:ascii="Times New Roman" w:hAnsi="Times New Roman" w:cs="Times New Roman"/>
          <w:sz w:val="28"/>
          <w:szCs w:val="28"/>
          <w:lang w:val="uk-UA"/>
        </w:rPr>
        <w:t>(провізори)</w:t>
      </w:r>
      <w:proofErr w:type="spellStart"/>
      <w:r w:rsidR="00B6575E" w:rsidRPr="00C94A44">
        <w:rPr>
          <w:rFonts w:ascii="Times New Roman" w:hAnsi="Times New Roman" w:cs="Times New Roman"/>
          <w:sz w:val="28"/>
          <w:szCs w:val="28"/>
          <w:lang w:val="uk-UA"/>
        </w:rPr>
        <w:t>-інтерни</w:t>
      </w:r>
      <w:proofErr w:type="spellEnd"/>
      <w:r w:rsidR="00B6575E" w:rsidRPr="00C94A44">
        <w:rPr>
          <w:rFonts w:ascii="Times New Roman" w:hAnsi="Times New Roman" w:cs="Times New Roman"/>
          <w:sz w:val="28"/>
          <w:szCs w:val="28"/>
          <w:lang w:val="uk-UA"/>
        </w:rPr>
        <w:t>: закінчили недержавні вищі медичні</w:t>
      </w:r>
      <w:r w:rsidR="00450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75E" w:rsidRPr="00C94A44">
        <w:rPr>
          <w:rFonts w:ascii="Times New Roman" w:hAnsi="Times New Roman" w:cs="Times New Roman"/>
          <w:sz w:val="28"/>
          <w:szCs w:val="28"/>
          <w:lang w:val="uk-UA"/>
        </w:rPr>
        <w:t>(фармацевтичні) заклади освіти; закінчили державні вищі медичні(фармацевтичні) заклади освіти на умовах контракту; прийняті на роботу в недержавні заклади охорони здоров’я(недержавні фармацевтичні заклади, підприємства);повторно проходять інтернатуру; бажають отримати другу спеціальність в інтернатурі)</w:t>
      </w:r>
      <w:r w:rsidR="009D4618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згідно постанови КМУ від 17.09.1996р.№1138 п.30.</w:t>
      </w:r>
      <w:r w:rsidR="00B6575E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F68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E24" w:rsidRPr="00C94A4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2124" w:rsidRPr="00C94A44">
        <w:rPr>
          <w:rFonts w:ascii="Times New Roman" w:hAnsi="Times New Roman" w:cs="Times New Roman"/>
          <w:sz w:val="28"/>
          <w:szCs w:val="28"/>
          <w:lang w:val="uk-UA"/>
        </w:rPr>
        <w:t>ідповідно до постанови КМУ від 25 грудня 1996 року №1548 «Про встановлення повноважень органів виконавчої влади та виконавчих органів міських рад щодо регулювання цін (тарифів)»(із змінами),</w:t>
      </w:r>
      <w:r w:rsidR="008E367E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CEC" w:rsidRPr="00C94A44">
        <w:rPr>
          <w:rFonts w:ascii="Times New Roman" w:hAnsi="Times New Roman" w:cs="Times New Roman"/>
          <w:sz w:val="28"/>
          <w:szCs w:val="28"/>
          <w:lang w:val="uk-UA"/>
        </w:rPr>
        <w:t>керуючись ст.27,29,32 та 52 Закону України «Про місцеве самоврядування в Україні»,</w:t>
      </w:r>
      <w:r w:rsidR="00D26AD4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CEC" w:rsidRPr="00C94A44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 ВИРІШИВ:</w:t>
      </w:r>
    </w:p>
    <w:p w:rsidR="00C13CEC" w:rsidRPr="00C94A44" w:rsidRDefault="00C13CEC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A44">
        <w:rPr>
          <w:rFonts w:ascii="Times New Roman" w:hAnsi="Times New Roman" w:cs="Times New Roman"/>
          <w:sz w:val="28"/>
          <w:szCs w:val="28"/>
          <w:lang w:val="uk-UA"/>
        </w:rPr>
        <w:t>1.Затвердити тарифи на платні медичні послуги,</w:t>
      </w:r>
      <w:r w:rsidR="003E129C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A44">
        <w:rPr>
          <w:rFonts w:ascii="Times New Roman" w:hAnsi="Times New Roman" w:cs="Times New Roman"/>
          <w:sz w:val="28"/>
          <w:szCs w:val="28"/>
          <w:lang w:val="uk-UA"/>
        </w:rPr>
        <w:t>що надаються КНП «Гайсинська центральна районна лікарня Гайсинсь</w:t>
      </w:r>
      <w:r w:rsidR="00914E24" w:rsidRPr="00C94A4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E1FAC">
        <w:rPr>
          <w:rFonts w:ascii="Times New Roman" w:hAnsi="Times New Roman" w:cs="Times New Roman"/>
          <w:sz w:val="28"/>
          <w:szCs w:val="28"/>
          <w:lang w:val="uk-UA"/>
        </w:rPr>
        <w:t>ої міської ради» згідно додатку</w:t>
      </w:r>
      <w:r w:rsidR="00DA7829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802F1">
        <w:rPr>
          <w:rFonts w:ascii="Times New Roman" w:hAnsi="Times New Roman" w:cs="Times New Roman"/>
          <w:sz w:val="28"/>
          <w:szCs w:val="28"/>
          <w:lang w:val="uk-UA"/>
        </w:rPr>
        <w:t xml:space="preserve"> та додатку </w:t>
      </w:r>
      <w:r w:rsidR="00077E29" w:rsidRPr="00C94A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2721" w:rsidRPr="00C94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E29" w:rsidRPr="00C94A44">
        <w:rPr>
          <w:rFonts w:ascii="Times New Roman" w:hAnsi="Times New Roman" w:cs="Times New Roman"/>
          <w:sz w:val="28"/>
          <w:szCs w:val="28"/>
          <w:lang w:val="uk-UA"/>
        </w:rPr>
        <w:t>що додаю</w:t>
      </w:r>
      <w:r w:rsidRPr="00C94A44">
        <w:rPr>
          <w:rFonts w:ascii="Times New Roman" w:hAnsi="Times New Roman" w:cs="Times New Roman"/>
          <w:sz w:val="28"/>
          <w:szCs w:val="28"/>
          <w:lang w:val="uk-UA"/>
        </w:rPr>
        <w:t>ться до цього рішення.</w:t>
      </w:r>
    </w:p>
    <w:p w:rsidR="00C13CEC" w:rsidRPr="00C94A44" w:rsidRDefault="00C13CEC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A44"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цього</w:t>
      </w:r>
      <w:r w:rsidR="009E1FAC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начальника відділу охорони здоров’я  Гайсинської міської ради М.О.Олійник</w:t>
      </w:r>
      <w:r w:rsidRPr="00C94A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B31" w:rsidRPr="00C94A44" w:rsidRDefault="005B3B31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DE6" w:rsidRPr="004636D6" w:rsidRDefault="005B3B31" w:rsidP="004636D6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A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B773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</w:t>
      </w:r>
      <w:r w:rsidR="00A80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7737A"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p w:rsidR="00885DE6" w:rsidRDefault="00885DE6" w:rsidP="005C34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5DE6" w:rsidRDefault="00885DE6" w:rsidP="005C34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5DE6" w:rsidRDefault="00885DE6" w:rsidP="005C34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61D7" w:rsidRDefault="00CB61D7" w:rsidP="00CB61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61D7" w:rsidRPr="00ED625E" w:rsidRDefault="00CB61D7" w:rsidP="00ED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636D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Pr="00ED625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B61D7" w:rsidRPr="00ED625E" w:rsidRDefault="00CB61D7" w:rsidP="00ED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2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ED62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ED625E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виконкому </w:t>
      </w:r>
    </w:p>
    <w:p w:rsidR="00CB61D7" w:rsidRPr="00ED625E" w:rsidRDefault="00CB61D7" w:rsidP="00ED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2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ED62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від </w:t>
      </w:r>
      <w:r w:rsidR="004636D6" w:rsidRPr="00ED625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ED625E">
        <w:rPr>
          <w:rFonts w:ascii="Times New Roman" w:hAnsi="Times New Roman" w:cs="Times New Roman"/>
          <w:sz w:val="28"/>
          <w:szCs w:val="28"/>
          <w:lang w:val="uk-UA"/>
        </w:rPr>
        <w:t xml:space="preserve">  серпня  2022р.№</w:t>
      </w:r>
      <w:r w:rsidR="00944EA4">
        <w:rPr>
          <w:rFonts w:ascii="Times New Roman" w:hAnsi="Times New Roman" w:cs="Times New Roman"/>
          <w:sz w:val="28"/>
          <w:szCs w:val="28"/>
          <w:lang w:val="uk-UA"/>
        </w:rPr>
        <w:t>168</w:t>
      </w:r>
    </w:p>
    <w:p w:rsidR="00CB61D7" w:rsidRPr="00ED625E" w:rsidRDefault="00CB61D7" w:rsidP="00ED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DE6" w:rsidRDefault="00885DE6" w:rsidP="005C34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5DE6" w:rsidRDefault="00885DE6" w:rsidP="005C34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0" w:type="dxa"/>
        <w:tblLook w:val="04A0"/>
      </w:tblPr>
      <w:tblGrid>
        <w:gridCol w:w="960"/>
        <w:gridCol w:w="5660"/>
        <w:gridCol w:w="1143"/>
        <w:gridCol w:w="117"/>
        <w:gridCol w:w="879"/>
        <w:gridCol w:w="236"/>
        <w:gridCol w:w="960"/>
      </w:tblGrid>
      <w:tr w:rsidR="00CB61D7" w:rsidRPr="00ED625E" w:rsidTr="00CB61D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ED625E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  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ариф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и</w:t>
            </w:r>
            <w:r w:rsidR="00CB61D7"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ED625E" w:rsidTr="00CB61D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E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платну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послугу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що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надаються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КНП </w:t>
            </w:r>
            <w:r w:rsidR="00ED625E"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ED625E"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Гайсинська</w:t>
            </w:r>
            <w:proofErr w:type="spellEnd"/>
            <w:r w:rsid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D625E"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центральна районна лікарня</w:t>
            </w:r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D625E" w:rsidRPr="00ED6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Гайсинської міської ради»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61D7" w:rsidRPr="00ED625E" w:rsidTr="00121E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1D7" w:rsidRPr="00ED625E" w:rsidTr="00121EF1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ED625E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Найменування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послуги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Тариф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грн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без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ПДВ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ED625E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14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1D7" w:rsidRPr="00ED625E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Стоматологічна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допомога,що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подається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населенню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госпрозрахунковими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відділеннями,кабінетами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закладів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здоров'я,згідно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постанови КМУ №1138 </w:t>
            </w:r>
            <w:proofErr w:type="spell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</w:t>
            </w:r>
            <w:proofErr w:type="spell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17.09.1996р</w:t>
            </w:r>
            <w:proofErr w:type="gramStart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озділ </w:t>
            </w:r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ED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94A44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94A44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1D7" w:rsidRPr="00CB61D7" w:rsidTr="00121EF1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Первинний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хворого(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включає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анамнезу,фізичних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обстежень,запланованої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Повторний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амбулаторного хворого(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включає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анамнезу,фізичного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обстеження,контролю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хворого(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порада,дані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лікаря,який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лікує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лікарем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стану та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подальшого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Зняття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зубного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каменю,нальоту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інструментальним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способом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зубів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531,37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Зняття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зубного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каменю,нальоту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ультразвукового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зубів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414,95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гігієни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зубів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410,23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Закриття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фісур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зуба герметиками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159,48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Знеболювання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інфільтраційне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36,65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Знеболювання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аплікаційне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кофердаму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166,37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9A54FD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тимчасової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пломби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35,24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зуба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поверхневому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середньому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137,81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зуба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глибокому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(без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228,77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Препарування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каріозної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порожнини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трепанація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коронки),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розкриття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рогу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пульпової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девіталізуючої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пасти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пов'язки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43,91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лікувальної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пов'язки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прокладки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Jen-Line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ускладненнях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58,24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Усунення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пломби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143,26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Екстирпація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пульпи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каналу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Інструментальна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медикаментозна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обробка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каналу зуба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ручними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інструментами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113,45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Інструментальна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медикаментозна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обробка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каналу зуба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ротаційними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інструментами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279,18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каналу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пастою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Кальципаст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138,39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каналу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пастою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Резодонт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102,95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каналу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пастою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Адсил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гутаперчивими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штифтами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149,28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каналу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пастою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Ендофіл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гутаперчивими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штифтами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158,68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Механічне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хімічне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розширення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облітерованого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каналу зуба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400,35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Розпломбування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каналу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зуба,запломбованого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пастою,що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полімеризується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цементом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580,65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Видалення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постійної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пломби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109,46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Іонолат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9A54FD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Кетак-цемент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55,94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63,06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Іонолат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43,23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Кетак-цемент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77,15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композитного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Лайт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143,98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глибокому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композитного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Лайт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159,60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поверхневого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середнього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світлополімерного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Лателюкс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233,50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середнього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світлополімерного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Харизма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поверхневого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середнього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світлополімерного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Естелайт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сигма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375,39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світлополімерного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Лателюкс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276,75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світлополімерного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Харизма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364,75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Накладання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пломби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лікуванні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глибокого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світлополімерного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Естелайт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сигма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560,54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зруйнованої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коронки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фотополімерним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матеріалом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Лателюкс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802,06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зруйнованої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коронки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фотополімерним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матеріалом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Харизма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912,10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9A54FD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зруйнованої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коронки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фотополімерним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матеріалом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Лателюкс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840,95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зруйнованої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коронки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фотополімерним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матеріалом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Харизма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958,07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зруйнованої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коронки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багатокореневого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за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анкерних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штифтів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фотополімерним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матеріалом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Лателюкс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974,23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зруйнованої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коронки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багатокореневого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за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анкерних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штифтів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фотополімерним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матеріалом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Харизма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1099,11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Шинування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чотирьох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зубів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шинуючою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стрічкою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світлополімерним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матеріалом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1242,03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Первинний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хворого(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включає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анамнезу,фізичних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обстежень,запланованої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Лікування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карієсу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молочного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зуба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176,46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Видалення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молочного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зуба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136,69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Пломбування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кореневого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каналу молочного зуба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123,89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Екстирпація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пульпи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одного каналу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кореня</w:t>
            </w:r>
            <w:proofErr w:type="spellEnd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зуба у </w:t>
            </w:r>
            <w:proofErr w:type="spellStart"/>
            <w:r w:rsidRPr="00CB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130,17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61D7" w:rsidRPr="00CB61D7" w:rsidTr="00121E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D7" w:rsidRPr="00CB61D7" w:rsidRDefault="00CB61D7" w:rsidP="00C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B3715" w:rsidRPr="00ED625E" w:rsidRDefault="008B3715" w:rsidP="008B3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5E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                                      А.П.</w:t>
      </w:r>
      <w:proofErr w:type="spellStart"/>
      <w:r w:rsidRPr="00ED625E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8B3715" w:rsidRPr="00ED625E" w:rsidRDefault="008B3715" w:rsidP="008B3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3715" w:rsidRPr="00ED625E" w:rsidRDefault="008B3715" w:rsidP="008B3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3715" w:rsidRDefault="008B3715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DB5" w:rsidRDefault="00A67DB5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DB5" w:rsidRDefault="00A67DB5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DB5" w:rsidRDefault="00A67DB5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DB5" w:rsidRDefault="00A67DB5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DB5" w:rsidRDefault="00A67DB5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DB5" w:rsidRDefault="00A67DB5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25E" w:rsidRDefault="00ED625E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DB5" w:rsidRDefault="00A67DB5" w:rsidP="005C3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008" w:rsidRDefault="00A802F1" w:rsidP="006173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67DB5" w:rsidRPr="00ED625E" w:rsidRDefault="00A67DB5" w:rsidP="00ED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</w:t>
      </w:r>
      <w:r w:rsidRPr="00ED625E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A67DB5" w:rsidRPr="00ED625E" w:rsidRDefault="00A67DB5" w:rsidP="00ED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2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ED625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44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625E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виконкому </w:t>
      </w:r>
    </w:p>
    <w:p w:rsidR="00A67DB5" w:rsidRPr="00ED625E" w:rsidRDefault="00A67DB5" w:rsidP="00ED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2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ED625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44E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D625E"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 w:rsidR="00ED625E">
        <w:rPr>
          <w:rFonts w:ascii="Times New Roman" w:hAnsi="Times New Roman" w:cs="Times New Roman"/>
          <w:sz w:val="28"/>
          <w:szCs w:val="28"/>
          <w:lang w:val="uk-UA"/>
        </w:rPr>
        <w:t xml:space="preserve">17  </w:t>
      </w:r>
      <w:r w:rsidRPr="00ED625E">
        <w:rPr>
          <w:rFonts w:ascii="Times New Roman" w:hAnsi="Times New Roman" w:cs="Times New Roman"/>
          <w:sz w:val="28"/>
          <w:szCs w:val="28"/>
          <w:lang w:val="uk-UA"/>
        </w:rPr>
        <w:t>серпня  2022р.№</w:t>
      </w:r>
      <w:r w:rsidR="00944EA4">
        <w:rPr>
          <w:rFonts w:ascii="Times New Roman" w:hAnsi="Times New Roman" w:cs="Times New Roman"/>
          <w:sz w:val="28"/>
          <w:szCs w:val="28"/>
          <w:lang w:val="uk-UA"/>
        </w:rPr>
        <w:t>168</w:t>
      </w:r>
    </w:p>
    <w:p w:rsidR="00ED625E" w:rsidRDefault="00ED625E" w:rsidP="00A67D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625E" w:rsidRDefault="00ED625E" w:rsidP="00A67D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3612" w:rsidRPr="00944EA4" w:rsidRDefault="00944EA4" w:rsidP="00944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EA4">
        <w:rPr>
          <w:rFonts w:ascii="Times New Roman" w:hAnsi="Times New Roman" w:cs="Times New Roman"/>
          <w:b/>
          <w:sz w:val="28"/>
          <w:szCs w:val="28"/>
        </w:rPr>
        <w:t>Тариф</w:t>
      </w:r>
      <w:r w:rsidRPr="00944EA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FD3612" w:rsidRPr="00944EA4" w:rsidRDefault="00FD3612" w:rsidP="00944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EA4">
        <w:rPr>
          <w:rFonts w:ascii="Times New Roman" w:hAnsi="Times New Roman" w:cs="Times New Roman"/>
          <w:sz w:val="28"/>
          <w:szCs w:val="28"/>
          <w:lang w:val="uk-UA"/>
        </w:rPr>
        <w:t>на платну послугу «Стажування лікарів (провізорів) –</w:t>
      </w:r>
      <w:r w:rsidR="006C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EA4">
        <w:rPr>
          <w:rFonts w:ascii="Times New Roman" w:hAnsi="Times New Roman" w:cs="Times New Roman"/>
          <w:sz w:val="28"/>
          <w:szCs w:val="28"/>
          <w:lang w:val="uk-UA"/>
        </w:rPr>
        <w:t xml:space="preserve">інтернів», що надається комунальним некомерційним підприємством </w:t>
      </w:r>
      <w:r w:rsidR="00944EA4" w:rsidRPr="00944E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44EA4">
        <w:rPr>
          <w:rFonts w:ascii="Times New Roman" w:hAnsi="Times New Roman" w:cs="Times New Roman"/>
          <w:sz w:val="28"/>
          <w:szCs w:val="28"/>
          <w:lang w:val="uk-UA"/>
        </w:rPr>
        <w:t>Гайсинська</w:t>
      </w:r>
      <w:r w:rsidR="00944EA4" w:rsidRPr="00944EA4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лікарня  Гайсинської міської ради»</w:t>
      </w:r>
    </w:p>
    <w:p w:rsidR="00FD3612" w:rsidRPr="00944EA4" w:rsidRDefault="00FD3612" w:rsidP="00FD3612">
      <w:pPr>
        <w:jc w:val="center"/>
        <w:rPr>
          <w:sz w:val="28"/>
          <w:szCs w:val="28"/>
          <w:lang w:val="uk-UA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662"/>
        <w:gridCol w:w="1985"/>
      </w:tblGrid>
      <w:tr w:rsidR="00FD3612" w:rsidRPr="00944EA4" w:rsidTr="0061734A">
        <w:trPr>
          <w:trHeight w:val="12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C6008" w:rsidRDefault="00FD3612" w:rsidP="006C6008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3612" w:rsidRPr="006C6008" w:rsidRDefault="00FD3612" w:rsidP="006C6008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C6008" w:rsidRDefault="00FD3612" w:rsidP="006C6008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C6008" w:rsidRDefault="00FD3612" w:rsidP="006C6008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Тариф на 1 </w:t>
            </w:r>
            <w:proofErr w:type="spellStart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gramStart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6C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ПДВ</w:t>
            </w:r>
          </w:p>
        </w:tc>
      </w:tr>
      <w:tr w:rsidR="00FD3612" w:rsidRPr="00944EA4" w:rsidTr="0061734A">
        <w:trPr>
          <w:trHeight w:val="5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944EA4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D3612" w:rsidRPr="00944EA4" w:rsidRDefault="00FD3612" w:rsidP="00CE5546">
            <w:pPr>
              <w:spacing w:before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1734A" w:rsidRDefault="00FD3612" w:rsidP="006C6008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Стажування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лікарів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провізорів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інтернів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базових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закладах та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установах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лікарі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провізори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інтерни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закінчили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недержавні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вищі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фармацевтичні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закінчили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державні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вищі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фармацевтичні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контракту;прийняті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на роботу в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недержавні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недержавні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фармацевтичні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заклади,підприємства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);повторно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проходять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інтернатуру;бажають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отримати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другу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інтернатурі</w:t>
            </w:r>
            <w:proofErr w:type="spellEnd"/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згідно</w:t>
            </w:r>
            <w:proofErr w:type="spellEnd"/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постанови КМУ №1138 </w:t>
            </w:r>
            <w:proofErr w:type="spellStart"/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17.09.1996р</w:t>
            </w:r>
            <w:proofErr w:type="gramStart"/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озділ </w:t>
            </w:r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3B094A" w:rsidRPr="006173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п.30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944EA4" w:rsidRDefault="00FD3612" w:rsidP="00CE5546">
            <w:pPr>
              <w:spacing w:before="40"/>
              <w:rPr>
                <w:rFonts w:ascii="Times New Roman" w:hAnsi="Times New Roman" w:cs="Times New Roman"/>
                <w:sz w:val="16"/>
              </w:rPr>
            </w:pPr>
          </w:p>
          <w:p w:rsidR="00FD3612" w:rsidRPr="00944EA4" w:rsidRDefault="00FD3612" w:rsidP="00CE5546">
            <w:pPr>
              <w:spacing w:before="4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D3612" w:rsidRPr="00944EA4" w:rsidTr="0061734A">
        <w:trPr>
          <w:trHeight w:val="6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944EA4" w:rsidRDefault="00FD3612" w:rsidP="00CE554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1734A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Стажування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лікарі</w:t>
            </w:r>
            <w:proofErr w:type="gram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провізорів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інтернів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спеціальністю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внутрішні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C6008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08">
              <w:rPr>
                <w:rFonts w:ascii="Times New Roman" w:hAnsi="Times New Roman" w:cs="Times New Roman"/>
                <w:sz w:val="28"/>
                <w:szCs w:val="28"/>
              </w:rPr>
              <w:t>208,10</w:t>
            </w:r>
          </w:p>
        </w:tc>
      </w:tr>
      <w:tr w:rsidR="00FD3612" w:rsidRPr="00944EA4" w:rsidTr="0061734A">
        <w:trPr>
          <w:trHeight w:val="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944EA4" w:rsidRDefault="00FD3612" w:rsidP="00CE554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1734A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Стажування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лікарі</w:t>
            </w:r>
            <w:proofErr w:type="gram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провізорів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інтернів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спеціальністю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педіатрія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C6008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08">
              <w:rPr>
                <w:rFonts w:ascii="Times New Roman" w:hAnsi="Times New Roman" w:cs="Times New Roman"/>
                <w:sz w:val="28"/>
                <w:szCs w:val="28"/>
              </w:rPr>
              <w:t>208,10</w:t>
            </w:r>
          </w:p>
        </w:tc>
      </w:tr>
      <w:tr w:rsidR="00FD3612" w:rsidRPr="00944EA4" w:rsidTr="0061734A">
        <w:trPr>
          <w:trHeight w:val="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944EA4" w:rsidRDefault="00FD3612" w:rsidP="00CE554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1734A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Стажування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лікарі</w:t>
            </w:r>
            <w:proofErr w:type="gram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провізорів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інтернів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спеціальністю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«акушерство та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гінекологія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C6008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08">
              <w:rPr>
                <w:rFonts w:ascii="Times New Roman" w:hAnsi="Times New Roman" w:cs="Times New Roman"/>
                <w:sz w:val="28"/>
                <w:szCs w:val="28"/>
              </w:rPr>
              <w:t>208,10</w:t>
            </w:r>
          </w:p>
        </w:tc>
      </w:tr>
      <w:tr w:rsidR="00FD3612" w:rsidRPr="00944EA4" w:rsidTr="0061734A">
        <w:trPr>
          <w:trHeight w:val="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944EA4" w:rsidRDefault="00FD3612" w:rsidP="00CE554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1734A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Стажування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лікарі</w:t>
            </w:r>
            <w:proofErr w:type="gram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провізорів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інтернів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спеціальністю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хірургія</w:t>
            </w:r>
            <w:proofErr w:type="spellEnd"/>
            <w:r w:rsidRPr="00617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12" w:rsidRPr="006C6008" w:rsidRDefault="00FD3612" w:rsidP="00CE5546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08">
              <w:rPr>
                <w:rFonts w:ascii="Times New Roman" w:hAnsi="Times New Roman" w:cs="Times New Roman"/>
                <w:sz w:val="28"/>
                <w:szCs w:val="28"/>
              </w:rPr>
              <w:t>208,10</w:t>
            </w:r>
          </w:p>
        </w:tc>
      </w:tr>
    </w:tbl>
    <w:p w:rsidR="00FD3612" w:rsidRDefault="00FD3612" w:rsidP="00FD3612"/>
    <w:p w:rsidR="00FD3612" w:rsidRPr="006C6008" w:rsidRDefault="00FD3612" w:rsidP="00FD36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008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                                      А.П.</w:t>
      </w:r>
      <w:proofErr w:type="spellStart"/>
      <w:r w:rsidRPr="006C6008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FD3612" w:rsidRPr="006C6008" w:rsidRDefault="00FD3612" w:rsidP="00FD36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612" w:rsidRPr="006C6008" w:rsidRDefault="00FD3612" w:rsidP="00FD36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612" w:rsidRDefault="00FD3612" w:rsidP="00FD36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3612" w:rsidSect="00AB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F155A"/>
    <w:rsid w:val="0000004C"/>
    <w:rsid w:val="000000A7"/>
    <w:rsid w:val="00077E29"/>
    <w:rsid w:val="00095094"/>
    <w:rsid w:val="000B4171"/>
    <w:rsid w:val="000C7F2B"/>
    <w:rsid w:val="00121EF1"/>
    <w:rsid w:val="001700B9"/>
    <w:rsid w:val="00212464"/>
    <w:rsid w:val="00262124"/>
    <w:rsid w:val="002F73CF"/>
    <w:rsid w:val="00365581"/>
    <w:rsid w:val="003765B5"/>
    <w:rsid w:val="003A1A1D"/>
    <w:rsid w:val="003B094A"/>
    <w:rsid w:val="003B7B95"/>
    <w:rsid w:val="003D4F7C"/>
    <w:rsid w:val="003E129C"/>
    <w:rsid w:val="0041745D"/>
    <w:rsid w:val="00450B44"/>
    <w:rsid w:val="004636D6"/>
    <w:rsid w:val="004B3F5C"/>
    <w:rsid w:val="004C3FB0"/>
    <w:rsid w:val="004F155A"/>
    <w:rsid w:val="00512B39"/>
    <w:rsid w:val="00512CBA"/>
    <w:rsid w:val="005862B5"/>
    <w:rsid w:val="005B3B31"/>
    <w:rsid w:val="005C34DF"/>
    <w:rsid w:val="005D3E7F"/>
    <w:rsid w:val="005F0EBF"/>
    <w:rsid w:val="0061734A"/>
    <w:rsid w:val="00640DF1"/>
    <w:rsid w:val="00670F5D"/>
    <w:rsid w:val="00672BB7"/>
    <w:rsid w:val="00696F68"/>
    <w:rsid w:val="006C6008"/>
    <w:rsid w:val="006D54A5"/>
    <w:rsid w:val="006D69EE"/>
    <w:rsid w:val="006F0CD0"/>
    <w:rsid w:val="007223E6"/>
    <w:rsid w:val="007730AF"/>
    <w:rsid w:val="0077318E"/>
    <w:rsid w:val="007B006C"/>
    <w:rsid w:val="00843437"/>
    <w:rsid w:val="00843CD9"/>
    <w:rsid w:val="00885DE6"/>
    <w:rsid w:val="008B3715"/>
    <w:rsid w:val="008E367E"/>
    <w:rsid w:val="00914E24"/>
    <w:rsid w:val="0093193C"/>
    <w:rsid w:val="00944EA4"/>
    <w:rsid w:val="009526F8"/>
    <w:rsid w:val="00955AD4"/>
    <w:rsid w:val="009864E5"/>
    <w:rsid w:val="009A54FD"/>
    <w:rsid w:val="009C5EC9"/>
    <w:rsid w:val="009D4618"/>
    <w:rsid w:val="009E1FAC"/>
    <w:rsid w:val="009F6E7A"/>
    <w:rsid w:val="00A03794"/>
    <w:rsid w:val="00A24445"/>
    <w:rsid w:val="00A57A57"/>
    <w:rsid w:val="00A60653"/>
    <w:rsid w:val="00A67DB5"/>
    <w:rsid w:val="00A802F1"/>
    <w:rsid w:val="00A915D2"/>
    <w:rsid w:val="00AB7C64"/>
    <w:rsid w:val="00AD0E93"/>
    <w:rsid w:val="00B02721"/>
    <w:rsid w:val="00B340D4"/>
    <w:rsid w:val="00B6575E"/>
    <w:rsid w:val="00B7737A"/>
    <w:rsid w:val="00BE6845"/>
    <w:rsid w:val="00C1193B"/>
    <w:rsid w:val="00C126D6"/>
    <w:rsid w:val="00C13CEC"/>
    <w:rsid w:val="00C94A44"/>
    <w:rsid w:val="00CB61D7"/>
    <w:rsid w:val="00CC6608"/>
    <w:rsid w:val="00CF0A58"/>
    <w:rsid w:val="00CF3C66"/>
    <w:rsid w:val="00D26AD4"/>
    <w:rsid w:val="00D40DE8"/>
    <w:rsid w:val="00D71C6C"/>
    <w:rsid w:val="00D837D2"/>
    <w:rsid w:val="00DA6611"/>
    <w:rsid w:val="00DA7829"/>
    <w:rsid w:val="00DC26EC"/>
    <w:rsid w:val="00E22855"/>
    <w:rsid w:val="00E73B91"/>
    <w:rsid w:val="00E90807"/>
    <w:rsid w:val="00ED625E"/>
    <w:rsid w:val="00F54972"/>
    <w:rsid w:val="00FB47DF"/>
    <w:rsid w:val="00FC1E35"/>
    <w:rsid w:val="00FD3612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7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9C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C94A4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C94A44"/>
    <w:pPr>
      <w:keepNext/>
      <w:jc w:val="center"/>
    </w:pPr>
    <w:rPr>
      <w:b/>
      <w:snapToGrid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950E7-0815-4043-ACDA-16B2592F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31</cp:revision>
  <cp:lastPrinted>2022-08-22T11:36:00Z</cp:lastPrinted>
  <dcterms:created xsi:type="dcterms:W3CDTF">2022-08-15T05:32:00Z</dcterms:created>
  <dcterms:modified xsi:type="dcterms:W3CDTF">2022-08-22T11:42:00Z</dcterms:modified>
</cp:coreProperties>
</file>