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08" w:rsidRPr="006D1BF9" w:rsidRDefault="00A05F08" w:rsidP="00A05F0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564696" r:id="rId5"/>
        </w:object>
      </w:r>
    </w:p>
    <w:p w:rsidR="00A05F08" w:rsidRPr="00A51711" w:rsidRDefault="00A05F08" w:rsidP="00A05F08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A05F08" w:rsidRPr="00A51711" w:rsidRDefault="00A05F08" w:rsidP="00A05F0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A05F08" w:rsidRPr="00A51711" w:rsidRDefault="00A05F08" w:rsidP="00A05F08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A05F08" w:rsidRPr="00490219" w:rsidRDefault="00A05F08" w:rsidP="00A05F08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A05F08" w:rsidRPr="006D1BF9" w:rsidRDefault="00A05F08" w:rsidP="00A05F08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</w:t>
      </w:r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F14A9E" w:rsidRPr="00A05F08" w:rsidRDefault="00A05F08" w:rsidP="00A05F0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21 грудня  2022 р. №272.</w:t>
      </w:r>
    </w:p>
    <w:p w:rsidR="00F14A9E" w:rsidRPr="00A64806" w:rsidRDefault="00A05F08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F14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4A9E" w:rsidRPr="00A64806">
        <w:rPr>
          <w:rFonts w:ascii="Times New Roman" w:hAnsi="Times New Roman" w:cs="Times New Roman"/>
          <w:b/>
          <w:sz w:val="28"/>
          <w:szCs w:val="24"/>
          <w:lang w:val="uk-UA"/>
        </w:rPr>
        <w:t>Про затвердження тарифів на платні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медичні послуги в КНП «Гайсинська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центральна районна лікарня Гайсинської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міської ради»</w:t>
      </w:r>
    </w:p>
    <w:p w:rsidR="00F14A9E" w:rsidRPr="00512B39" w:rsidRDefault="00F14A9E" w:rsidP="00F14A9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A9E" w:rsidRPr="0041745D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A9E" w:rsidRPr="00CA5B54" w:rsidRDefault="00A05F08" w:rsidP="00A05F08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>Розглянувши клопотання вх.№</w:t>
      </w:r>
      <w:r w:rsidR="001268B5">
        <w:rPr>
          <w:rFonts w:ascii="Times New Roman" w:hAnsi="Times New Roman" w:cs="Times New Roman"/>
          <w:sz w:val="28"/>
          <w:szCs w:val="24"/>
          <w:lang w:val="uk-UA"/>
        </w:rPr>
        <w:t>266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від </w:t>
      </w:r>
      <w:r w:rsidR="00E60E6F">
        <w:rPr>
          <w:rFonts w:ascii="Times New Roman" w:hAnsi="Times New Roman" w:cs="Times New Roman"/>
          <w:sz w:val="28"/>
          <w:szCs w:val="24"/>
          <w:lang w:val="uk-UA"/>
        </w:rPr>
        <w:t>0</w:t>
      </w:r>
      <w:r w:rsidR="001268B5" w:rsidRPr="001268B5">
        <w:rPr>
          <w:rFonts w:ascii="Times New Roman" w:hAnsi="Times New Roman" w:cs="Times New Roman"/>
          <w:sz w:val="28"/>
          <w:szCs w:val="24"/>
          <w:lang w:val="uk-UA"/>
        </w:rPr>
        <w:t>1</w:t>
      </w:r>
      <w:r w:rsidR="00E60E6F">
        <w:rPr>
          <w:rFonts w:ascii="Times New Roman" w:hAnsi="Times New Roman" w:cs="Times New Roman"/>
          <w:sz w:val="28"/>
          <w:szCs w:val="24"/>
          <w:lang w:val="uk-UA"/>
        </w:rPr>
        <w:t>.1</w:t>
      </w:r>
      <w:r w:rsidR="001268B5" w:rsidRPr="001268B5">
        <w:rPr>
          <w:rFonts w:ascii="Times New Roman" w:hAnsi="Times New Roman" w:cs="Times New Roman"/>
          <w:sz w:val="28"/>
          <w:szCs w:val="24"/>
          <w:lang w:val="uk-UA"/>
        </w:rPr>
        <w:t>2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.2022 р. </w:t>
      </w:r>
      <w:r w:rsidR="001268B5">
        <w:rPr>
          <w:rFonts w:ascii="Times New Roman" w:hAnsi="Times New Roman" w:cs="Times New Roman"/>
          <w:sz w:val="28"/>
          <w:szCs w:val="24"/>
          <w:lang w:val="uk-UA"/>
        </w:rPr>
        <w:t>начальника відділу охорони здоров’я Гайсинської міської ради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М.О.Олійника</w:t>
      </w:r>
      <w:r w:rsidR="00A71E6F" w:rsidRPr="00CA5B54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CA5B5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>щодо затвердження тарифів на</w:t>
      </w:r>
      <w:r w:rsidR="00C23B4A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платні медичні послуги</w:t>
      </w:r>
      <w:r w:rsidR="00E60E6F">
        <w:rPr>
          <w:rFonts w:ascii="Times New Roman" w:hAnsi="Times New Roman" w:cs="Times New Roman"/>
          <w:sz w:val="28"/>
          <w:szCs w:val="24"/>
          <w:lang w:val="uk-UA"/>
        </w:rPr>
        <w:t xml:space="preserve"> «Медичні огляди» </w:t>
      </w:r>
      <w:r w:rsidR="00FA1C0A">
        <w:rPr>
          <w:rFonts w:ascii="Times New Roman" w:hAnsi="Times New Roman" w:cs="Times New Roman"/>
          <w:sz w:val="28"/>
          <w:szCs w:val="24"/>
          <w:lang w:val="uk-UA"/>
        </w:rPr>
        <w:t>згідно постанови кабінету міністрів України від 17.09.1996 р., в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ідповідно до постанови КМУ від 25 грудня 1996 року №1548 «Про встановлення повноважень органів виконавчої влади та виконавчих органів міських рад щодо регулювання цін (тарифів)»(із змінами), керуючись ст.27,29,32 та 52 Закону України «Про місцеве самоврядування в Україні», 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>виконавчий комітет міської  ради  ВИРІШИВ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F14A9E" w:rsidRPr="00CA5B54" w:rsidRDefault="00F14A9E" w:rsidP="00A05F08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1.Затвердити тарифи на платні медичні послуги, що надаються </w:t>
      </w:r>
      <w:r w:rsidR="00416E4D">
        <w:rPr>
          <w:rFonts w:ascii="Times New Roman" w:hAnsi="Times New Roman" w:cs="Times New Roman"/>
          <w:sz w:val="28"/>
          <w:szCs w:val="24"/>
          <w:lang w:val="uk-UA"/>
        </w:rPr>
        <w:t>комунального підприємства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«Гайсинська центральна районна лікарня Гайсинської міської ради» згідно додатк</w:t>
      </w:r>
      <w:r w:rsidR="00FA1C0A">
        <w:rPr>
          <w:rFonts w:ascii="Times New Roman" w:hAnsi="Times New Roman" w:cs="Times New Roman"/>
          <w:sz w:val="28"/>
          <w:szCs w:val="24"/>
          <w:lang w:val="uk-UA"/>
        </w:rPr>
        <w:t>у,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що дода</w:t>
      </w:r>
      <w:r w:rsidR="008D2F4C">
        <w:rPr>
          <w:rFonts w:ascii="Times New Roman" w:hAnsi="Times New Roman" w:cs="Times New Roman"/>
          <w:sz w:val="28"/>
          <w:szCs w:val="24"/>
          <w:lang w:val="uk-UA"/>
        </w:rPr>
        <w:t xml:space="preserve">ється 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>до цього рішення.</w:t>
      </w:r>
    </w:p>
    <w:p w:rsidR="00CA5B54" w:rsidRPr="00CA5B54" w:rsidRDefault="00F14A9E" w:rsidP="00A05F08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lang w:val="uk-UA" w:eastAsia="en-US"/>
        </w:rPr>
      </w:pPr>
      <w:r w:rsidRPr="00CA5B54">
        <w:rPr>
          <w:sz w:val="28"/>
          <w:lang w:val="uk-UA"/>
        </w:rPr>
        <w:t>2.</w:t>
      </w:r>
      <w:r w:rsidR="00CA5B54" w:rsidRPr="00CA5B54">
        <w:rPr>
          <w:rFonts w:eastAsiaTheme="minorHAnsi"/>
          <w:sz w:val="28"/>
          <w:lang w:val="uk-UA" w:eastAsia="en-US"/>
        </w:rPr>
        <w:t>Контроль за виконанням цього рішення покласти на начальника відділу охорони здоров’я Гайсинської міської ради Олійника М.О.</w:t>
      </w:r>
    </w:p>
    <w:p w:rsidR="00F14A9E" w:rsidRPr="00CA5B54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9E" w:rsidRPr="00CA5B54" w:rsidRDefault="00F14A9E" w:rsidP="00A05F08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A5B5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</w:t>
      </w:r>
      <w:r w:rsidR="00CA5B54">
        <w:rPr>
          <w:rFonts w:ascii="Times New Roman" w:hAnsi="Times New Roman" w:cs="Times New Roman"/>
          <w:b/>
          <w:sz w:val="28"/>
          <w:szCs w:val="24"/>
          <w:lang w:val="uk-UA"/>
        </w:rPr>
        <w:t>А.І.</w:t>
      </w:r>
      <w:r w:rsidR="00A05F0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Гук</w:t>
      </w:r>
    </w:p>
    <w:p w:rsidR="00F14A9E" w:rsidRPr="00CA5B54" w:rsidRDefault="00F14A9E" w:rsidP="00CA5B54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14A9E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F4C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8D2F4C" w:rsidRDefault="008D2F4C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F08" w:rsidRDefault="00A05F0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F08" w:rsidRDefault="00A05F0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F08" w:rsidRDefault="00A05F0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F4C" w:rsidRDefault="008D2F4C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A9E" w:rsidRPr="00416E4D" w:rsidRDefault="00F14A9E" w:rsidP="001268B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16E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                                                                    </w:t>
      </w:r>
      <w:r w:rsidR="00A05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                                                                                     </w:t>
      </w:r>
      <w:r w:rsidR="00FE5CD9"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від   </w:t>
      </w:r>
      <w:r w:rsidR="00A05F08">
        <w:rPr>
          <w:rFonts w:ascii="Times New Roman" w:hAnsi="Times New Roman" w:cs="Times New Roman"/>
          <w:sz w:val="28"/>
          <w:szCs w:val="28"/>
          <w:lang w:val="uk-UA"/>
        </w:rPr>
        <w:t>21 грудня</w:t>
      </w:r>
      <w:r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  2022</w:t>
      </w:r>
      <w:r w:rsidR="00416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E4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CA5B54"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E4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05F08">
        <w:rPr>
          <w:rFonts w:ascii="Times New Roman" w:hAnsi="Times New Roman" w:cs="Times New Roman"/>
          <w:sz w:val="28"/>
          <w:szCs w:val="28"/>
          <w:lang w:val="uk-UA"/>
        </w:rPr>
        <w:t>272</w:t>
      </w:r>
    </w:p>
    <w:p w:rsidR="00F14A9E" w:rsidRPr="00416E4D" w:rsidRDefault="00F14A9E" w:rsidP="00F14A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A9E" w:rsidRPr="00416E4D" w:rsidRDefault="00F14A9E" w:rsidP="00F14A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F4C" w:rsidRPr="00416E4D" w:rsidRDefault="008D2F4C" w:rsidP="000B1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278" w:rsidRPr="00416E4D" w:rsidRDefault="000B1278" w:rsidP="000B12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6E4D">
        <w:rPr>
          <w:rFonts w:ascii="Times New Roman" w:hAnsi="Times New Roman" w:cs="Times New Roman"/>
          <w:b/>
          <w:sz w:val="28"/>
          <w:szCs w:val="28"/>
          <w:lang w:val="uk-UA"/>
        </w:rPr>
        <w:t>ТАРИФ</w:t>
      </w:r>
      <w:r w:rsidR="008D2F4C" w:rsidRPr="00416E4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0B1278" w:rsidRPr="00416E4D" w:rsidRDefault="002209A9" w:rsidP="001268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6E4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B1278"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D2F4C"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медичні огляди </w:t>
      </w:r>
      <w:r w:rsidR="003D222F" w:rsidRPr="00416E4D">
        <w:rPr>
          <w:rFonts w:ascii="Times New Roman" w:hAnsi="Times New Roman" w:cs="Times New Roman"/>
          <w:sz w:val="28"/>
          <w:szCs w:val="28"/>
          <w:lang w:val="uk-UA"/>
        </w:rPr>
        <w:t>для отримання виїзної візи (крім службових відряджень державних службовців та при виїзді на лікування за наявності відповідних медичних документів); попередні профілактичні медичні огляди при прийняті на роботу та для отримання посвідчення водія транспортних засобів (крім</w:t>
      </w:r>
      <w:r w:rsidRPr="00416E4D">
        <w:rPr>
          <w:rFonts w:ascii="Times New Roman" w:hAnsi="Times New Roman" w:cs="Times New Roman"/>
          <w:sz w:val="28"/>
          <w:szCs w:val="28"/>
          <w:lang w:val="uk-UA"/>
        </w:rPr>
        <w:t xml:space="preserve"> випадків, коли медичні огляди проводяться за направленнями органів державної служби зайнятості), медичні огляди для отримання дозволу на право отримання та носіння зброї громадянами, а також відповідні періодичні профілактичні медичні огляди, згідно постанови Кабінету міністрів №1138 від 17.09.1996 р.</w:t>
      </w:r>
    </w:p>
    <w:p w:rsidR="004201EB" w:rsidRPr="00416E4D" w:rsidRDefault="004201EB" w:rsidP="00220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8"/>
        <w:gridCol w:w="5954"/>
        <w:gridCol w:w="1701"/>
        <w:gridCol w:w="1462"/>
      </w:tblGrid>
      <w:tr w:rsidR="002209A9" w:rsidRPr="00416E4D" w:rsidTr="00676C76">
        <w:tc>
          <w:tcPr>
            <w:tcW w:w="9679" w:type="dxa"/>
            <w:gridSpan w:val="4"/>
          </w:tcPr>
          <w:p w:rsidR="002209A9" w:rsidRPr="00416E4D" w:rsidRDefault="002209A9" w:rsidP="00220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 попереднього, періодичного огляду, у тому числі на вживання </w:t>
            </w:r>
            <w:proofErr w:type="spellStart"/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речовин</w:t>
            </w:r>
          </w:p>
        </w:tc>
      </w:tr>
      <w:tr w:rsidR="004201EB" w:rsidRPr="00416E4D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54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701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Тариф грн., без ПДВ</w:t>
            </w:r>
          </w:p>
        </w:tc>
        <w:tc>
          <w:tcPr>
            <w:tcW w:w="14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Тариф грн., з ПДВ</w:t>
            </w:r>
          </w:p>
        </w:tc>
      </w:tr>
      <w:tr w:rsidR="004201EB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4201EB" w:rsidRPr="00416E4D" w:rsidRDefault="004201EB" w:rsidP="004201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Проведення медичного огляду лікарем-психіатром</w:t>
            </w:r>
          </w:p>
        </w:tc>
        <w:tc>
          <w:tcPr>
            <w:tcW w:w="1701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216,24</w:t>
            </w:r>
          </w:p>
        </w:tc>
        <w:tc>
          <w:tcPr>
            <w:tcW w:w="14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259,49</w:t>
            </w:r>
          </w:p>
        </w:tc>
      </w:tr>
      <w:tr w:rsidR="004201EB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4201EB" w:rsidRPr="00416E4D" w:rsidRDefault="004201EB" w:rsidP="004201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Забір крові з вени</w:t>
            </w:r>
          </w:p>
        </w:tc>
        <w:tc>
          <w:tcPr>
            <w:tcW w:w="1701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26,20</w:t>
            </w:r>
          </w:p>
        </w:tc>
        <w:tc>
          <w:tcPr>
            <w:tcW w:w="14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31,44</w:t>
            </w:r>
          </w:p>
        </w:tc>
      </w:tr>
      <w:tr w:rsidR="004201EB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5954" w:type="dxa"/>
          </w:tcPr>
          <w:p w:rsidR="004201EB" w:rsidRPr="00416E4D" w:rsidRDefault="004201EB" w:rsidP="004201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 xml:space="preserve">Дослідження активності </w:t>
            </w:r>
            <w:proofErr w:type="spellStart"/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гаммаглутамілтрансферази</w:t>
            </w:r>
            <w:proofErr w:type="spellEnd"/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 xml:space="preserve"> сироватки крові з вени</w:t>
            </w:r>
          </w:p>
        </w:tc>
        <w:tc>
          <w:tcPr>
            <w:tcW w:w="1701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47,31</w:t>
            </w:r>
          </w:p>
        </w:tc>
        <w:tc>
          <w:tcPr>
            <w:tcW w:w="14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56,77</w:t>
            </w:r>
          </w:p>
        </w:tc>
      </w:tr>
      <w:tr w:rsidR="004201EB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4201EB" w:rsidRPr="00416E4D" w:rsidRDefault="004201EB" w:rsidP="004201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Тест на виявлення наркотичних речовин у сечі</w:t>
            </w:r>
          </w:p>
        </w:tc>
        <w:tc>
          <w:tcPr>
            <w:tcW w:w="1701" w:type="dxa"/>
          </w:tcPr>
          <w:p w:rsidR="004201EB" w:rsidRPr="00416E4D" w:rsidRDefault="004201EB" w:rsidP="00D042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144,3</w:t>
            </w:r>
            <w:r w:rsidR="00D04214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462" w:type="dxa"/>
          </w:tcPr>
          <w:p w:rsidR="004201EB" w:rsidRPr="00416E4D" w:rsidRDefault="004201EB" w:rsidP="00D042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173,2</w:t>
            </w:r>
            <w:r w:rsidR="00D04214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4201EB" w:rsidTr="004201EB">
        <w:tc>
          <w:tcPr>
            <w:tcW w:w="562" w:type="dxa"/>
          </w:tcPr>
          <w:p w:rsidR="004201EB" w:rsidRPr="00416E4D" w:rsidRDefault="004201EB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4201EB" w:rsidRPr="00416E4D" w:rsidRDefault="00416E4D" w:rsidP="004201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Повторне отримання форм -100-1/0, 100-2/0</w:t>
            </w:r>
          </w:p>
        </w:tc>
        <w:tc>
          <w:tcPr>
            <w:tcW w:w="1701" w:type="dxa"/>
          </w:tcPr>
          <w:p w:rsidR="004201EB" w:rsidRPr="00416E4D" w:rsidRDefault="00416E4D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49,28</w:t>
            </w:r>
          </w:p>
        </w:tc>
        <w:tc>
          <w:tcPr>
            <w:tcW w:w="1462" w:type="dxa"/>
          </w:tcPr>
          <w:p w:rsidR="004201EB" w:rsidRPr="00416E4D" w:rsidRDefault="00416E4D" w:rsidP="004201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16E4D">
              <w:rPr>
                <w:rFonts w:ascii="Times New Roman" w:hAnsi="Times New Roman" w:cs="Times New Roman"/>
                <w:sz w:val="28"/>
                <w:lang w:val="uk-UA"/>
              </w:rPr>
              <w:t>59,14</w:t>
            </w:r>
          </w:p>
        </w:tc>
      </w:tr>
    </w:tbl>
    <w:p w:rsidR="002209A9" w:rsidRDefault="002209A9" w:rsidP="002209A9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D5943" w:rsidRPr="00A05F08" w:rsidRDefault="004D5943" w:rsidP="004D59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1EB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                                     А.П.</w:t>
      </w:r>
      <w:r w:rsidR="0042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201EB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EA50A8" w:rsidRDefault="00EA50A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0A8" w:rsidRDefault="00EA50A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0A8" w:rsidRDefault="00EA50A8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A50A8" w:rsidSect="00D503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E86395"/>
    <w:rsid w:val="000B1278"/>
    <w:rsid w:val="001268B5"/>
    <w:rsid w:val="002209A9"/>
    <w:rsid w:val="003D222F"/>
    <w:rsid w:val="00416E4D"/>
    <w:rsid w:val="004201EB"/>
    <w:rsid w:val="004D5943"/>
    <w:rsid w:val="0059608F"/>
    <w:rsid w:val="0062408D"/>
    <w:rsid w:val="006340B4"/>
    <w:rsid w:val="00871E52"/>
    <w:rsid w:val="008D2F4C"/>
    <w:rsid w:val="00A05F08"/>
    <w:rsid w:val="00A64806"/>
    <w:rsid w:val="00A71E6F"/>
    <w:rsid w:val="00A91DFC"/>
    <w:rsid w:val="00C23B4A"/>
    <w:rsid w:val="00CA5B54"/>
    <w:rsid w:val="00D04214"/>
    <w:rsid w:val="00D50314"/>
    <w:rsid w:val="00E06719"/>
    <w:rsid w:val="00E53F69"/>
    <w:rsid w:val="00E60E6F"/>
    <w:rsid w:val="00E763CE"/>
    <w:rsid w:val="00E86395"/>
    <w:rsid w:val="00EA50A8"/>
    <w:rsid w:val="00F14A9E"/>
    <w:rsid w:val="00FA1C0A"/>
    <w:rsid w:val="00FE2E08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78"/>
    <w:pPr>
      <w:spacing w:after="0" w:line="240" w:lineRule="auto"/>
    </w:pPr>
    <w:rPr>
      <w:rFonts w:eastAsia="Batang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06"/>
    <w:rPr>
      <w:rFonts w:ascii="Segoe UI" w:hAnsi="Segoe UI" w:cs="Segoe UI"/>
      <w:sz w:val="18"/>
      <w:szCs w:val="18"/>
      <w:lang w:val="ru-RU"/>
    </w:rPr>
  </w:style>
  <w:style w:type="paragraph" w:customStyle="1" w:styleId="1">
    <w:name w:val="Обычный1"/>
    <w:rsid w:val="00A05F08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A05F0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8</cp:revision>
  <cp:lastPrinted>2022-12-01T08:34:00Z</cp:lastPrinted>
  <dcterms:created xsi:type="dcterms:W3CDTF">2022-11-15T09:34:00Z</dcterms:created>
  <dcterms:modified xsi:type="dcterms:W3CDTF">2022-12-26T10:59:00Z</dcterms:modified>
</cp:coreProperties>
</file>