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A3" w:rsidRPr="00B240A3" w:rsidRDefault="00A565F2" w:rsidP="00B24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8.65pt;margin-top:.8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8198334" r:id="rId6"/>
        </w:object>
      </w:r>
      <w:r w:rsidR="00B240A3" w:rsidRPr="00B240A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                                            ПРОЄКТ</w:t>
      </w:r>
    </w:p>
    <w:p w:rsidR="00B240A3" w:rsidRPr="00B240A3" w:rsidRDefault="00B240A3" w:rsidP="00B24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B240A3" w:rsidRPr="00B240A3" w:rsidRDefault="00B240A3" w:rsidP="00B24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B240A3" w:rsidRPr="00B240A3" w:rsidRDefault="00B240A3" w:rsidP="00B24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240A3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B240A3" w:rsidRPr="00B240A3" w:rsidRDefault="00B240A3" w:rsidP="00B24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B240A3" w:rsidRPr="00B240A3" w:rsidRDefault="00B240A3" w:rsidP="00B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B240A3" w:rsidRPr="00B240A3" w:rsidRDefault="00B240A3" w:rsidP="00B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ЧОТИРНАДЦЯТА</w:t>
      </w: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ВОСЬОМОГО СКЛИКАННЯ</w:t>
      </w:r>
    </w:p>
    <w:p w:rsidR="00B240A3" w:rsidRPr="00B240A3" w:rsidRDefault="00B240A3" w:rsidP="00B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B240A3" w:rsidRPr="00B240A3" w:rsidRDefault="00B240A3" w:rsidP="00B2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0A3" w:rsidRPr="00B240A3" w:rsidRDefault="00B240A3" w:rsidP="00B2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A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 »______  2021 року                    смт  Брацлав                                 № 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240A3" w:rsidRPr="00B240A3" w:rsidTr="00CD6962">
        <w:trPr>
          <w:jc w:val="center"/>
        </w:trPr>
        <w:tc>
          <w:tcPr>
            <w:tcW w:w="3095" w:type="dxa"/>
            <w:hideMark/>
          </w:tcPr>
          <w:p w:rsidR="00B240A3" w:rsidRPr="00B240A3" w:rsidRDefault="00B240A3" w:rsidP="00B240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B240A3" w:rsidRPr="00B240A3" w:rsidRDefault="00B240A3" w:rsidP="00B240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B240A3" w:rsidRPr="00B240A3" w:rsidRDefault="00B240A3" w:rsidP="00B240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240A3" w:rsidRPr="00B240A3" w:rsidRDefault="00B240A3" w:rsidP="00B2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0A3" w:rsidRDefault="00B240A3" w:rsidP="00B24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затвердження </w:t>
      </w:r>
      <w:r w:rsidRPr="00B240A3">
        <w:rPr>
          <w:rFonts w:ascii="Times New Roman" w:eastAsia="Calibri" w:hAnsi="Times New Roman" w:cs="Times New Roman"/>
          <w:sz w:val="28"/>
          <w:szCs w:val="28"/>
        </w:rPr>
        <w:t>Положення</w:t>
      </w:r>
    </w:p>
    <w:p w:rsidR="00B240A3" w:rsidRDefault="00B240A3" w:rsidP="00B24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>про порядок найменування або</w:t>
      </w:r>
    </w:p>
    <w:p w:rsidR="00B240A3" w:rsidRPr="00B240A3" w:rsidRDefault="00B240A3" w:rsidP="00B24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>перейменування вулиць,  провулків,</w:t>
      </w:r>
    </w:p>
    <w:p w:rsidR="00B240A3" w:rsidRDefault="00B240A3" w:rsidP="00B24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присвоєння, зміни та анулювання поштових </w:t>
      </w:r>
    </w:p>
    <w:p w:rsidR="00B240A3" w:rsidRPr="00B240A3" w:rsidRDefault="00B240A3" w:rsidP="00B24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>адрес (поділ з присвоєнням окремого поштового номера)</w:t>
      </w:r>
    </w:p>
    <w:p w:rsidR="00B240A3" w:rsidRDefault="00B240A3" w:rsidP="00B24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об’єктам нерухомого майна на території </w:t>
      </w:r>
    </w:p>
    <w:p w:rsidR="00B240A3" w:rsidRPr="00B240A3" w:rsidRDefault="00B240A3" w:rsidP="00B240A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Брацлавської селищної </w:t>
      </w:r>
      <w:r w:rsidRPr="00B240A3">
        <w:rPr>
          <w:rFonts w:ascii="Times New Roman" w:eastAsia="Calibri" w:hAnsi="Times New Roman" w:cs="Times New Roman"/>
          <w:sz w:val="28"/>
          <w:szCs w:val="28"/>
        </w:rPr>
        <w:t>ради</w:t>
      </w:r>
    </w:p>
    <w:p w:rsidR="00B240A3" w:rsidRPr="00B240A3" w:rsidRDefault="00B240A3" w:rsidP="00B240A3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        Керуючись ст. 25, п. 42, 41 ст. </w:t>
      </w:r>
      <w:r>
        <w:rPr>
          <w:rFonts w:ascii="Times New Roman" w:eastAsia="Calibri" w:hAnsi="Times New Roman" w:cs="Times New Roman"/>
          <w:sz w:val="28"/>
          <w:szCs w:val="28"/>
        </w:rPr>
        <w:t>26, ч. 1 ст. 59 Закону України «</w:t>
      </w:r>
      <w:r w:rsidRPr="00B240A3">
        <w:rPr>
          <w:rFonts w:ascii="Times New Roman" w:eastAsia="Calibri" w:hAnsi="Times New Roman" w:cs="Times New Roman"/>
          <w:sz w:val="28"/>
          <w:szCs w:val="28"/>
        </w:rPr>
        <w:t>Про місцеве самоврядування в Україні», з метою впорядкування нумерації об’єктів нерухомості н</w:t>
      </w:r>
      <w:r>
        <w:rPr>
          <w:rFonts w:ascii="Times New Roman" w:eastAsia="Calibri" w:hAnsi="Times New Roman" w:cs="Times New Roman"/>
          <w:sz w:val="28"/>
          <w:szCs w:val="28"/>
        </w:rPr>
        <w:t>а території Брацлавс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селищної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ради та створення єдиного реєстру адрес, відповідно до постанови Кабінету Міністрів України від 25 травня 2011 р. № 559 «Про </w:t>
      </w:r>
      <w:r>
        <w:rPr>
          <w:rFonts w:ascii="Times New Roman" w:eastAsia="Calibri" w:hAnsi="Times New Roman" w:cs="Times New Roman"/>
          <w:sz w:val="28"/>
          <w:szCs w:val="28"/>
        </w:rPr>
        <w:t>містобудівний кадастр»,  селищн</w:t>
      </w:r>
      <w:r w:rsidRPr="00B240A3">
        <w:rPr>
          <w:rFonts w:ascii="Times New Roman" w:eastAsia="Calibri" w:hAnsi="Times New Roman" w:cs="Times New Roman"/>
          <w:sz w:val="28"/>
          <w:szCs w:val="28"/>
        </w:rPr>
        <w:t>а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240A3">
        <w:rPr>
          <w:rFonts w:ascii="Times New Roman" w:eastAsia="Calibri" w:hAnsi="Times New Roman" w:cs="Times New Roman"/>
          <w:sz w:val="28"/>
          <w:szCs w:val="28"/>
        </w:rPr>
        <w:t>В И Р І Ш И ЛА:</w:t>
      </w:r>
    </w:p>
    <w:p w:rsidR="00B240A3" w:rsidRPr="00B240A3" w:rsidRDefault="00B240A3" w:rsidP="00B240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>Затвердити Положення про порядок найменування або перейменування вулиць, провулків, присвоєння, зміни та анулювання поштових адрес (поділ з присвоєнням окремого поштового номера) об’єктам нерухомого майна на території Брацлавської селищної ради (додається).</w:t>
      </w:r>
    </w:p>
    <w:p w:rsidR="00B240A3" w:rsidRPr="00B240A3" w:rsidRDefault="00B240A3" w:rsidP="00B240A3">
      <w:pPr>
        <w:pStyle w:val="a3"/>
        <w:spacing w:after="0"/>
        <w:ind w:left="13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0A3" w:rsidRPr="00B240A3" w:rsidRDefault="00B240A3" w:rsidP="00B24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Виконавчому комітету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Брацлавської селищної </w:t>
      </w:r>
      <w:r w:rsidRPr="00B240A3">
        <w:rPr>
          <w:rFonts w:ascii="Times New Roman" w:eastAsia="Calibri" w:hAnsi="Times New Roman" w:cs="Times New Roman"/>
          <w:sz w:val="28"/>
          <w:szCs w:val="28"/>
        </w:rPr>
        <w:t>ради забезпечити створення єдиного реєстру адрес на підвідомчій території.</w:t>
      </w:r>
    </w:p>
    <w:p w:rsidR="00B240A3" w:rsidRPr="00B240A3" w:rsidRDefault="00B240A3" w:rsidP="00B24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Default="00B240A3" w:rsidP="00B24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даного рішення покласти на постійну депутатську комісію селищної ради з питань комунальної власності, житлово-комунального господарства, енергозбереження та транспорту, зв’язку та благоустрою (голова комісії </w:t>
      </w:r>
      <w:proofErr w:type="spellStart"/>
      <w:r w:rsidRPr="00B240A3">
        <w:rPr>
          <w:rFonts w:ascii="Times New Roman" w:eastAsia="Calibri" w:hAnsi="Times New Roman" w:cs="Times New Roman"/>
          <w:sz w:val="28"/>
          <w:szCs w:val="28"/>
        </w:rPr>
        <w:t>Басовська</w:t>
      </w:r>
      <w:proofErr w:type="spellEnd"/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0A3">
        <w:rPr>
          <w:rFonts w:ascii="Times New Roman" w:eastAsia="Calibri" w:hAnsi="Times New Roman" w:cs="Times New Roman"/>
          <w:sz w:val="28"/>
          <w:szCs w:val="28"/>
        </w:rPr>
        <w:t>В.)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0A3" w:rsidRDefault="00B240A3" w:rsidP="00B240A3">
      <w:pPr>
        <w:spacing w:after="0"/>
        <w:jc w:val="both"/>
      </w:pPr>
    </w:p>
    <w:p w:rsidR="00B240A3" w:rsidRDefault="00B240A3" w:rsidP="00B240A3"/>
    <w:p w:rsidR="00B240A3" w:rsidRDefault="00B240A3" w:rsidP="00B240A3">
      <w:pPr>
        <w:rPr>
          <w:rFonts w:ascii="Times New Roman" w:hAnsi="Times New Roman" w:cs="Times New Roman"/>
          <w:sz w:val="28"/>
        </w:rPr>
      </w:pPr>
      <w:r w:rsidRPr="00B240A3">
        <w:rPr>
          <w:rFonts w:ascii="Times New Roman" w:hAnsi="Times New Roman" w:cs="Times New Roman"/>
          <w:sz w:val="28"/>
        </w:rPr>
        <w:t xml:space="preserve">Селищний голова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B240A3">
        <w:rPr>
          <w:rFonts w:ascii="Times New Roman" w:hAnsi="Times New Roman" w:cs="Times New Roman"/>
          <w:sz w:val="28"/>
        </w:rPr>
        <w:t xml:space="preserve">                               М.М. Кобринчук</w:t>
      </w:r>
    </w:p>
    <w:p w:rsidR="00B240A3" w:rsidRDefault="00B240A3" w:rsidP="00B240A3">
      <w:pPr>
        <w:rPr>
          <w:rFonts w:ascii="Times New Roman" w:hAnsi="Times New Roman" w:cs="Times New Roman"/>
          <w:sz w:val="28"/>
        </w:rPr>
      </w:pP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Додаток</w:t>
      </w:r>
    </w:p>
    <w:p w:rsidR="0066616F" w:rsidRDefault="00B240A3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                                                     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       до рішення </w:t>
      </w:r>
    </w:p>
    <w:p w:rsidR="00B240A3" w:rsidRPr="00B240A3" w:rsidRDefault="0066616F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від _________2021р. № __</w:t>
      </w:r>
    </w:p>
    <w:p w:rsidR="0066616F" w:rsidRDefault="0066616F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ПОЛОЖЕННЯ</w:t>
      </w:r>
    </w:p>
    <w:p w:rsid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про порядок найменування або перейменування вулиць, провулків, присвоєння, зміни та анулювання поштових адрес (поділ з присвоєнням окремого поштового номера) об’єктам нерухомого майна на </w:t>
      </w:r>
      <w:r w:rsidR="0066616F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території Брацлавськ</w:t>
      </w: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ої </w:t>
      </w:r>
      <w:r w:rsidR="0066616F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селищної </w:t>
      </w: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ради</w:t>
      </w:r>
    </w:p>
    <w:p w:rsidR="0066616F" w:rsidRPr="00B240A3" w:rsidRDefault="0066616F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</w:p>
    <w:p w:rsidR="00B240A3" w:rsidRPr="0066616F" w:rsidRDefault="00B240A3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uk-UA"/>
        </w:rPr>
      </w:pPr>
      <w:r w:rsidRPr="0066616F">
        <w:rPr>
          <w:b/>
          <w:color w:val="333333"/>
          <w:sz w:val="28"/>
          <w:szCs w:val="28"/>
          <w:bdr w:val="none" w:sz="0" w:space="0" w:color="auto" w:frame="1"/>
          <w:lang w:val="uk-UA"/>
        </w:rPr>
        <w:t>1. Загальні положення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1.1. Порядок найменування або перейменування вулиць, провулків, присвоєння, зміни та анулювання поштових адрес об’єктам нерухомого майна (далі – Порядок) спрямований на створення механізму присвоєння та зміни поштових адрес, впорядкування нумерації об’єктів нерухомого майна, створення сприятливих умов для володіння, користування та розпорядження об’єктами нерухомості їх власниками (користувачами), зруч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ного користування мешканцями громади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обслуговуючими організаціями (установами).</w:t>
      </w:r>
    </w:p>
    <w:p w:rsidR="0066616F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1.2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. Порядок діє на території Брацлавської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1.3. Відповідно до мети цього Порядку наведені в ньому терміни вживаються в таких значеннях: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вулиця – смуга території, обмежена червоними лініями, яка призначена для руху транспортних засобів і пішоходів, з усіма розташованими на ній спорудами 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провулок - смуга території, що з’єднує дві інші вулиці, яка призначена для руху транспортних засобів і пішоходів, обмежена двома вулицями з рядами будинків із проїздом та проходом між цими рядами чи без них;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адреса - ідентифікатор об’єкта нерухомого майна, який складається з номеру об’єкта та назви вулиці 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нерухоме майно - земельні ділянки, а також об’єкти, розташовані на земельних ділянках (їх частини), переміщення яких є неможливим;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мала архітектурна форма – невелика одноповерхова пересувна споруда, яка не має закритого приміщення для тимчасового перебування людей, або стаціонарна споруда, яка має закрите приміщення для тимчасового перебування людей і по зовні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шньому контуру має площу до 30м</w:t>
      </w:r>
      <w:r w:rsidR="0066616F" w:rsidRPr="0066616F">
        <w:rPr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, яка виконується із полегшених конструкцій і встановлюється тимчасово без улаштування фундаментів;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власники об’єктів нерухомого майна - юридичні та фізичні особи, у тому числі фізичні особи - суб’єкти підприємницької діяльності;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– два і більше жилих будинків, з належними до них надвірними будівлями чи спорудами (чи без них), яким надана єдина адреса;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жилий (житловий) будинок – одна будівля капітального типу, призначена для проживання фізичних осіб;</w:t>
      </w:r>
    </w:p>
    <w:p w:rsidR="0066616F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- проїзд - смуга території, призначена для руху транспортних засобів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br/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1.4. Надання адреси чи її зміна допускається щодо: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br/>
        <w:t>- вільних земельних ділянок, які виділяються під будівництво об’єктів;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br/>
        <w:t>- об’єктів, що розташовані на земельній ділянці, які будуються та вже існуючим (впорядкування нумерації).</w:t>
      </w:r>
    </w:p>
    <w:p w:rsidR="00B240A3" w:rsidRPr="00B240A3" w:rsidRDefault="0066616F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B240A3"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1.5. Не надаються самостійні адреси наступним об’єктам нерухомості: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земельним ділянкам під розміщення малих архітектурних форм, рекламу, дороги, газопроводи, електромережі;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об’єктам незавершеного капітального будівництва;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окремо розташованим гаражам, автозаправним станціям при відсутності документів про надання земельної ділянки у власність, оренду під капітальне будівництво або постійне користування;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об’єктам нерухомості, що знаходяться (виділяються) в межах червоних ліній вулиць;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об’єктам, які відносяться до категорії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самозабудови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, без наявності оформлених документів відповідно до законодавства та цього Порядку.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1.6. Надання адреси об’єкту нерухомого майна (капітальним спорудам), які приймаються в експлуатацію у встановленому законом порядку та існуючим об’єктам нерухомого майна, що знаходяться на земельних ділянках, здійснюється на підставі цього Порядку шляхом прийняття відповідного ріше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ння виконавчим комітетом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1.7. Земельним ділянкам, які у встановленому законом порядку надаються у власність, оренду та постійне користування, присвоєння адрес здійснюється, враховуючи найменування існуючої вулиці (провулку, проспекту та інше). Номер земельної ділянки назначається наступним після суміжного об’єкту нерухомого майна з адресою, що вже існує, або з урахуванням перспективної забудови, враховуючи вимоги даного Порядку.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 1.8. Надання адреси земельній ділянці, яка надається у власність чи оренду (постійне користування) у встановленому законом порядку, здійснюється на підставі цього П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орядку, шляхом прийняття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 рішення про затвердження проекту відведення земельної ділянки з урахуванням пропозицій Комісії, за виключенням випадків встановлених п.1.5. цього Порядку.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1.9. Надання та зміна назви вулиці здійснюється на підставі цього П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орядку, шляхом прийняття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 рішення.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 Розгляд та перелік документів щодо присвоєння та зміни поштових адрес об’єктам нерухомого майна.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2.1. Для надання чи зміни поштових адрес об’єктам нерухомості власник об’єкта нерухом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ого майна подає заяву до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2.2. До заяви додаються такі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фізичної особи – копія паспорта;</w:t>
      </w:r>
    </w:p>
    <w:p w:rsidR="00B240A3" w:rsidRPr="00B240A3" w:rsidRDefault="00B240A3" w:rsidP="0066616F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юридичної особи та фізичної особи підприємця – копія свідоцтва (Витягу) про державну реєстрацію;</w:t>
      </w:r>
    </w:p>
    <w:p w:rsidR="00B240A3" w:rsidRPr="00B240A3" w:rsidRDefault="00B240A3" w:rsidP="0066616F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копія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правоустановчого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документа, який підтверджує право власності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(користування) на земельну ділянку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у випадку, коли адреса присвоюється земельній ділянці);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копія правовстановлюючого документа, який підтверджує право власності заявника на об’єкт нерухомого майна (протокол загальних зборів співвласників майнових паїв колишнього сільськогосподарського підприємства про виділення в натурі об’єкта, акт передачі об’єкта нерухомого майна від спілки співвласників громадянину чи юридичній особі, технічний паспорт на об’єкт нерухомого майна, тощо);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документ, що засвідчує відповідність закінченого будівництва об’єкта проектній документації, державним будівельним нормам, стандартам і правилам (декларацію про закінчення будівництва та введення його в експлуатацію- у випадках присвоєння поштової адреси новозбудованим об’єктам нерухомого майна);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довідка Бюро технічної інвентаризації щодо відсутності зареєстрованого об’єкта нерухомості за вказаною адресою.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2.3. До заяви про присвоєння поштової адреси земельній ділянці додаються такі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фізичної особи – копія паспорта;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юридичної особи та фізичної особи підприємця – копія свідоцтва Витягу) про державну реєстрацію;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документація із зем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леустрою, що затверджена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довідка  про відсутність реєстрації земельної ділянки за зазначеною адресою.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2.4.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Комісія з присвоєння зміни та анулювання поштових адрес об’єктам нерухомого майна в складі старости, секретаря та од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ного із членів виконкому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розглядає заяви про присвоєння або зміну поштової адреси та готує відповідний проект ріше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ння виконавчого комітету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2.5.Розгляд звернень та підготовка пр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оектів рішення виконкому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проводиться у термін, який з дня отримання звернення не повинен перевищувати 30 календарних днів (в разі наявності всіх документів).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2.6. У разі відсутності підстав для надання чи зміни адреси, приймається мотивоване рішення виконкому та повідомляється заявнику щодо неможливості надання чи зміни адреси.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 Порядок надання та зміни назви вулиці.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3.1. Надання назви вулиці здійс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нюється шляхом прийняття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 рішення та внесенням відповідних змін.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 Зміна назви вулиці здійснюється в наступному порядку:</w:t>
      </w:r>
    </w:p>
    <w:p w:rsidR="00B240A3" w:rsidRPr="00B240A3" w:rsidRDefault="00E8105E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3.2.1. Селищн</w:t>
      </w:r>
      <w:r w:rsidR="00B240A3"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им головою за заявою ініціативної групи мешканців вулиці, приймається розпорядження про проведення громадських слухань серед мешканців вулиці, яку збираються перейменувати.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3.2.2. В громадських слуханнях обов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’язково приймають участь селищний голова, секретар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та депутат цього округу (депутати, якщо вулиці проходить по кількох депутатським округам).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3.2.3. Підготовку до громадських слухань здійснює ініціативна група, за проханням яких проводяться такі громадські слухання.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3.2.4. Громадські слухання вважаються такими, що відбулися, якщо на них були присутні не менше як 20% повнолітніх мешканців, що проживають (зареєстровані) на цієї вулиці. Присутність підтверджується підписами в реєстраційній відомості громадських слухань, що є не від’ємною частиною від рішення громадських слухань. В реєстраційну відомість громадських слухань записуються лише ті повнолітні особи, що проживають (зареєстровані) на цій вулиці.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3.2.5. На громадських слуханнях обирається голова та секретар, які ведуть громадські слухання, складають та підписують протокол громадських слухань.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3.2.6. Протокол громадських слухань обов’язково підписують присутні на громадських слуханнях сільський голова, секретар сільської ради та депутат цього округу (депутати, якщо вулиці проходить по кількох депутатським округам).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3.2.7. В разі прийняття на громадських слуханням позитивного рішення про перейменування вулиці, це питан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ня виноситься на розгляд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A565F2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3.2.8. На підставі прийнятого на громадських слуханнях рішення п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ро перейменування вулиці,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а рада приймає рішення про перейменування вулиці з внесенням відповідних змін до документації та повідомляє про це </w:t>
      </w:r>
      <w:r w:rsidR="00E8105E" w:rsidRPr="00A565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Вінниц</w:t>
      </w:r>
      <w:r w:rsidRPr="00A565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ьку філію</w:t>
      </w:r>
      <w:r w:rsidRPr="00A565F2">
        <w:rPr>
          <w:sz w:val="28"/>
          <w:szCs w:val="28"/>
          <w:bdr w:val="none" w:sz="0" w:space="0" w:color="auto" w:frame="1"/>
          <w:lang w:val="uk-UA"/>
        </w:rPr>
        <w:t> </w:t>
      </w:r>
      <w:r w:rsidRPr="00A565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Державного</w:t>
      </w:r>
      <w:r w:rsidRPr="00A565F2">
        <w:rPr>
          <w:sz w:val="28"/>
          <w:szCs w:val="28"/>
          <w:bdr w:val="none" w:sz="0" w:space="0" w:color="auto" w:frame="1"/>
          <w:lang w:val="uk-UA"/>
        </w:rPr>
        <w:t> </w:t>
      </w:r>
      <w:r w:rsidRPr="00A565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підприємства "Національні інформаційні системи"</w:t>
      </w:r>
      <w:r w:rsidRPr="00A565F2">
        <w:rPr>
          <w:sz w:val="28"/>
          <w:szCs w:val="28"/>
          <w:bdr w:val="none" w:sz="0" w:space="0" w:color="auto" w:frame="1"/>
          <w:lang w:val="uk-UA"/>
        </w:rPr>
        <w:t> Міністерства юстиції України.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3.3. Такий порядок встановлюється для найменування або перейменування провулків.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 Види адрес та особливості їх надання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 Відповідно до цього Порядку, у залежності від виду та особливостей об’єктів нерухомого майна, надаються такі види адрес: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4.1.1. Адреси жилих будинків, домоволодінь, квартир (адреса на які відсутні в наявності). Жилим будинкам, домоволодінням, квартирам надається адреса, яка складається з назви вулиці, номера будинку (домоволодіння) та номера квартири (за наявності). Номер будинку (домоволодіння), квартири позначається відповідною арабською цифрою.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Наприклад: Повна адреса (для реєстрації): вулиця Пушкіна, будинок 27, квартира 5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Скорочена адреса: вул. Пушкіна, буд. 27,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кв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 5. вул. Пушкіна,27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4.1.2.У випадках, коли на відповідній вулиці збудовано нові жилі будівлі (знаходиться декілька існуючих споруд), і їм, виходячи з вже наявної нумерації об’єктів нерухомого майна по вулиці, на якій вони фактично знаходяться, неможливо надати номер, який є цілим числом, такий об’єкт нерухомого майна при наданні адреси позначається номером найближчого об’єкта нерухомого майна по відповідному боку вулиці в бік збільшення з відповідною літерою.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Наприклад: Повна адреса (для реєстрації): вулиця Пушкіна, будинок 29А, квартира 5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Скорочена адреса: вул. Пушкіна, буд. 29А, кв.5 вул. Пушкіна,29А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4.1.3. При наданні адрес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окремій частині житлового будинку, нежитловому приміщенню зазначається великими буквами алфавіту в наростаючому порядку після номера відповідного будинку.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Наприклад: власник об’єкта нерухомого майна придбав у власність частину нежитлового приміщення для розміщення офісу, у цьому випадку таким нежилим приміщенням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надасться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 адреса: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Повна адреса (для реєстрації): вулиця Пушкіна, будинок 29, нежитлове приміщення А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Скорочена адреса: вул. Пушкіна, 29А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Приклад для житлового будинку на два входи 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Повна адреса ( для реєстрації) : вулиця Пушкіна, будинок 29А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та вулиця Пушкіна , будинок 29Б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Адреси надаються лише тим окремим частинам об’єктів, що мають окремі входи.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4.1.4.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У разі, коли у власника об’єкта нерухомого майна на законних підставах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виникло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право власності на об’єкт нерухомого майна, який знаходився у складі інших об’єктів нерухомого майна, що мали єдину адресу (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комплекс нежилих будинків), то такий об’єкт нерухомого майна позначається номером цього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 з вказівкою номера корпусу з відповідною арабською цифрою.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Термін “корпус” може застосовуватися для позначення окремого будинку, що знаходився у складі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, комплексів нежилих будинків і є самостійним об’єктом права власності.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При присвоєнні адрес кільком будинкам, що знаходилися у складі одного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, комплексу нежилих будинків і є самостійними об’єктами права власності, цифри для позначення номерів відповідних будинків визначаються від 1... і нескінченно, виходячи з порядку надходження відповідних заяв власників.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Наприклад: по вул. Дружби, 25 будинки, що складали цілісний майновий комплекс залізничної станції, відчужені двом власникам. У цьому випадку надана адреса буде виглядати наступним чином: вул. Дружби, 151,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. 1; вул. Дружби, 151,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 2.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Якщо присвоєння адреси окремому будинку, що знаходився у складі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комплексу нежилих будинків і є самостійним об’єктом права власності, за номером, який був наданий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будинковолодінню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будинків, не відповідає фактичному місцю розташування такого будинку, то присвоєння йому адреси здійснюється за назвою тієї вулиці, де він фактично знаходиться, за правилами, встановленими цим Порядком.</w:t>
      </w:r>
    </w:p>
    <w:p w:rsidR="00B240A3" w:rsidRPr="00B240A3" w:rsidRDefault="00B240A3" w:rsidP="00E8105E">
      <w:pPr>
        <w:pStyle w:val="a4"/>
        <w:widowControl w:val="0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4.1.5.При присвоєнні адрес окремій частині будинку, яка знаходилась у складі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комплексу нежилих будинків, окрема частина будинку позначається номером цього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 з вказівкою номера корпусу чи приміщення з відповідною арабською цифрою.</w:t>
      </w:r>
    </w:p>
    <w:p w:rsidR="00B240A3" w:rsidRPr="00B240A3" w:rsidRDefault="00B240A3" w:rsidP="00E8105E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Наприклад: власник об’єкта нерухомого майна придбав у власність нежилий </w:t>
      </w: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lastRenderedPageBreak/>
        <w:t xml:space="preserve">будинок, який знаходився у складі комплексу нежилих будинків по вул. Дружби, 25. За заявою власника придбаному будинку була надана адреса: вул. Дружби, 25,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. 1. Згодом у вказаному будинку іншій особі були відчужені нежилі приміщення для розміщення офісу. У цьому випадку таким нежилим приміщенням надається адреса: вул. Дружби, 25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 1, прим 1.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4.1.6. У разі потреби в присвоєнні адреси об’єкту нерухомого майна, власник (власники) який (які) набув (набули) права власності на нього (його окрему частину) та звернувся (звернулися) у встановлен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ому порядку до виконкому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ради, адреса присвоюється відповідно до вимог цього Порядку зі збереженням позначень, використаних в адресі, яка була надана раніше.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Наприклад: особа придбала частину офісних приміщень, яким раніше була присвоєна адреса: вул. Жовтнева, 6. Зазначена адреса змінена не була. У цьому випадку адреса придбаної частині офісних приміщень буде виглядати наступним чином: вул. Жовтнева, 6, прим. 1.</w:t>
      </w:r>
    </w:p>
    <w:p w:rsidR="00B240A3" w:rsidRPr="00A565F2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A565F2">
        <w:rPr>
          <w:sz w:val="28"/>
          <w:szCs w:val="28"/>
          <w:bdr w:val="none" w:sz="0" w:space="0" w:color="auto" w:frame="1"/>
          <w:lang w:val="uk-UA"/>
        </w:rPr>
        <w:t>4.1.7. Адреси об’єктів нерухомого майна з використанням назв іменованих об’єктів.</w:t>
      </w:r>
    </w:p>
    <w:p w:rsidR="00B240A3" w:rsidRPr="00A565F2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65F2">
        <w:rPr>
          <w:sz w:val="28"/>
          <w:szCs w:val="28"/>
          <w:bdr w:val="none" w:sz="0" w:space="0" w:color="auto" w:frame="1"/>
          <w:lang w:val="uk-UA"/>
        </w:rPr>
        <w:t>В адресах об’єктів нерухомого майна можуть використовуватись назви іменованих об’єктів </w:t>
      </w:r>
      <w:r w:rsidR="00B85388" w:rsidRPr="00A565F2">
        <w:rPr>
          <w:sz w:val="28"/>
          <w:szCs w:val="28"/>
          <w:bdr w:val="none" w:sz="0" w:space="0" w:color="auto" w:frame="1"/>
          <w:lang w:val="uk-UA"/>
        </w:rPr>
        <w:t>Брацлавськ</w:t>
      </w:r>
      <w:r w:rsidRPr="00A565F2">
        <w:rPr>
          <w:sz w:val="28"/>
          <w:szCs w:val="28"/>
          <w:bdr w:val="none" w:sz="0" w:space="0" w:color="auto" w:frame="1"/>
          <w:lang w:val="uk-UA"/>
        </w:rPr>
        <w:t>ої</w:t>
      </w:r>
      <w:r w:rsidR="00B85388" w:rsidRPr="00A565F2">
        <w:rPr>
          <w:sz w:val="28"/>
          <w:szCs w:val="28"/>
          <w:bdr w:val="none" w:sz="0" w:space="0" w:color="auto" w:frame="1"/>
          <w:lang w:val="uk-UA"/>
        </w:rPr>
        <w:t xml:space="preserve"> селищної ради</w:t>
      </w:r>
      <w:r w:rsidRPr="00A565F2">
        <w:rPr>
          <w:sz w:val="28"/>
          <w:szCs w:val="28"/>
          <w:bdr w:val="none" w:sz="0" w:space="0" w:color="auto" w:frame="1"/>
          <w:lang w:val="uk-UA"/>
        </w:rPr>
        <w:t>, якщо ідентифікувати об’єкт нерухомого майна без вказівки на назву іменованого об’єкта є неможливим, або в адресі, раніше наданій об’єкту нерухомого майна, використовується вказівка на іменований об’єкт, або використання назви іменованого об’єкта визнано необхідним для збереження історичного колориту населеного пункту.</w:t>
      </w:r>
    </w:p>
    <w:p w:rsidR="00B240A3" w:rsidRPr="00A565F2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65F2">
        <w:rPr>
          <w:sz w:val="28"/>
          <w:szCs w:val="28"/>
          <w:bdr w:val="none" w:sz="0" w:space="0" w:color="auto" w:frame="1"/>
          <w:lang w:val="uk-UA"/>
        </w:rPr>
        <w:t xml:space="preserve">Назва іменованого об’єкта в адресі об’єкта нерухомого майна зазначається перед назвою вулиці. Якщо у складі іменованого об’єкта вулиця відсутня, то назва вулиці не вказується. Нумерація жилих будинків, </w:t>
      </w:r>
      <w:proofErr w:type="spellStart"/>
      <w:r w:rsidRPr="00A565F2">
        <w:rPr>
          <w:sz w:val="28"/>
          <w:szCs w:val="28"/>
          <w:bdr w:val="none" w:sz="0" w:space="0" w:color="auto" w:frame="1"/>
          <w:lang w:val="uk-UA"/>
        </w:rPr>
        <w:t>будинковолодінь</w:t>
      </w:r>
      <w:proofErr w:type="spellEnd"/>
      <w:r w:rsidRPr="00A565F2">
        <w:rPr>
          <w:sz w:val="28"/>
          <w:szCs w:val="28"/>
          <w:bdr w:val="none" w:sz="0" w:space="0" w:color="auto" w:frame="1"/>
          <w:lang w:val="uk-UA"/>
        </w:rPr>
        <w:t>, корпусів, квартир, нежилих (нежитлових) будинків, їх комплексів, окремих частин будинків здійснюється в адресі з використанням назви іменованого об’єкта відповідно до вимог цього Порядку.</w:t>
      </w:r>
    </w:p>
    <w:p w:rsidR="00B240A3" w:rsidRPr="00A565F2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65F2">
        <w:rPr>
          <w:i/>
          <w:iCs/>
          <w:sz w:val="28"/>
          <w:szCs w:val="28"/>
          <w:bdr w:val="none" w:sz="0" w:space="0" w:color="auto" w:frame="1"/>
          <w:lang w:val="uk-UA"/>
        </w:rPr>
        <w:t>Наприклад: власник придбав будинок, який розташований в парку «Дружба». У цьому випадку адреса, надана вказаному будинку, буде мати такий вигляд: парк «Дружба», будівля "Розважального комплексу".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4.1.8.При присвоєнні адрес об’єктам нерухомого майна використовуються наступні типи: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вулиця;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провулок;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проспект;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бульвар;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площа;</w:t>
      </w:r>
      <w:bookmarkStart w:id="0" w:name="_GoBack"/>
      <w:bookmarkEnd w:id="0"/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інші (шлях, майдан, узвіз, шосе, сквер тощо).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Вулиці зазначаються в адресі таким чином: спочатку вказується один із типів вулиці, а потім її назва.</w:t>
      </w:r>
    </w:p>
    <w:p w:rsidR="00B240A3" w:rsidRPr="00B240A3" w:rsidRDefault="00B240A3" w:rsidP="00B85388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Найменування вулиць, які віднесені до типу “інші”, можуть зазначатися в адресі таким чином: спочатку назва вулиці, а потім її тип.</w:t>
      </w:r>
    </w:p>
    <w:p w:rsidR="00B240A3" w:rsidRPr="00B240A3" w:rsidRDefault="00B240A3" w:rsidP="00B85388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Назви вулиць, які складаються з імені та прізвища, зазначаються в адресі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таким чином: спочатку ім’я, а потім прізвище.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Назви вулиць, які походять від псевдонімів, зазначаються в звичайному порядку.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Назви вулиць, які складаються із звання та прізвища, зазначаються в адресі таким чином: спочатку звання, а потім прізвище.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4.1.9. У разі, коли у власника об’єкта нерухомого майна на законних підставах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виникло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право власності на об’єкт нерухомого майна, який знаходиться поза межами населених пунктів, то такий об’єкт нерухомого майна позначається номером цього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 з вказівкою, що розташовано поза межами населених пунктів із прив’язкою до найближчого населеного пункту.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Наприклад: власник об’єкта нерухомого майна придбав у власність свиноферму. У цьому випадку таким нежилим приміщенням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надасться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 адреса: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Повна адреса (для реєстрації): Комплекс будівель і споруд поза межами села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Райгородок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, нежитлове приміщення (свиноферма) А, нежитлове приміщення (склад) Б і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т.д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4.2.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Адреси об’єктів нерухомого майна, які були надані до введення в дію цього Порядку, можуть бути змінені для приведення їх у відповідність до цього Порядку за бажанням власника об’єкта нерухомого майна або </w:t>
      </w:r>
      <w:r w:rsidRPr="00B240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бути похідними від найменування тих адміністративних одиниць, які є їх адміністративними центрами, або географічного чи історичного найменування тієї частини території, де розташовані ці адміністративно-територіальні одиниці.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4.3. У разі по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>треби виконавчий комітет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може самостійно змінювати адресу будівель (окремого об’єкту), про що повідомляється власник цього об’єкту та БТІ.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4.5. Підставами для зміни адреси жилих будинків, будівель, споруд є: перейменування вулиць, поділ об'єктів нерухомості на самостійні частини, об'єднання об'єктів, упорядкування елементів забудови тощо.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4.6.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Для внесення змін до адреси об'єкту до заяви додаються наступні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нотаріально засвідчені копії установчих документів (юридичні особи), паспорт, ідентифікаційний номер (фізичні особи);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нотаріально засвідчена копія правовстановлюючих документів, що посвідчують право власності на об'єкт нерухомого майна;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документи, що засвідчують відповідність закінченого реконструкцією об'єкту проектній документації, державним будівельним нормам, стандартам і правилам (сертифікат відповідності, декларація тощо);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документи, що підтверджують право власності або користування земельною ділянкою (за наявності);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технічний паспорт;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витяг з Єдиного реєстру заборон відчуження об'єктів нерухомого майна, витяг з Державного реєстру обтяжень рухомого майна;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інші документи у разі необхідності.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4.7.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Підставами для анулювання адреси жилого будинку, будівлі, споруди є повне руйнування (ліквідація) самого об'єкта адресації, скасування рішень про надання земельних ділянок, розподіл об'єкта на самостійні частини з присвоєнням кожній частині нових адрес тощо.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4.8. Для анулювання адреси об'єкту до заяви додаються наступні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нотаріально засвідчені копії установчих документів (юридичні особи), паспорт, ідентифікаційний номер (фізичні особи);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нотаріально засвідчена копія правовстановлюючих документів, що посвідчують право власності на об'єкт нерухомого майна,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документи що підтверджують право власності або користування земельною ділянкою (за наявності);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акт про повне знесення (руйнування) будівлі і зняття її з технічного обліку або про розподіл інвентарної справи на частини у зв'язку з присвоєнням кожній частині будівлі різних адрес;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-фотофіксація об'єкта;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інші документи у разі необхідності.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5.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Заяви, повний пакет документів та вся інформація щодо адрес зберігається у виконкомі на паперових носіях, а також в електронному вигляді та використовується для упорядкування об’єктів благоустрою.</w:t>
      </w:r>
    </w:p>
    <w:p w:rsidR="00B240A3" w:rsidRDefault="00B240A3" w:rsidP="00B240A3">
      <w:pPr>
        <w:rPr>
          <w:rFonts w:ascii="Times New Roman" w:hAnsi="Times New Roman" w:cs="Times New Roman"/>
          <w:sz w:val="28"/>
          <w:szCs w:val="28"/>
        </w:rPr>
      </w:pPr>
    </w:p>
    <w:p w:rsidR="00B85388" w:rsidRDefault="00B85388" w:rsidP="00B2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5388" w:rsidRPr="00B240A3" w:rsidRDefault="00B85388" w:rsidP="00B2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 селищної ради                                         Т.В. Непийвода</w:t>
      </w:r>
    </w:p>
    <w:sectPr w:rsidR="00B85388" w:rsidRPr="00B240A3" w:rsidSect="00B240A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97D23"/>
    <w:multiLevelType w:val="hybridMultilevel"/>
    <w:tmpl w:val="454021D8"/>
    <w:lvl w:ilvl="0" w:tplc="EF8EDD74">
      <w:start w:val="1"/>
      <w:numFmt w:val="decimal"/>
      <w:lvlText w:val="%1."/>
      <w:lvlJc w:val="left"/>
      <w:pPr>
        <w:ind w:left="13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3"/>
    <w:rsid w:val="004911F9"/>
    <w:rsid w:val="0066616F"/>
    <w:rsid w:val="00A565F2"/>
    <w:rsid w:val="00AD5B21"/>
    <w:rsid w:val="00AE58C6"/>
    <w:rsid w:val="00B240A3"/>
    <w:rsid w:val="00B85388"/>
    <w:rsid w:val="00D939DE"/>
    <w:rsid w:val="00E55E4B"/>
    <w:rsid w:val="00E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4065A1-3790-47DB-9CCD-9CEDCB9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8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2021-07-08T08:21:00Z</cp:lastPrinted>
  <dcterms:created xsi:type="dcterms:W3CDTF">2021-07-08T07:42:00Z</dcterms:created>
  <dcterms:modified xsi:type="dcterms:W3CDTF">2021-07-19T08:12:00Z</dcterms:modified>
</cp:coreProperties>
</file>