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CC2F76" w:rsidP="004F1371">
      <w:pPr>
        <w:spacing w:after="0" w:line="240" w:lineRule="auto"/>
        <w:ind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eastAsia="ru-RU" w:bidi="ru-RU"/>
        </w:rPr>
        <w:t xml:space="preserve">                                                                                 </w:t>
      </w:r>
      <w:r w:rsidR="001351AC">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 xml:space="preserve">     </w:t>
      </w:r>
      <w:r w:rsidR="001351AC"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CC2F76" w:rsidRDefault="00AC6D4D"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306DDF">
        <w:rPr>
          <w:rFonts w:ascii="Times New Roman" w:eastAsia="Times New Roman" w:hAnsi="Times New Roman" w:cs="Times New Roman"/>
          <w:sz w:val="24"/>
          <w:szCs w:val="24"/>
          <w:lang w:eastAsia="ru-RU"/>
        </w:rPr>
        <w:t>,</w:t>
      </w:r>
      <w:r w:rsidR="00306DDF" w:rsidRPr="00306DDF">
        <w:rPr>
          <w:rFonts w:ascii="Times New Roman" w:eastAsia="Times New Roman" w:hAnsi="Times New Roman" w:cs="Times New Roman"/>
          <w:sz w:val="24"/>
          <w:szCs w:val="24"/>
          <w:lang w:eastAsia="ru-RU"/>
        </w:rPr>
        <w:t xml:space="preserve"> </w:t>
      </w:r>
      <w:r w:rsidR="00306DDF">
        <w:rPr>
          <w:rFonts w:ascii="Times New Roman" w:eastAsia="Times New Roman" w:hAnsi="Times New Roman" w:cs="Times New Roman"/>
          <w:sz w:val="24"/>
          <w:szCs w:val="24"/>
          <w:lang w:eastAsia="ru-RU"/>
        </w:rPr>
        <w:t xml:space="preserve">рішенням 39 сесії 8 скликання Брацлавської селищної ради від «25» серпня 2023р. № </w:t>
      </w:r>
      <w:r w:rsidR="00306DDF">
        <w:rPr>
          <w:rFonts w:ascii="Times New Roman" w:eastAsia="Times New Roman" w:hAnsi="Times New Roman" w:cs="Times New Roman"/>
          <w:sz w:val="24"/>
          <w:szCs w:val="24"/>
          <w:lang w:eastAsia="ru-RU"/>
        </w:rPr>
        <w:softHyphen/>
      </w:r>
      <w:r w:rsidR="00306DDF">
        <w:rPr>
          <w:rFonts w:ascii="Times New Roman" w:eastAsia="Times New Roman" w:hAnsi="Times New Roman" w:cs="Times New Roman"/>
          <w:sz w:val="24"/>
          <w:szCs w:val="24"/>
          <w:lang w:eastAsia="ru-RU"/>
        </w:rPr>
        <w:softHyphen/>
        <w:t>166</w:t>
      </w:r>
      <w:r w:rsidR="00CC2F76">
        <w:rPr>
          <w:rFonts w:ascii="Times New Roman" w:eastAsia="Times New Roman" w:hAnsi="Times New Roman" w:cs="Times New Roman"/>
          <w:sz w:val="24"/>
          <w:szCs w:val="24"/>
          <w:lang w:eastAsia="ru-RU"/>
        </w:rPr>
        <w:t>,</w:t>
      </w:r>
    </w:p>
    <w:p w:rsidR="00A23CA5" w:rsidRPr="007662AA" w:rsidRDefault="00CC2F76"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40 сесії 8 скликання Брацлавської селищної ради від «20» вересня 2023р. №213</w:t>
      </w:r>
      <w:r w:rsidR="004D2610">
        <w:rPr>
          <w:rFonts w:ascii="Times New Roman" w:eastAsia="Times New Roman" w:hAnsi="Times New Roman" w:cs="Times New Roman"/>
          <w:sz w:val="24"/>
          <w:szCs w:val="24"/>
          <w:lang w:eastAsia="ru-RU"/>
        </w:rPr>
        <w:t>, рішенням 41</w:t>
      </w:r>
      <w:r w:rsidR="004D2610" w:rsidRPr="004D2610">
        <w:rPr>
          <w:rFonts w:ascii="Times New Roman" w:eastAsia="Times New Roman" w:hAnsi="Times New Roman" w:cs="Times New Roman"/>
          <w:sz w:val="24"/>
          <w:szCs w:val="24"/>
          <w:lang w:eastAsia="ru-RU"/>
        </w:rPr>
        <w:t xml:space="preserve"> сесії 8 скликання Бр</w:t>
      </w:r>
      <w:r w:rsidR="004D2610">
        <w:rPr>
          <w:rFonts w:ascii="Times New Roman" w:eastAsia="Times New Roman" w:hAnsi="Times New Roman" w:cs="Times New Roman"/>
          <w:sz w:val="24"/>
          <w:szCs w:val="24"/>
          <w:lang w:eastAsia="ru-RU"/>
        </w:rPr>
        <w:t>ацлавської селищної ради від «17» листопада 2023р.                      № 236</w:t>
      </w:r>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F374F8" w:rsidRDefault="00F374F8" w:rsidP="008E037F">
      <w:pPr>
        <w:widowControl w:val="0"/>
        <w:spacing w:line="240" w:lineRule="auto"/>
        <w:ind w:left="5245"/>
        <w:rPr>
          <w:rFonts w:ascii="Times New Roman" w:eastAsia="Courier New" w:hAnsi="Times New Roman" w:cs="Times New Roman"/>
          <w:color w:val="000000"/>
          <w:sz w:val="32"/>
          <w:szCs w:val="32"/>
          <w:lang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A96194">
        <w:rPr>
          <w:rFonts w:ascii="Times New Roman" w:eastAsia="Courier New" w:hAnsi="Times New Roman" w:cs="Times New Roman"/>
          <w:color w:val="000000"/>
          <w:sz w:val="28"/>
          <w:szCs w:val="32"/>
          <w:lang w:eastAsia="ru-RU" w:bidi="ru-RU"/>
        </w:rPr>
        <w:t>3</w:t>
      </w:r>
      <w:r w:rsidRPr="00A96194">
        <w:rPr>
          <w:rFonts w:ascii="Times New Roman" w:eastAsia="Courier New" w:hAnsi="Times New Roman" w:cs="Times New Roman"/>
          <w:color w:val="000000"/>
          <w:sz w:val="28"/>
          <w:szCs w:val="32"/>
          <w:lang w:eastAsia="ru-RU" w:bidi="ru-RU"/>
        </w:rPr>
        <w:t xml:space="preserve"> рік</w:t>
      </w: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4D2610">
              <w:rPr>
                <w:rFonts w:ascii="Times New Roman" w:eastAsia="Courier New" w:hAnsi="Times New Roman" w:cs="Times New Roman"/>
                <w:color w:val="000000"/>
                <w:sz w:val="28"/>
                <w:szCs w:val="28"/>
                <w:lang w:eastAsia="ru-RU" w:bidi="ru-RU"/>
              </w:rPr>
              <w:t>2390</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 xml:space="preserve">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4D2610">
              <w:rPr>
                <w:rFonts w:ascii="Times New Roman" w:eastAsia="Courier New" w:hAnsi="Times New Roman" w:cs="Times New Roman"/>
                <w:color w:val="000000"/>
                <w:sz w:val="28"/>
                <w:szCs w:val="28"/>
                <w:lang w:eastAsia="ru-RU" w:bidi="ru-RU"/>
              </w:rPr>
              <w:t>2390</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0" w:name="17"/>
      <w:bookmarkEnd w:id="0"/>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AA7B24">
      <w:pPr>
        <w:spacing w:after="0" w:line="240" w:lineRule="auto"/>
        <w:ind w:left="142" w:right="121" w:firstLine="425"/>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A96194">
      <w:pPr>
        <w:widowControl w:val="0"/>
        <w:numPr>
          <w:ilvl w:val="0"/>
          <w:numId w:val="2"/>
        </w:numPr>
        <w:spacing w:after="0" w:line="240" w:lineRule="auto"/>
        <w:ind w:left="142" w:right="119" w:hanging="357"/>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AA7B24">
      <w:pPr>
        <w:widowControl w:val="0"/>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AA7B24">
      <w:pPr>
        <w:numPr>
          <w:ilvl w:val="0"/>
          <w:numId w:val="2"/>
        </w:num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A83F8D" w:rsidP="00A83F8D">
      <w:pPr>
        <w:spacing w:after="0" w:line="240" w:lineRule="auto"/>
        <w:ind w:left="-218" w:right="12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п</w:t>
      </w:r>
      <w:r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AA7B24" w:rsidRPr="00365806"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4. Шляхи розв'язання головних проблем та 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064CBD" w:rsidP="00CA089C">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064CBD" w:rsidP="00D650B7">
            <w:pPr>
              <w:jc w:val="center"/>
              <w:rPr>
                <w:rFonts w:ascii="Times New Roman" w:hAnsi="Times New Roman" w:cs="Times New Roman"/>
                <w:sz w:val="24"/>
                <w:szCs w:val="24"/>
              </w:rPr>
            </w:pPr>
            <w:r>
              <w:rPr>
                <w:rFonts w:ascii="Times New Roman" w:hAnsi="Times New Roman" w:cs="Times New Roman"/>
                <w:sz w:val="24"/>
                <w:szCs w:val="24"/>
              </w:rPr>
              <w:t>3</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4F1371" w:rsidP="00CA089C">
            <w:pPr>
              <w:jc w:val="center"/>
              <w:rPr>
                <w:rFonts w:ascii="Times New Roman" w:hAnsi="Times New Roman" w:cs="Times New Roman"/>
                <w:sz w:val="24"/>
                <w:szCs w:val="24"/>
              </w:rPr>
            </w:pPr>
            <w:r>
              <w:rPr>
                <w:rFonts w:ascii="Times New Roman" w:hAnsi="Times New Roman" w:cs="Times New Roman"/>
                <w:sz w:val="24"/>
                <w:szCs w:val="24"/>
              </w:rPr>
              <w:t>475</w:t>
            </w:r>
            <w:r w:rsidR="00A23D99">
              <w:rPr>
                <w:rFonts w:ascii="Times New Roman" w:hAnsi="Times New Roman" w:cs="Times New Roman"/>
                <w:sz w:val="24"/>
                <w:szCs w:val="24"/>
              </w:rPr>
              <w:t>,0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4F1371" w:rsidP="00CA089C">
            <w:pPr>
              <w:rPr>
                <w:rFonts w:ascii="Times New Roman" w:hAnsi="Times New Roman" w:cs="Times New Roman"/>
                <w:sz w:val="24"/>
                <w:szCs w:val="24"/>
              </w:rPr>
            </w:pPr>
            <w:r>
              <w:rPr>
                <w:rFonts w:ascii="Times New Roman" w:hAnsi="Times New Roman" w:cs="Times New Roman"/>
                <w:sz w:val="24"/>
                <w:szCs w:val="24"/>
              </w:rPr>
              <w:t>475</w:t>
            </w:r>
            <w:r w:rsidR="005A6018">
              <w:rPr>
                <w:rFonts w:ascii="Times New Roman" w:hAnsi="Times New Roman" w:cs="Times New Roman"/>
                <w:sz w:val="24"/>
                <w:szCs w:val="24"/>
              </w:rPr>
              <w:t>,0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4D2610" w:rsidP="00CA089C">
            <w:pPr>
              <w:jc w:val="cente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4D2610" w:rsidP="00AF5DA3">
            <w:pP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902F3E"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300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r w:rsidR="00A008DA" w:rsidRPr="00D73C04" w:rsidTr="00306DDF">
        <w:trPr>
          <w:gridAfter w:val="1"/>
          <w:wAfter w:w="240" w:type="dxa"/>
          <w:trHeight w:val="1266"/>
        </w:trPr>
        <w:tc>
          <w:tcPr>
            <w:tcW w:w="673" w:type="dxa"/>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14.4</w:t>
            </w:r>
          </w:p>
        </w:tc>
        <w:tc>
          <w:tcPr>
            <w:tcW w:w="6343" w:type="dxa"/>
          </w:tcPr>
          <w:p w:rsidR="00A008DA" w:rsidRPr="00185CA8"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w:t>
            </w:r>
            <w:proofErr w:type="spellStart"/>
            <w:r w:rsidRPr="00185CA8">
              <w:rPr>
                <w:rFonts w:ascii="Times New Roman" w:hAnsi="Times New Roman" w:cs="Times New Roman"/>
                <w:sz w:val="24"/>
                <w:szCs w:val="24"/>
              </w:rPr>
              <w:t>Виконання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військовою</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частиною</w:t>
            </w:r>
            <w:proofErr w:type="spellEnd"/>
            <w:r w:rsidRPr="00185CA8">
              <w:rPr>
                <w:rFonts w:ascii="Times New Roman" w:hAnsi="Times New Roman" w:cs="Times New Roman"/>
                <w:sz w:val="24"/>
                <w:szCs w:val="24"/>
              </w:rPr>
              <w:t xml:space="preserve"> 2193 </w:t>
            </w:r>
            <w:proofErr w:type="spellStart"/>
            <w:r w:rsidRPr="00185CA8">
              <w:rPr>
                <w:rFonts w:ascii="Times New Roman" w:hAnsi="Times New Roman" w:cs="Times New Roman"/>
                <w:sz w:val="24"/>
                <w:szCs w:val="24"/>
              </w:rPr>
              <w:t>Державної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прикордонної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слу</w:t>
            </w:r>
            <w:r>
              <w:rPr>
                <w:rFonts w:ascii="Times New Roman" w:hAnsi="Times New Roman" w:cs="Times New Roman"/>
                <w:sz w:val="24"/>
                <w:szCs w:val="24"/>
              </w:rPr>
              <w:t>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sidRPr="00185CA8">
              <w:rPr>
                <w:rFonts w:ascii="Times New Roman" w:hAnsi="Times New Roman" w:cs="Times New Roman"/>
                <w:sz w:val="24"/>
                <w:szCs w:val="24"/>
              </w:rPr>
              <w:t>:</w:t>
            </w:r>
          </w:p>
          <w:p w:rsidR="00A008DA" w:rsidRPr="00AA1100"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проведення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заходів</w:t>
            </w:r>
            <w:proofErr w:type="spellEnd"/>
            <w:r w:rsidRPr="00185CA8">
              <w:rPr>
                <w:rFonts w:ascii="Times New Roman" w:hAnsi="Times New Roman" w:cs="Times New Roman"/>
                <w:sz w:val="24"/>
                <w:szCs w:val="24"/>
              </w:rPr>
              <w:t xml:space="preserve"> з </w:t>
            </w:r>
            <w:proofErr w:type="spellStart"/>
            <w:r w:rsidRPr="00185CA8">
              <w:rPr>
                <w:rFonts w:ascii="Times New Roman" w:hAnsi="Times New Roman" w:cs="Times New Roman"/>
                <w:sz w:val="24"/>
                <w:szCs w:val="24"/>
              </w:rPr>
              <w:t>нарощення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інженерної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інфраструктури</w:t>
            </w:r>
            <w:proofErr w:type="spellEnd"/>
            <w:r w:rsidRPr="00185CA8">
              <w:rPr>
                <w:rFonts w:ascii="Times New Roman" w:hAnsi="Times New Roman" w:cs="Times New Roman"/>
                <w:sz w:val="24"/>
                <w:szCs w:val="24"/>
              </w:rPr>
              <w:t xml:space="preserve"> на державному </w:t>
            </w:r>
            <w:proofErr w:type="spellStart"/>
            <w:r w:rsidRPr="00185CA8">
              <w:rPr>
                <w:rFonts w:ascii="Times New Roman" w:hAnsi="Times New Roman" w:cs="Times New Roman"/>
                <w:sz w:val="24"/>
                <w:szCs w:val="24"/>
              </w:rPr>
              <w:t>кордоні</w:t>
            </w:r>
            <w:proofErr w:type="spellEnd"/>
            <w:r w:rsidRPr="00185CA8">
              <w:rPr>
                <w:rFonts w:ascii="Times New Roman" w:hAnsi="Times New Roman" w:cs="Times New Roman"/>
                <w:sz w:val="24"/>
                <w:szCs w:val="24"/>
              </w:rPr>
              <w:t>.</w:t>
            </w:r>
          </w:p>
        </w:tc>
        <w:tc>
          <w:tcPr>
            <w:tcW w:w="1030" w:type="dxa"/>
            <w:gridSpan w:val="5"/>
          </w:tcPr>
          <w:p w:rsidR="00A008DA" w:rsidRPr="00AA1100" w:rsidRDefault="00A008DA" w:rsidP="00A008DA">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A008DA" w:rsidRPr="00AA1100" w:rsidRDefault="00A008DA" w:rsidP="00A008DA">
            <w:pPr>
              <w:jc w:val="both"/>
              <w:rPr>
                <w:rFonts w:ascii="Times New Roman" w:hAnsi="Times New Roman" w:cs="Times New Roman"/>
                <w:sz w:val="24"/>
                <w:szCs w:val="24"/>
              </w:rPr>
            </w:pPr>
            <w:r>
              <w:rPr>
                <w:rFonts w:ascii="Times New Roman" w:hAnsi="Times New Roman" w:cs="Times New Roman"/>
                <w:sz w:val="24"/>
                <w:szCs w:val="24"/>
              </w:rPr>
              <w:t xml:space="preserve">для в/ч </w:t>
            </w:r>
            <w:r w:rsidRPr="00185CA8">
              <w:rPr>
                <w:rFonts w:ascii="Times New Roman" w:hAnsi="Times New Roman" w:cs="Times New Roman"/>
                <w:sz w:val="24"/>
                <w:szCs w:val="24"/>
              </w:rPr>
              <w:t>2193</w:t>
            </w:r>
          </w:p>
        </w:tc>
        <w:tc>
          <w:tcPr>
            <w:tcW w:w="997" w:type="dxa"/>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708" w:type="dxa"/>
            <w:gridSpan w:val="4"/>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3251" w:type="dxa"/>
            <w:gridSpan w:val="14"/>
          </w:tcPr>
          <w:p w:rsidR="00A008DA" w:rsidRPr="00AA1100" w:rsidRDefault="00A008DA" w:rsidP="00A008DA">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2193</w:t>
            </w:r>
            <w:r w:rsidRPr="00AA1100">
              <w:rPr>
                <w:rFonts w:ascii="Times New Roman" w:hAnsi="Times New Roman" w:cs="Times New Roman"/>
                <w:sz w:val="24"/>
                <w:szCs w:val="24"/>
              </w:rPr>
              <w:t xml:space="preserve"> поставлених завдань</w:t>
            </w:r>
          </w:p>
        </w:tc>
      </w:tr>
      <w:tr w:rsidR="00CC2F76" w:rsidRPr="00D73C04" w:rsidTr="00306DDF">
        <w:trPr>
          <w:gridAfter w:val="1"/>
          <w:wAfter w:w="240" w:type="dxa"/>
          <w:trHeight w:val="1266"/>
        </w:trPr>
        <w:tc>
          <w:tcPr>
            <w:tcW w:w="673" w:type="dxa"/>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14.5</w:t>
            </w:r>
          </w:p>
        </w:tc>
        <w:tc>
          <w:tcPr>
            <w:tcW w:w="6343" w:type="dxa"/>
          </w:tcPr>
          <w:p w:rsidR="00CC2F76" w:rsidRPr="007442D1" w:rsidRDefault="00CC2F76" w:rsidP="00CC2F76">
            <w:pPr>
              <w:pStyle w:val="a4"/>
              <w:numPr>
                <w:ilvl w:val="0"/>
                <w:numId w:val="2"/>
              </w:numPr>
              <w:jc w:val="both"/>
              <w:rPr>
                <w:rFonts w:ascii="Times New Roman" w:hAnsi="Times New Roman" w:cs="Times New Roman"/>
                <w:sz w:val="24"/>
                <w:szCs w:val="24"/>
              </w:rPr>
            </w:pPr>
            <w:proofErr w:type="spellStart"/>
            <w:r w:rsidRPr="007442D1">
              <w:rPr>
                <w:rFonts w:ascii="Times New Roman" w:hAnsi="Times New Roman" w:cs="Times New Roman"/>
                <w:sz w:val="24"/>
                <w:szCs w:val="24"/>
              </w:rPr>
              <w:t>Виконання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військовою</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частиною</w:t>
            </w:r>
            <w:proofErr w:type="spellEnd"/>
            <w:r w:rsidRPr="007442D1">
              <w:rPr>
                <w:rFonts w:ascii="Times New Roman" w:hAnsi="Times New Roman" w:cs="Times New Roman"/>
                <w:sz w:val="24"/>
                <w:szCs w:val="24"/>
              </w:rPr>
              <w:t xml:space="preserve"> 3008 </w:t>
            </w:r>
            <w:proofErr w:type="spellStart"/>
            <w:r w:rsidRPr="007442D1">
              <w:rPr>
                <w:rFonts w:ascii="Times New Roman" w:hAnsi="Times New Roman" w:cs="Times New Roman"/>
                <w:sz w:val="24"/>
                <w:szCs w:val="24"/>
              </w:rPr>
              <w:t>Національної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Гвардії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України</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поставлених</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завдань</w:t>
            </w:r>
            <w:proofErr w:type="spellEnd"/>
            <w:r w:rsidRPr="007442D1">
              <w:rPr>
                <w:rFonts w:ascii="Times New Roman" w:hAnsi="Times New Roman" w:cs="Times New Roman"/>
                <w:sz w:val="24"/>
                <w:szCs w:val="24"/>
              </w:rPr>
              <w:t xml:space="preserve"> по </w:t>
            </w:r>
            <w:proofErr w:type="spellStart"/>
            <w:r w:rsidRPr="007442D1">
              <w:rPr>
                <w:rFonts w:ascii="Times New Roman" w:hAnsi="Times New Roman" w:cs="Times New Roman"/>
                <w:sz w:val="24"/>
                <w:szCs w:val="24"/>
              </w:rPr>
              <w:t>охороні</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об’єктів</w:t>
            </w:r>
            <w:proofErr w:type="spellEnd"/>
            <w:r w:rsidRPr="007442D1">
              <w:rPr>
                <w:rFonts w:ascii="Times New Roman" w:hAnsi="Times New Roman" w:cs="Times New Roman"/>
                <w:sz w:val="24"/>
                <w:szCs w:val="24"/>
              </w:rPr>
              <w:t xml:space="preserve"> та </w:t>
            </w:r>
            <w:proofErr w:type="spellStart"/>
            <w:r w:rsidRPr="007442D1">
              <w:rPr>
                <w:rFonts w:ascii="Times New Roman" w:hAnsi="Times New Roman" w:cs="Times New Roman"/>
                <w:sz w:val="24"/>
                <w:szCs w:val="24"/>
              </w:rPr>
              <w:t>прикриття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повітряного</w:t>
            </w:r>
            <w:proofErr w:type="spellEnd"/>
            <w:r w:rsidRPr="007442D1">
              <w:rPr>
                <w:rFonts w:ascii="Times New Roman" w:hAnsi="Times New Roman" w:cs="Times New Roman"/>
                <w:sz w:val="24"/>
                <w:szCs w:val="24"/>
              </w:rPr>
              <w:t xml:space="preserve"> простору:</w:t>
            </w:r>
          </w:p>
          <w:p w:rsidR="00CC2F76" w:rsidRPr="00AA1100" w:rsidRDefault="00CC2F76" w:rsidP="00CC2F76">
            <w:pPr>
              <w:pStyle w:val="a4"/>
              <w:numPr>
                <w:ilvl w:val="0"/>
                <w:numId w:val="2"/>
              </w:numPr>
              <w:jc w:val="both"/>
              <w:rPr>
                <w:rFonts w:ascii="Times New Roman" w:hAnsi="Times New Roman" w:cs="Times New Roman"/>
                <w:sz w:val="24"/>
                <w:szCs w:val="24"/>
              </w:rPr>
            </w:pPr>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придбання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автомобіля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прикриття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повітряних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ударів</w:t>
            </w:r>
            <w:proofErr w:type="spellEnd"/>
            <w:r>
              <w:rPr>
                <w:rFonts w:ascii="Times New Roman" w:hAnsi="Times New Roman" w:cs="Times New Roman"/>
                <w:sz w:val="24"/>
                <w:szCs w:val="24"/>
              </w:rPr>
              <w:t>)</w:t>
            </w:r>
          </w:p>
        </w:tc>
        <w:tc>
          <w:tcPr>
            <w:tcW w:w="1030" w:type="dxa"/>
            <w:gridSpan w:val="5"/>
          </w:tcPr>
          <w:p w:rsidR="00CC2F76" w:rsidRPr="00AA1100" w:rsidRDefault="00CC2F76" w:rsidP="00CC2F76">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CC2F76" w:rsidRPr="00AA1100" w:rsidRDefault="00CC2F76" w:rsidP="00CC2F76">
            <w:pPr>
              <w:jc w:val="both"/>
              <w:rPr>
                <w:rFonts w:ascii="Times New Roman" w:hAnsi="Times New Roman" w:cs="Times New Roman"/>
                <w:sz w:val="24"/>
                <w:szCs w:val="24"/>
              </w:rPr>
            </w:pPr>
            <w:r>
              <w:rPr>
                <w:rFonts w:ascii="Times New Roman" w:hAnsi="Times New Roman" w:cs="Times New Roman"/>
                <w:sz w:val="24"/>
                <w:szCs w:val="24"/>
              </w:rPr>
              <w:t>для в/ч 3008</w:t>
            </w:r>
          </w:p>
        </w:tc>
        <w:tc>
          <w:tcPr>
            <w:tcW w:w="997" w:type="dxa"/>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gridSpan w:val="4"/>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 xml:space="preserve">250 </w:t>
            </w:r>
          </w:p>
        </w:tc>
        <w:tc>
          <w:tcPr>
            <w:tcW w:w="3251" w:type="dxa"/>
            <w:gridSpan w:val="14"/>
          </w:tcPr>
          <w:p w:rsidR="00CC2F76" w:rsidRPr="00AA1100" w:rsidRDefault="00CC2F76" w:rsidP="00CC2F76">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3008</w:t>
            </w:r>
            <w:r w:rsidRPr="00AA1100">
              <w:rPr>
                <w:rFonts w:ascii="Times New Roman" w:hAnsi="Times New Roman" w:cs="Times New Roman"/>
                <w:sz w:val="24"/>
                <w:szCs w:val="24"/>
              </w:rPr>
              <w:t xml:space="preserve">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4D2610" w:rsidP="00A008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1 340</w:t>
            </w:r>
            <w:r w:rsidR="00064CBD" w:rsidRPr="00902F3E">
              <w:rPr>
                <w:rFonts w:ascii="Times New Roman" w:eastAsia="Times New Roman" w:hAnsi="Times New Roman" w:cs="Times New Roman"/>
                <w:sz w:val="24"/>
                <w:szCs w:val="24"/>
              </w:rPr>
              <w:t>,0</w:t>
            </w:r>
          </w:p>
        </w:tc>
        <w:tc>
          <w:tcPr>
            <w:tcW w:w="1276" w:type="dxa"/>
          </w:tcPr>
          <w:p w:rsidR="00AA7B24" w:rsidRPr="00902F3E" w:rsidRDefault="00CB71C5" w:rsidP="00D650B7">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4D2610" w:rsidP="00CC2F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2 390</w:t>
            </w:r>
            <w:bookmarkStart w:id="1" w:name="_GoBack"/>
            <w:bookmarkEnd w:id="1"/>
            <w:r w:rsidR="00064CBD" w:rsidRPr="00902F3E">
              <w:rPr>
                <w:rFonts w:ascii="Times New Roman" w:eastAsia="Times New Roman" w:hAnsi="Times New Roman" w:cs="Times New Roman"/>
                <w:sz w:val="24"/>
                <w:szCs w:val="24"/>
              </w:rPr>
              <w:t>,0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C6B75"/>
    <w:rsid w:val="002D1152"/>
    <w:rsid w:val="00306DDF"/>
    <w:rsid w:val="0035083F"/>
    <w:rsid w:val="00351D6F"/>
    <w:rsid w:val="00365806"/>
    <w:rsid w:val="00374BA6"/>
    <w:rsid w:val="003F3450"/>
    <w:rsid w:val="00410D16"/>
    <w:rsid w:val="004405D0"/>
    <w:rsid w:val="00454EE9"/>
    <w:rsid w:val="00495B2A"/>
    <w:rsid w:val="004D2610"/>
    <w:rsid w:val="004E23A2"/>
    <w:rsid w:val="004E24A4"/>
    <w:rsid w:val="004F1371"/>
    <w:rsid w:val="005235DD"/>
    <w:rsid w:val="005528BB"/>
    <w:rsid w:val="00596CDE"/>
    <w:rsid w:val="005A30A6"/>
    <w:rsid w:val="005A6018"/>
    <w:rsid w:val="00625603"/>
    <w:rsid w:val="007662AA"/>
    <w:rsid w:val="007C18DF"/>
    <w:rsid w:val="00840777"/>
    <w:rsid w:val="008442D6"/>
    <w:rsid w:val="00847F0E"/>
    <w:rsid w:val="008701E9"/>
    <w:rsid w:val="00886B57"/>
    <w:rsid w:val="008957BF"/>
    <w:rsid w:val="008E037F"/>
    <w:rsid w:val="008F7642"/>
    <w:rsid w:val="009028AB"/>
    <w:rsid w:val="00902F3E"/>
    <w:rsid w:val="00916FA9"/>
    <w:rsid w:val="009A3429"/>
    <w:rsid w:val="00A008DA"/>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CC2F76"/>
    <w:rsid w:val="00D029DA"/>
    <w:rsid w:val="00D03B33"/>
    <w:rsid w:val="00D650B7"/>
    <w:rsid w:val="00D939DE"/>
    <w:rsid w:val="00DB2F4F"/>
    <w:rsid w:val="00DD3586"/>
    <w:rsid w:val="00E55E4B"/>
    <w:rsid w:val="00EE6813"/>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E2EE-E900-4AC8-8957-A839C150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17</Pages>
  <Words>5412</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2023-11-21T06:53:00Z</cp:lastPrinted>
  <dcterms:created xsi:type="dcterms:W3CDTF">2022-02-13T15:20:00Z</dcterms:created>
  <dcterms:modified xsi:type="dcterms:W3CDTF">2023-11-21T07:11:00Z</dcterms:modified>
</cp:coreProperties>
</file>