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Pr="005C3A71" w:rsidRDefault="005C3A71" w:rsidP="005C3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C3A71">
        <w:rPr>
          <w:rFonts w:ascii="Times New Roman" w:eastAsia="Calibri" w:hAnsi="Times New Roman" w:cs="Times New Roman"/>
          <w:sz w:val="24"/>
        </w:rPr>
        <w:t>Затверджено</w:t>
      </w:r>
    </w:p>
    <w:p w:rsidR="005C3A71" w:rsidRPr="005C3A71" w:rsidRDefault="005C3A71" w:rsidP="005C3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C3A7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рішенням  22</w:t>
      </w:r>
      <w:r w:rsidRPr="005C3A71">
        <w:rPr>
          <w:rFonts w:ascii="Times New Roman" w:eastAsia="Calibri" w:hAnsi="Times New Roman" w:cs="Times New Roman"/>
          <w:sz w:val="24"/>
        </w:rPr>
        <w:t xml:space="preserve"> сесії                                            </w:t>
      </w:r>
      <w:r w:rsidRPr="005C3A71">
        <w:rPr>
          <w:rFonts w:ascii="Times New Roman" w:eastAsia="Calibri" w:hAnsi="Times New Roman" w:cs="Times New Roman"/>
          <w:sz w:val="24"/>
        </w:rPr>
        <w:br/>
        <w:t xml:space="preserve">                                                                                                         Брацлавської селищної ради</w:t>
      </w:r>
    </w:p>
    <w:p w:rsidR="005C3A71" w:rsidRPr="005C3A71" w:rsidRDefault="005C3A71" w:rsidP="005C3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C3A71">
        <w:rPr>
          <w:rFonts w:ascii="Times New Roman" w:eastAsia="Calibri" w:hAnsi="Times New Roman" w:cs="Times New Roman"/>
          <w:sz w:val="24"/>
        </w:rPr>
        <w:tab/>
        <w:t>8  скликання</w:t>
      </w:r>
    </w:p>
    <w:p w:rsidR="005C3A71" w:rsidRPr="00C9401B" w:rsidRDefault="003E3650" w:rsidP="005228EB">
      <w:pPr>
        <w:spacing w:line="24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</w:rPr>
        <w:tab/>
        <w:t>від «22</w:t>
      </w:r>
      <w:r w:rsidR="005C3A71" w:rsidRPr="005C3A71">
        <w:rPr>
          <w:rFonts w:ascii="Times New Roman" w:eastAsia="Calibri" w:hAnsi="Times New Roman" w:cs="Times New Roman"/>
          <w:sz w:val="24"/>
        </w:rPr>
        <w:t>» грудня</w:t>
      </w:r>
      <w:r w:rsidR="005C3A71">
        <w:rPr>
          <w:rFonts w:ascii="Times New Roman" w:eastAsia="Calibri" w:hAnsi="Times New Roman" w:cs="Times New Roman"/>
          <w:sz w:val="24"/>
        </w:rPr>
        <w:t xml:space="preserve"> 2021</w:t>
      </w:r>
      <w:r w:rsidR="005C3A71" w:rsidRPr="005C3A71">
        <w:rPr>
          <w:rFonts w:ascii="Times New Roman" w:eastAsia="Calibri" w:hAnsi="Times New Roman" w:cs="Times New Roman"/>
          <w:sz w:val="24"/>
        </w:rPr>
        <w:t xml:space="preserve">р. </w:t>
      </w:r>
      <w:r>
        <w:rPr>
          <w:rFonts w:ascii="Times New Roman" w:eastAsia="Calibri" w:hAnsi="Times New Roman" w:cs="Times New Roman"/>
          <w:sz w:val="24"/>
        </w:rPr>
        <w:t xml:space="preserve">№ </w:t>
      </w:r>
      <w:r w:rsidR="00C9401B">
        <w:rPr>
          <w:rFonts w:ascii="Times New Roman" w:eastAsia="Calibri" w:hAnsi="Times New Roman" w:cs="Times New Roman"/>
          <w:sz w:val="24"/>
          <w:lang w:val="ru-RU"/>
        </w:rPr>
        <w:t>965</w:t>
      </w:r>
    </w:p>
    <w:p w:rsidR="005228EB" w:rsidRPr="005228EB" w:rsidRDefault="005228EB" w:rsidP="005228EB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522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(із змінами внесеними </w:t>
      </w:r>
    </w:p>
    <w:p w:rsidR="005228EB" w:rsidRPr="005228EB" w:rsidRDefault="005228EB" w:rsidP="005228EB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22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рішенням 26 сесії 8 скликання </w:t>
      </w:r>
    </w:p>
    <w:p w:rsidR="005228EB" w:rsidRDefault="005228EB" w:rsidP="005228EB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22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Брацлавської селищної ради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C3A71" w:rsidRDefault="005228EB" w:rsidP="005228EB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від «17» листопада</w:t>
      </w:r>
      <w:r w:rsidRPr="00522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2023</w:t>
      </w:r>
      <w:r w:rsidRPr="005228EB">
        <w:rPr>
          <w:rFonts w:ascii="Times New Roman" w:eastAsia="Calibri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№235)</w:t>
      </w:r>
    </w:p>
    <w:p w:rsidR="005228EB" w:rsidRPr="005C3A71" w:rsidRDefault="005228EB" w:rsidP="005228EB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БЮДЖЕТНА ПРОГРАМА 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«ЕКОНОМІЧНИЙ  ТА СОЦІАЛЬНИЙ РОЗВИТОК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БРАЦЛАВСЬКОЇ СЕЛИЩНОЇ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ТЕРИТОРІАЛЬНОЇ ГРОМАДИ» НА 2022-2024 РОКИ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Бюджетна Програма «Економічний  та соціальний розвиток Брацлавської селищної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територіальної громади» на 2022-2024 роки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(далі – Програма) розроблена  відповідно до вимог Законів України «Про місцеве самоврядування в Україні», «Про державне прогнозування та розроблення програм економічного і соціального розвитку України» з урахуванням пріоритетів загальнодержавної політики, інтересів територіальних громад, визначених потребами їх мешканців.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При її розроблені враховано головні стратегічні  цілі, визначені у Державній стратегії регіонального розвитку на 2021-2027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Стратегію збалансованого регіонального розвитку Вінницької області на період до 2027 року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Стратегії розвитку Брацлавської селищної територіальної громади до 2030 року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На підставі оцінки ресурсного потенціалу громади, тенденцій соціально – економічного розвитку, наявних проблем і можливих ризиків у Програмі визначено пріоритети, завдання економічної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соціальної політики на 2022-2024 роки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інструменти їх реалізації.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Заходи Програми спрямовані на запобігання впливу на економіку громади негативних внутрішніх  і зовнішніх чинників, забезпечення її конкурентоспроможності, підвищення рівня та стандартів життя жителів громади.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Фінансування заходів Програми передбачено за рахунок коштів селищного, обласного бюджетів, субвенцій з державного бюджету, інвесторів та інших коштів незаборонених законодавством.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Враховуючи, що обмеженість бюджетних коштів не дозволяє в повній мірі вирішити ключові проблеми громади,  Програма передбачає концентрацію ресурсів на реалізацію низки інфраструктурних проектів, вкрай необхідних  для громади.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У процесі виконання Програма може </w:t>
      </w:r>
      <w:proofErr w:type="spellStart"/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уточнюватися</w:t>
      </w:r>
      <w:proofErr w:type="spellEnd"/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Зміни та доповнення до Програми затверджуються сесією Брацлавської селищної ради.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І. Наявні проблеми громади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Аналіз щодо основних проблем в економічній, суспільній та екологічній сферах  показав, що найбільш вагомими з них є такі: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в економічній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 кількість підприємств та робочих місць; 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зацікавленість внутрішнього інвестора, відсутність дієвих механізмів стимулювання внутрішніх інвестицій на місцевому рівні;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недостатнє фінансування бюджетних установ селищної ради;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низькі зарплати та пенсії мешканців;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 інвестицій у розвиток соціальної сфери;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недостатнє фінансування галузі освіти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високі ціни на товари і послуги;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обмеженість коштів селищного бюджету на будівництво, капітальний і поточний ремонт об’єктів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комунальної власності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A71" w:rsidRPr="005C3A71" w:rsidRDefault="005C3A71" w:rsidP="005C3A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недостатня кількість автотранспорту, комп’ютерної техніки, спеціалізованого транспорту.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соціальній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необхідність виділення з місцевого бюджету коштів для перевезення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пільгових категорій громадян;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ефективність роботи комунального підприємств в громаді;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забезпеченість спортивним інвентарем та сучасним обладнанням;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залучення молоді до занять спортом;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низький рівень та обсяг зайнятості населення;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вдосконалення надання адміністративних послуг населенню;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рівня соціального захисту учасників 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/ООС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недостатня кількість 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дитячих майданчиків, облаштованих паркових зон для відпочинку з дітьми;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низький рівень розвитку громадянського суспільства;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пасивність мешканців;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потреба у капітальному ремонті значної кількості будівель закладів культури;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 потенційних інвесторів для розбудови та розвитку у сфері туризму громади;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неналежна організація відпочинку та оздоровлення дітей і молоді;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значна кількість сімей, що опинились у складних життєвих обставинах;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поширення алкоголізму та інших соціально небезпечних чинників;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коштів для інформування жителів громади через засоби масової інформації;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проведення освітлення вулиць населених пунктів;</w:t>
      </w:r>
    </w:p>
    <w:p w:rsid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ремонту доріг в громаді;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будівництва та ремонтів водогонів;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необхідність реконструкції </w:t>
      </w:r>
      <w:proofErr w:type="spellStart"/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котелень</w:t>
      </w:r>
      <w:proofErr w:type="spellEnd"/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теплових мереж в соціальній сфері.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в сільськогосподарській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нестабільність цінової політики на аграрному ринку;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зниження зацікавленості працездатного населення у працевлаштуванні в підприємствах агропромислового комплексу;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повільне поліпшення соціально-побутової інфраструктури на селі.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екологічній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засміченість території та зростання стихійних сміттєзвалищ;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забруднення води, застаріле обладнання  центрального водопостачання;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ефективність роботи пожежної частини;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ліквідації аварійно-небезпечних дерев на території громади.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ІІ. Основні напрямки розвитку населених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пунктів громади </w:t>
      </w:r>
    </w:p>
    <w:p w:rsidR="00D81072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 ш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ляхи їх реалізації у 2022-2024 роках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НАПРЯМ 1: Культурний та духовний розвиток, національно-патріотичне виховання мешканців  громади </w:t>
      </w: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першу чергу учнівської молоді</w:t>
      </w: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1. Розвиток культурного і духовного середовища, патріотичне виховання</w:t>
      </w:r>
    </w:p>
    <w:tbl>
      <w:tblPr>
        <w:tblW w:w="1051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69"/>
        <w:gridCol w:w="23"/>
        <w:gridCol w:w="993"/>
        <w:gridCol w:w="708"/>
        <w:gridCol w:w="851"/>
        <w:gridCol w:w="1276"/>
        <w:gridCol w:w="1446"/>
      </w:tblGrid>
      <w:tr w:rsidR="005C3A71" w:rsidRPr="005C3A71" w:rsidTr="00C9401B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69" w:type="dxa"/>
            <w:vMerge w:val="restart"/>
            <w:vAlign w:val="center"/>
          </w:tcPr>
          <w:p w:rsidR="005C3A71" w:rsidRPr="005C3A71" w:rsidRDefault="005C3A71" w:rsidP="00C9401B">
            <w:pPr>
              <w:autoSpaceDE w:val="0"/>
              <w:autoSpaceDN w:val="0"/>
              <w:adjustRightInd w:val="0"/>
              <w:spacing w:after="0" w:line="240" w:lineRule="auto"/>
              <w:ind w:left="-79" w:right="-13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:rsidR="00C9401B" w:rsidRDefault="00C9401B" w:rsidP="00C9401B">
            <w:pPr>
              <w:autoSpaceDE w:val="0"/>
              <w:autoSpaceDN w:val="0"/>
              <w:adjustRightInd w:val="0"/>
              <w:spacing w:after="0" w:line="240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</w:t>
            </w:r>
          </w:p>
          <w:p w:rsidR="005C3A71" w:rsidRPr="005C3A71" w:rsidRDefault="005C3A71" w:rsidP="00C9401B">
            <w:pPr>
              <w:autoSpaceDE w:val="0"/>
              <w:autoSpaceDN w:val="0"/>
              <w:adjustRightInd w:val="0"/>
              <w:spacing w:after="0" w:line="240" w:lineRule="auto"/>
              <w:ind w:left="-198" w:right="-1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46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C9401B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3A71" w:rsidRPr="005C3A71" w:rsidRDefault="005C3A71" w:rsidP="00C9401B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Всього</w:t>
            </w:r>
          </w:p>
        </w:tc>
        <w:tc>
          <w:tcPr>
            <w:tcW w:w="2127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4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C9401B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C9401B">
            <w:pPr>
              <w:autoSpaceDE w:val="0"/>
              <w:autoSpaceDN w:val="0"/>
              <w:adjustRightInd w:val="0"/>
              <w:spacing w:after="0" w:line="240" w:lineRule="auto"/>
              <w:ind w:left="-221" w:right="-120" w:firstLine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C9401B">
            <w:pPr>
              <w:autoSpaceDE w:val="0"/>
              <w:autoSpaceDN w:val="0"/>
              <w:adjustRightInd w:val="0"/>
              <w:spacing w:after="0" w:line="240" w:lineRule="auto"/>
              <w:ind w:left="-221" w:right="-108" w:firstLine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4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C9401B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залучити мешканців громади до проведення державних, національних та релігійних свят</w:t>
            </w:r>
          </w:p>
        </w:tc>
        <w:tc>
          <w:tcPr>
            <w:tcW w:w="9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1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  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C9401B">
        <w:trPr>
          <w:trHeight w:val="884"/>
        </w:trPr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залучити мешканців громади до участі у колективах та гуртках художньої самодіяльності та інших</w:t>
            </w:r>
          </w:p>
        </w:tc>
        <w:tc>
          <w:tcPr>
            <w:tcW w:w="9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1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C9401B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покращити рівень матеріально-технічної бази бібліотек та клубних установ</w:t>
            </w:r>
          </w:p>
        </w:tc>
        <w:tc>
          <w:tcPr>
            <w:tcW w:w="9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бібліотек,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клубних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</w:t>
            </w:r>
          </w:p>
        </w:tc>
        <w:tc>
          <w:tcPr>
            <w:tcW w:w="101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розвитку населення</w:t>
            </w:r>
          </w:p>
        </w:tc>
      </w:tr>
      <w:tr w:rsidR="005C3A71" w:rsidRPr="005C3A71" w:rsidTr="00C9401B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сприяти залученню недержавних коштів у розвиток культури</w:t>
            </w:r>
          </w:p>
        </w:tc>
        <w:tc>
          <w:tcPr>
            <w:tcW w:w="99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Апар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рівня культури</w:t>
            </w:r>
          </w:p>
        </w:tc>
      </w:tr>
      <w:tr w:rsidR="00670763" w:rsidRPr="005C3A71" w:rsidTr="00C9401B">
        <w:tc>
          <w:tcPr>
            <w:tcW w:w="4247" w:type="dxa"/>
            <w:vAlign w:val="center"/>
          </w:tcPr>
          <w:p w:rsidR="00670763" w:rsidRPr="00670763" w:rsidRDefault="00670763" w:rsidP="00670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заходи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національно-патріотичного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спрямування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залучати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мешканців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 молодь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670763" w:rsidRPr="005C3A71" w:rsidRDefault="00670763" w:rsidP="00670763">
            <w:pP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культури та освіти</w:t>
            </w:r>
          </w:p>
        </w:tc>
        <w:tc>
          <w:tcPr>
            <w:tcW w:w="993" w:type="dxa"/>
            <w:vAlign w:val="center"/>
          </w:tcPr>
          <w:p w:rsidR="00670763" w:rsidRPr="005C3A71" w:rsidRDefault="00670763" w:rsidP="006707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 року</w:t>
            </w:r>
          </w:p>
        </w:tc>
        <w:tc>
          <w:tcPr>
            <w:tcW w:w="2835" w:type="dxa"/>
            <w:gridSpan w:val="3"/>
            <w:vAlign w:val="center"/>
          </w:tcPr>
          <w:p w:rsidR="00670763" w:rsidRPr="005C3A71" w:rsidRDefault="00670763" w:rsidP="0067076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670763" w:rsidRPr="005C3A71" w:rsidRDefault="00670763" w:rsidP="00670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патріотичної свідомості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Завдання 2. Розвиток закладів </w:t>
      </w:r>
      <w:proofErr w:type="spellStart"/>
      <w:r w:rsidR="00D81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соцзахисту</w:t>
      </w:r>
      <w:proofErr w:type="spellEnd"/>
      <w:r w:rsidR="00D81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освіти, культури та спорту</w:t>
      </w:r>
    </w:p>
    <w:tbl>
      <w:tblPr>
        <w:tblW w:w="10595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01"/>
        <w:gridCol w:w="993"/>
        <w:gridCol w:w="708"/>
        <w:gridCol w:w="851"/>
        <w:gridCol w:w="1276"/>
        <w:gridCol w:w="1446"/>
      </w:tblGrid>
      <w:tr w:rsidR="005C3A71" w:rsidRPr="005C3A71" w:rsidTr="00C9401B">
        <w:tc>
          <w:tcPr>
            <w:tcW w:w="4320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1001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993" w:type="dxa"/>
            <w:vMerge w:val="restart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left="-79" w:right="-108" w:firstLine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46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C9401B">
        <w:tc>
          <w:tcPr>
            <w:tcW w:w="4320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7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4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C9401B">
        <w:tc>
          <w:tcPr>
            <w:tcW w:w="4320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left="-79" w:right="-16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4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Покращення матеріально-технічної бази та ресурсного забезпечення Брацлавського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ліцею №1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670763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r w:rsidR="005C3A71"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Зяньковецької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Новоселівської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Покращення матеріально-технічної бази та ресурсного забезпечення Вишковецької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Вовчоцької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гмназії</w:t>
            </w:r>
            <w:proofErr w:type="spellEnd"/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Бугаківської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Покращення матеріально-технічної бази та ресурсного забезпечення закладів культури на території с/ради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культури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8.Впровадження енергозберігаючих та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ресурсоефективних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технологій в актовій залі Монастирського будинку культури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БК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Покращення матеріально-технічної бази та ресурсного забезпечення Брацлавського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ЗДО 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«Ромашка»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C9401B"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Бугаківського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ЗДО 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«Віночок»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C9401B"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Покращення матеріально-технічної бази та ресурсного забезпечення </w:t>
            </w:r>
            <w:proofErr w:type="spellStart"/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Вовчоцького</w:t>
            </w:r>
            <w:proofErr w:type="spellEnd"/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«Дзвіночок»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C9401B"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12.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Вишковецького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ЗДО 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«Сонечко»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C9401B"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Введення в експлуатацію дитячого садочка в          с. Монастирське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3421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дошкільної освіти</w:t>
            </w:r>
          </w:p>
        </w:tc>
      </w:tr>
      <w:tr w:rsidR="00D81072" w:rsidRPr="005C3A71" w:rsidTr="00C9401B">
        <w:tc>
          <w:tcPr>
            <w:tcW w:w="4320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Створення закладу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населення</w:t>
            </w:r>
          </w:p>
        </w:tc>
        <w:tc>
          <w:tcPr>
            <w:tcW w:w="1001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соцзахисту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населення</w:t>
            </w:r>
          </w:p>
        </w:tc>
      </w:tr>
      <w:tr w:rsidR="003421A5" w:rsidRPr="005C3A71" w:rsidTr="00C9401B">
        <w:tc>
          <w:tcPr>
            <w:tcW w:w="4320" w:type="dxa"/>
            <w:vAlign w:val="center"/>
          </w:tcPr>
          <w:p w:rsidR="003421A5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Покращення матеріально-технічної бази та ресурсного забезпечення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 «Мистецька школа Брацлавської селищної ради»</w:t>
            </w:r>
          </w:p>
        </w:tc>
        <w:tc>
          <w:tcPr>
            <w:tcW w:w="1001" w:type="dxa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позашкільної </w:t>
            </w:r>
            <w:r w:rsidRPr="003421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освіти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3. Організація дозвілля, розвиток молодіжного руху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993"/>
        <w:gridCol w:w="708"/>
        <w:gridCol w:w="851"/>
        <w:gridCol w:w="1276"/>
        <w:gridCol w:w="1559"/>
      </w:tblGrid>
      <w:tr w:rsidR="005C3A71" w:rsidRPr="005C3A71" w:rsidTr="005C3A71">
        <w:trPr>
          <w:trHeight w:val="472"/>
        </w:trPr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993" w:type="dxa"/>
            <w:vMerge w:val="restart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right="-161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</w:t>
            </w:r>
          </w:p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left="-79" w:right="-16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926FE4">
        <w:trPr>
          <w:trHeight w:val="146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left="-363" w:firstLine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7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55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146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left="-362" w:right="-108" w:firstLine="1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6F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інансування</w:t>
            </w:r>
          </w:p>
        </w:tc>
        <w:tc>
          <w:tcPr>
            <w:tcW w:w="155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68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Провести заходи із організації дозвілля мешканців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701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Сприяти створенню та становленню нових гуртків художньої самодіяльності та художніх творчих колективів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993" w:type="dxa"/>
            <w:vAlign w:val="center"/>
          </w:tcPr>
          <w:p w:rsidR="005C3A71" w:rsidRPr="005C3A71" w:rsidRDefault="00926FE4" w:rsidP="00926FE4">
            <w:pPr>
              <w:autoSpaceDE w:val="0"/>
              <w:autoSpaceDN w:val="0"/>
              <w:adjustRightInd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8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Стимулювати проведення культурних, мистецьких та спортивних заходів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993" w:type="dxa"/>
            <w:vAlign w:val="center"/>
          </w:tcPr>
          <w:p w:rsidR="005C3A71" w:rsidRPr="005C3A71" w:rsidRDefault="00926FE4" w:rsidP="00926FE4">
            <w:pPr>
              <w:autoSpaceDE w:val="0"/>
              <w:autoSpaceDN w:val="0"/>
              <w:adjustRightInd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6F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8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Здійснення підтримки для надання спеціальної освіти школами естетичного виховання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945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Утримання у належному стані існуючих дитячих майданчиків</w:t>
            </w:r>
          </w:p>
        </w:tc>
        <w:tc>
          <w:tcPr>
            <w:tcW w:w="992" w:type="dxa"/>
            <w:vAlign w:val="center"/>
          </w:tcPr>
          <w:p w:rsidR="005C3A71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Жителі громади, с/р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відпочинку та ігор дітям </w:t>
            </w:r>
          </w:p>
        </w:tc>
      </w:tr>
      <w:tr w:rsidR="005C3A71" w:rsidRPr="005C3A71" w:rsidTr="005C3A71">
        <w:trPr>
          <w:trHeight w:val="945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Облаштування громадських зон відпочинку на території Брацлавської селищної територіальної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відпочинку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4. Збереження національних традицій та історичної спадщини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069"/>
        <w:gridCol w:w="632"/>
        <w:gridCol w:w="851"/>
        <w:gridCol w:w="1281"/>
        <w:gridCol w:w="1554"/>
      </w:tblGrid>
      <w:tr w:rsidR="005C3A71" w:rsidRPr="005C3A71" w:rsidTr="005C3A71">
        <w:trPr>
          <w:trHeight w:val="456"/>
        </w:trPr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06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rPr>
          <w:trHeight w:val="146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 w:val="restart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right="-108" w:hanging="15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3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55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790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right="-95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8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ідродити національні традиції та обряди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Сприяти організації заходів, спрямованих на збереження національних традицій та обрядів, мистецтва та самобутніх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ремесел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Створити каталог туристичних переваг Брацлавської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КЗ «Центр культури та дозвілля»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Розробити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промоційні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туристичні матеріали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Встановити  знаки туристичної навігації в Брацлавській громаді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209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Провести свята :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березня, День Пам’яті та примирення, Івана Купала, День Села</w:t>
            </w:r>
            <w:r w:rsidR="003F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Бугаків, с. Вовчок,             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Вишківці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Грабовець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Гриненки                     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Монастирське,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Зяньківці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Новоселівка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Скрицьке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,), День Незалежності, День Брацлава, День знань, День захисника України, Випускне свято в дитсадочках, День захисту дітей, дитячо-юнацьких Таборових Зборів «Звичаєва Січ», Новорічні свята, Фестиваль національних меншин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культури, с/р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3A71" w:rsidRPr="005C3A71" w:rsidRDefault="005C3A71" w:rsidP="005C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 межах коштів поточного     </w:t>
            </w:r>
          </w:p>
          <w:p w:rsidR="005C3A71" w:rsidRPr="005C3A71" w:rsidRDefault="005C3A71" w:rsidP="005C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року</w:t>
            </w: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Організація дозвілля населення</w:t>
            </w:r>
          </w:p>
        </w:tc>
      </w:tr>
    </w:tbl>
    <w:p w:rsidR="000939D3" w:rsidRDefault="000939D3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НАПРЯМ 2: Розвиток економічного потенціалу та підприємництва</w:t>
      </w:r>
    </w:p>
    <w:p w:rsid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1. Розвиток підприємницької діяльності, малого та середнього бізнесу</w:t>
      </w:r>
    </w:p>
    <w:p w:rsidR="000939D3" w:rsidRPr="005C3A71" w:rsidRDefault="000939D3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26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72"/>
        <w:gridCol w:w="19"/>
        <w:gridCol w:w="1135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7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2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54" w:type="dxa"/>
            <w:gridSpan w:val="2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Створити сприятливе середовище для впровадження інвестиційних програм та проектів на території громади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нових робочих місць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Провести громадські сходи в населених пунктах з питань існуючої ситуації та перспектив розвитку громади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2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старости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Залучення мешканців громади до співпраці 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Забезпечити публічне обговорення планів, які розробляються органами місцевого самоврядування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2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старости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Прозорість органів влади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створювати додаткові перешкоди для розвитку малого та середнього бізнесу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Апарат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розвиту 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Підтримка розвитку підприємництва в громаді:</w:t>
            </w:r>
          </w:p>
        </w:tc>
        <w:tc>
          <w:tcPr>
            <w:tcW w:w="97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Підтримка  розвиту 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надати, у разі необхідності, на конкурентних засадах земельні ділянки під об’єкти комерційного призначення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Депутати с/ради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звернення суб’єктів підприємницької діяльності, надати їм дозволи на реконструкцію приміщень для використання під бізнес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залучити до вирішення проблем населених пунктів, в першу чергу, підприємців-мешканців громади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 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Проінформувати мешканців громади та підприємців про можливості та потреби в організації того чи іншого бізнесу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Стимулювати діяльність підприємництва направлену на збільшення кількості робочих місць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Домогтися реєстрації підприємств, що розташовані на території селищної ради, за місцем фізичної адреси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Визначення інвестиційно-привабливих об’єктів в населених пунктах громади. Систематизація даних про інвестиційні можливості Брацлавської селищної територіальної громади.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 бізнесу</w:t>
            </w:r>
          </w:p>
        </w:tc>
      </w:tr>
    </w:tbl>
    <w:p w:rsidR="000939D3" w:rsidRDefault="000939D3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D17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2. Залучення коштів підприємств, підприємців та громадян у розвиток соціальної сфери громади та збільшення надходження до бюджету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709"/>
        <w:gridCol w:w="781"/>
        <w:gridCol w:w="1345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90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7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4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Залучити підприємців до</w:t>
            </w:r>
            <w:r w:rsidRPr="005C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будівництва дитячих майданчиків на території с/ ради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дозвілля дітям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Активувати роботу селищної ради в питанні введення місцевих податків та зборів 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Збільшення надходжень до місцевого бюджету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Покращити роботу селищної ради з питань контролю за повнотою надходження податків до бюджету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Апарат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Збільшення надходжень до місцевого бюджету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Проведення перевірок ефективності використання сільськогосподарських угідь, земель запасу, резервного фонду та виконання  плану надходжень плати за землю від юридичних та фізичних осіб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Апарат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Встановлення контролю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ефективності використання с/г угідь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5C3A71">
              <w:rPr>
                <w:rFonts w:ascii="Calibri" w:eastAsia="Calibri" w:hAnsi="Calibri" w:cs="Times New Roman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Реалізувати проекти  «Бюджету участі»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с/р, мешканці громади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Взаємодія влади, громади та бізнесу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 3: Підвищення рівня адміністративних, соціальних послуг та соціальних стандартів життя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1. Підвищення рівня надання комунальних і побутових послуг</w:t>
      </w:r>
    </w:p>
    <w:tbl>
      <w:tblPr>
        <w:tblW w:w="10626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92"/>
        <w:gridCol w:w="1134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Запровадження системи роздільного збирання твердих  побутових відходів на території Брацлавської селищної територіальної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ККП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Модернізація технопарку Брацлавського комбінату комунальних підприємств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ККП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Покращити ефективність роботи комунального підприємства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ККП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Підвищення ефективності роботи Брацлавська ТМПК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ТМПК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Виготовлення проектно-кошторисної документацій для проведення капітальних ремонтів об’єктів комунальної власності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Можливість залучення грантових коштів</w:t>
            </w:r>
          </w:p>
        </w:tc>
      </w:tr>
      <w:tr w:rsidR="003F4485" w:rsidRPr="005C3A71" w:rsidTr="005C3A71">
        <w:tc>
          <w:tcPr>
            <w:tcW w:w="4247" w:type="dxa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Створення ЦНАП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3F4485" w:rsidRPr="005C3A71" w:rsidRDefault="00E913FB" w:rsidP="003F448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r w:rsidR="003F4485"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обслуговування населення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2. Соціальний захист населення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001"/>
        <w:gridCol w:w="1134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1001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Очікуваний результат від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реалізації заходу</w:t>
            </w:r>
          </w:p>
        </w:tc>
      </w:tr>
      <w:tr w:rsidR="005C3A71" w:rsidRPr="005C3A71" w:rsidTr="005C3A71">
        <w:tc>
          <w:tcPr>
            <w:tcW w:w="424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right="-10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Активізувати роботу органу опіки та піклування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Зменшення кількості сімей, які опинились у тяжких життєвих обставинах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Уточнити чисельність мешканців громади, що потребують соціальної підтримки: дітей-сиріт, багатодітних сімей, одиноких престарілих людей, що опинилися в кризових ситуаціях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Поставити на облік усіх мешканців, що потребують підтримки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Розробити ефективну систему соціальної підтримки вищевказаним членам громади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Надання допомоги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Розробити ефективну систему соціальної підтримки учасників АТО(ООС) та їх сімей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Надання допомоги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Створити рівні соціальні можливості особам з особливими потребами та соціальним статусом - інвалідам, людям похилого віку, дітям-сиротам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рівних умов усім жителям громади</w:t>
            </w:r>
          </w:p>
        </w:tc>
      </w:tr>
    </w:tbl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3. Медичне обслуговування та охорона здоров’я</w:t>
      </w:r>
    </w:p>
    <w:tbl>
      <w:tblPr>
        <w:tblW w:w="10626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92"/>
        <w:gridCol w:w="1134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278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Покращення роботи 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КНП «Центр первинної медико-санітарної допомоги» Брацлавської селищної ради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профілактики захворюваності серед мешканців громади. Більш активно пропагувати здоровий спосіб життя</w:t>
            </w:r>
          </w:p>
        </w:tc>
        <w:tc>
          <w:tcPr>
            <w:tcW w:w="992" w:type="dxa"/>
            <w:vAlign w:val="center"/>
          </w:tcPr>
          <w:p w:rsidR="005C3A71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КНП «ЦПМСД» </w:t>
            </w:r>
            <w:r w:rsidR="005C3A71"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Провести фізкультурно-оздоровчі заходи, направлені на боротьбу із алкогольною, тютюновою та наркотичною залежністю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та фізичного рівня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Здійснювати допомогу на нагальні потреби у сфері медицини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Покращення матеріально-технічної бази та ресурсного забезпечення КНП «ЦПМСД Брацлавської селищної ради»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медицини</w:t>
            </w:r>
          </w:p>
        </w:tc>
      </w:tr>
      <w:tr w:rsidR="00E913FB" w:rsidRPr="005C3A71" w:rsidTr="005C3A71">
        <w:tc>
          <w:tcPr>
            <w:tcW w:w="4247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Відновлення роботи вторинного рівня медицини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медицини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8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4. Розвиток фізичної культури та спорту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204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Провести спортивні свята 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05-08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2.Здійснювати допомогу на нагальні потреби у сфері культури та спорту  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території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Підвищення культурного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рівня населення</w:t>
            </w:r>
          </w:p>
        </w:tc>
      </w:tr>
    </w:tbl>
    <w:p w:rsidR="000939D3" w:rsidRDefault="000939D3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5. Благоустрій Брацлавської селищної територіальної громади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276"/>
        <w:gridCol w:w="738"/>
        <w:gridCol w:w="780"/>
        <w:gridCol w:w="1175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0939D3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955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0939D3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Сприяти мешканцям громади у вирішенні питань добудови індивідуальних житлових будинків, будівництві нових будинків на власних земельних ділянках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 ради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Розширення меж населених пунктів та збільшення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Поточний ремонт доріг смт Брацлав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Поточний ремонт доріг с. Бугаків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Поточний ремонт доріг с.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Вишковець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Вигнанки,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Забужжя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Поточний ремонт доріг с. Вовчок,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Довжок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Грабовець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Гранітне,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Сорокодуби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Поточний ремонт доріг с. Гриненки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Зяньківці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Анциполівка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Поточний ремонт доріг с. Монастирське,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Яструбиха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Новоселівка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Глинське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Скрицьке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Шура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Встановлення вуличного  освітлення в            смт Брацлав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Грабовець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Гранітне,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Сорокодуби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Встановлення вуличного  освітлення в             с. Монастирське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 вуличного  освітлення в            с. Бугаків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Вишківці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Вигнанка,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Забужжя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 вуличного  освітлення в            с. Гриненки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Зяньківці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Анциполівка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C3A71">
              <w:rPr>
                <w:rFonts w:ascii="Calibri" w:eastAsia="Calibri" w:hAnsi="Calibri" w:cs="Times New Roman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Новоселівка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Глинське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Скрицьке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Шура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Реконструкція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будівництво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догону в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смт Брацлав 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Реконструкція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будівництво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мереж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водогону в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населених пунктах Брацлавської селищної територіальної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Провести благоустрій біля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шкіл, будинків культури, клубів, меморіалів, пам’ятників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закладів, жителі громади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стану та естетичного вигляду</w:t>
            </w:r>
          </w:p>
        </w:tc>
      </w:tr>
      <w:tr w:rsidR="00E913FB" w:rsidRPr="005C3A71" w:rsidTr="005C3A71">
        <w:tc>
          <w:tcPr>
            <w:tcW w:w="4253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вбиралень</w:t>
            </w:r>
            <w:proofErr w:type="spellEnd"/>
          </w:p>
        </w:tc>
        <w:tc>
          <w:tcPr>
            <w:tcW w:w="992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6.  Забезпечення дотримання законності і правопорядку,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прав і свобод громадян, безпечних умов проживання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204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Забезпечити інформування мешканців громади щодо соціально-економічного стану населених пунктів, проблемних питань, виявлених негативних тенденцій, порушень дотримання законності і правопорядку на території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Залучення населення до активної участі у громадському житті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Протягом року провести  сходи сіл громади з вищевказаних питань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Залучення населення до активної участі у громадському житті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Запровадити звітні зустрічі депутатів селищної ради з мешканцями відповідних округів з проблемних питань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Залучення населення до активної участі у громадському житті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Домогтися покращення роботи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дільничих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інспекторів шляхом проведення подвірних обходів, роботи з особами схильними до правопорушень, молоддю 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Зниження рівня правопорушень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Домогтися виконання мешканцями громади Закону України «Про благоустрій населених пунктів», «Правил благоустрою і утримання території селищної ради»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Встановлення мережі відеоспостереження у населених пунктах Брацлавської селищної територіальної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Зниження рівня правопорушень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 4: Охорона та збереження навколишнього природного середовища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Завдання 1. Охорона  довкілля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Винести питання охорони навколишнього природного середовища на збори громадян за місцем проживання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Організувати загальні масові екологічні заходи – «Чисте довкілля», «Посади своє дерево» і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03-05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Провести конкурси «Краща вулиця» та «Двір зразкового порядку»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 Приведення сміттєзвалищ в належний стан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с/ради, ККП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Збереження навколишнього природного середовища</w:t>
            </w:r>
          </w:p>
        </w:tc>
      </w:tr>
      <w:tr w:rsidR="00524958" w:rsidRPr="005C3A71" w:rsidTr="005C3A71">
        <w:tc>
          <w:tcPr>
            <w:tcW w:w="4253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Налагодитя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</w:t>
            </w:r>
            <w:r w:rsidRPr="00524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поводження з відходами.</w:t>
            </w:r>
          </w:p>
        </w:tc>
        <w:tc>
          <w:tcPr>
            <w:tcW w:w="992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</w:t>
            </w:r>
          </w:p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с/ради, ККП</w:t>
            </w:r>
          </w:p>
        </w:tc>
        <w:tc>
          <w:tcPr>
            <w:tcW w:w="1134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Збереження навколишнього природного середовища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2. Управління побутовими відходами та розробка схем санітарної очистки населених пунктів громади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Розробити схему санітарної очистки населених пунктів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Домогтися дотримання фізичними та юридичними особами виконання вимог Закону України «Про благоустрій населених пунктів» та «Правил благоустрою і утримання території сільської ради»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Застосовувати заходи адміністративного впливу до порушників «Правил благоустрою»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3. Створення рекреаційних зон та озеленення населених пунктів громади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Упорядкування паркових зон на території селищної ради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right="-10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Удосконалення дозвілля дітей та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Провести озеленення територій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Жителі громади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04-06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НАПРЯМ 5:  Розвиток сільського господарства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right="-204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0939D3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Сприяти створенню та розвитку  сільськогосподарських підприємств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фермерських господарств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Залучення інвестиційних ресурсів в аграрне виробництво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Розвиток аграрного виробництва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Виконання землевпорядних робіт із передачі земель громадянам у власність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right="-10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Упорядкування меж території</w:t>
            </w:r>
          </w:p>
        </w:tc>
      </w:tr>
    </w:tbl>
    <w:p w:rsidR="005C3A71" w:rsidRPr="005C3A71" w:rsidRDefault="005C3A71" w:rsidP="005C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ru-RU" w:eastAsia="ru-RU"/>
        </w:rPr>
        <w:t xml:space="preserve">ІІІ. 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Джерела фінансування та строк виконання Програми</w:t>
      </w:r>
    </w:p>
    <w:p w:rsidR="005C3A71" w:rsidRPr="005C3A71" w:rsidRDefault="005C3A71" w:rsidP="005C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3A7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Фінансування Програми здійснюватиметься з селищного, обласного бюджетів, субвенцій з державного бюджету та інших джерел незаборонених законодавством. </w:t>
      </w:r>
      <w:r w:rsidRPr="005C3A7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Фінансування можливо буде збільшено за рахунок додаткових надходжень до бюджету селищної ради.</w:t>
      </w:r>
      <w:r w:rsidRPr="005C3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Обсяги фінансування Програми можуть змінюватися у залежності від реальних можливостей бюджету.</w:t>
      </w:r>
    </w:p>
    <w:p w:rsidR="005C3A71" w:rsidRPr="005C3A71" w:rsidRDefault="005C3A71" w:rsidP="005C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Коефіцієнт рост</w:t>
      </w:r>
      <w:r w:rsidR="00EF50A5">
        <w:rPr>
          <w:rFonts w:ascii="Times New Roman" w:eastAsia="Times New Roman" w:hAnsi="Times New Roman" w:cs="Times New Roman"/>
          <w:sz w:val="24"/>
          <w:szCs w:val="28"/>
          <w:lang w:eastAsia="ru-RU"/>
        </w:rPr>
        <w:t>у ПДФО заплановано в розмірі 1,</w:t>
      </w:r>
      <w:r w:rsidR="00EF50A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</w:t>
      </w:r>
      <w:r w:rsidRPr="005C3A71">
        <w:rPr>
          <w:rFonts w:ascii="Times New Roman" w:eastAsia="Times New Roman" w:hAnsi="Times New Roman" w:cs="Times New Roman"/>
          <w:sz w:val="24"/>
          <w:szCs w:val="28"/>
          <w:lang w:eastAsia="ru-RU"/>
        </w:rPr>
        <w:t>7%, відповідно до даного виду доходів минулого року.</w:t>
      </w:r>
    </w:p>
    <w:p w:rsidR="005C3A71" w:rsidRPr="005C3A71" w:rsidRDefault="005C3A71" w:rsidP="005C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І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en-US" w:eastAsia="ru-RU"/>
        </w:rPr>
        <w:t>V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. Результати виконання Програми</w:t>
      </w: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забезпечення ефективного використання бюджетних коштів передбачається концентрація видатків на заплановані бюджетні призначення та виконання пріоритетних проектів розвитку соціальної інфраструктури.</w:t>
      </w:r>
    </w:p>
    <w:p w:rsidR="005C3A71" w:rsidRPr="005C3A71" w:rsidRDefault="005C3A71" w:rsidP="005C3A7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 метою належного виконання Програми будуть прийняті необхідні цільові галузеві програми. Необхідно забезпечити фінансування з селищного бюджету першочергових заходів цільових програм, які реалізовуватимуться відповідно до пріоритетів даної Програми.     Виконання передбачених заходів дасть можливість досягти більш високого рівня соціально-економічного та культурного розвитку Брацлавської селищної територіальної громади.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A71" w:rsidRPr="005C3A71" w:rsidRDefault="000939D3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C3A71"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  селищної ради                                          </w:t>
      </w:r>
      <w:r w:rsidR="0052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Тетяна </w:t>
      </w:r>
      <w:r w:rsidR="005C3A71"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НЕПИЙВОДА</w:t>
      </w:r>
      <w:r w:rsidR="005C3A71"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9D3" w:rsidRPr="005C3A71" w:rsidRDefault="000939D3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55"/>
        <w:tblW w:w="4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</w:tblGrid>
      <w:tr w:rsidR="005C3A71" w:rsidRPr="005C3A71" w:rsidTr="00524958">
        <w:trPr>
          <w:trHeight w:val="1680"/>
        </w:trPr>
        <w:tc>
          <w:tcPr>
            <w:tcW w:w="438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5C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</w:t>
            </w:r>
          </w:p>
          <w:p w:rsidR="005C3A71" w:rsidRPr="005C3A71" w:rsidRDefault="005C3A71" w:rsidP="00524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бюджетної Програми «Економічний та соціальний розвиток  Брацлавської селищної</w:t>
            </w:r>
            <w:r w:rsidR="00524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територіальної громади» на 2022-2024 роки</w:t>
            </w:r>
          </w:p>
        </w:tc>
      </w:tr>
    </w:tbl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939D3" w:rsidRDefault="000939D3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Обсяг фінансування</w:t>
      </w: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бюджетної Програми «Економічний та соціальний розвиток Брацлавської селищної територіальної громади»</w:t>
      </w:r>
    </w:p>
    <w:p w:rsidR="005C3A71" w:rsidRDefault="005C3A71" w:rsidP="00524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F50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</w:t>
      </w:r>
      <w:r w:rsidR="005249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2022-2024 роки</w:t>
      </w:r>
    </w:p>
    <w:p w:rsidR="000F150C" w:rsidRDefault="000F150C" w:rsidP="00524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F150C" w:rsidRPr="005C3A71" w:rsidRDefault="000F150C" w:rsidP="005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8897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0F150C" w:rsidRPr="00042CEE" w:rsidTr="007E6B38">
        <w:tc>
          <w:tcPr>
            <w:tcW w:w="3585" w:type="dxa"/>
            <w:vMerge w:val="restart"/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Обсяг коштів, які пропонується залучити на виконання Програми 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150C" w:rsidRPr="00042CEE" w:rsidRDefault="000F150C" w:rsidP="007E6B3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0F150C" w:rsidRPr="00042CEE" w:rsidRDefault="000F150C" w:rsidP="007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0F150C" w:rsidRPr="00042CEE" w:rsidRDefault="000F150C" w:rsidP="007E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</w:tr>
      <w:tr w:rsidR="000F150C" w:rsidRPr="00042CEE" w:rsidTr="007E6B38">
        <w:trPr>
          <w:trHeight w:val="431"/>
        </w:trPr>
        <w:tc>
          <w:tcPr>
            <w:tcW w:w="3585" w:type="dxa"/>
            <w:vMerge/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50C" w:rsidRPr="00042CEE" w:rsidTr="007E6B38">
        <w:trPr>
          <w:trHeight w:val="285"/>
        </w:trPr>
        <w:tc>
          <w:tcPr>
            <w:tcW w:w="3585" w:type="dxa"/>
            <w:vMerge/>
          </w:tcPr>
          <w:p w:rsidR="000F150C" w:rsidRPr="00042CEE" w:rsidRDefault="000F150C" w:rsidP="007E6B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50C" w:rsidRPr="00042CEE" w:rsidTr="007E6B38">
        <w:trPr>
          <w:trHeight w:val="442"/>
        </w:trPr>
        <w:tc>
          <w:tcPr>
            <w:tcW w:w="3585" w:type="dxa"/>
          </w:tcPr>
          <w:p w:rsidR="000F150C" w:rsidRPr="00042CEE" w:rsidRDefault="000F150C" w:rsidP="007E6B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 грн.</w:t>
            </w:r>
          </w:p>
        </w:tc>
        <w:tc>
          <w:tcPr>
            <w:tcW w:w="1201" w:type="dxa"/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390 037</w:t>
            </w:r>
          </w:p>
        </w:tc>
        <w:tc>
          <w:tcPr>
            <w:tcW w:w="1134" w:type="dxa"/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430 000</w:t>
            </w:r>
          </w:p>
        </w:tc>
        <w:tc>
          <w:tcPr>
            <w:tcW w:w="1276" w:type="dxa"/>
          </w:tcPr>
          <w:p w:rsidR="000F150C" w:rsidRPr="00042CEE" w:rsidRDefault="000F150C" w:rsidP="007E6B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483 750</w:t>
            </w:r>
          </w:p>
        </w:tc>
        <w:tc>
          <w:tcPr>
            <w:tcW w:w="1701" w:type="dxa"/>
            <w:shd w:val="clear" w:color="auto" w:fill="auto"/>
          </w:tcPr>
          <w:p w:rsidR="000F150C" w:rsidRPr="00042CEE" w:rsidRDefault="000F150C" w:rsidP="007E6B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1 303 787</w:t>
            </w:r>
          </w:p>
        </w:tc>
      </w:tr>
    </w:tbl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A71" w:rsidRPr="00524958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A71" w:rsidRPr="00524958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Секретар селищної ради                                                   </w:t>
      </w:r>
      <w:r w:rsidR="0052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Тетяна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9D3"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НЕПИЙВОДА </w:t>
      </w:r>
    </w:p>
    <w:p w:rsidR="005C3A71" w:rsidRPr="005C3A71" w:rsidRDefault="005C3A71" w:rsidP="005C3A71">
      <w:pPr>
        <w:spacing w:after="200" w:line="276" w:lineRule="auto"/>
        <w:rPr>
          <w:rFonts w:ascii="Calibri" w:eastAsia="Calibri" w:hAnsi="Calibri" w:cs="Times New Roman"/>
        </w:rPr>
      </w:pPr>
    </w:p>
    <w:p w:rsidR="005C3A71" w:rsidRDefault="005C3A71"/>
    <w:sectPr w:rsidR="005C3A71" w:rsidSect="00524958">
      <w:headerReference w:type="even" r:id="rId7"/>
      <w:headerReference w:type="default" r:id="rId8"/>
      <w:headerReference w:type="first" r:id="rId9"/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3C" w:rsidRDefault="009E5E3C">
      <w:pPr>
        <w:spacing w:after="0" w:line="240" w:lineRule="auto"/>
      </w:pPr>
      <w:r>
        <w:separator/>
      </w:r>
    </w:p>
  </w:endnote>
  <w:endnote w:type="continuationSeparator" w:id="0">
    <w:p w:rsidR="009E5E3C" w:rsidRDefault="009E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3C" w:rsidRDefault="009E5E3C">
      <w:pPr>
        <w:spacing w:after="0" w:line="240" w:lineRule="auto"/>
      </w:pPr>
      <w:r>
        <w:separator/>
      </w:r>
    </w:p>
  </w:footnote>
  <w:footnote w:type="continuationSeparator" w:id="0">
    <w:p w:rsidR="009E5E3C" w:rsidRDefault="009E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B" w:rsidRDefault="005228EB" w:rsidP="005C3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50C">
      <w:rPr>
        <w:rStyle w:val="a5"/>
        <w:noProof/>
      </w:rPr>
      <w:t>12</w:t>
    </w:r>
    <w:r>
      <w:rPr>
        <w:rStyle w:val="a5"/>
      </w:rPr>
      <w:fldChar w:fldCharType="end"/>
    </w:r>
  </w:p>
  <w:p w:rsidR="005228EB" w:rsidRDefault="005228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B" w:rsidRDefault="005228EB" w:rsidP="005C3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50C">
      <w:rPr>
        <w:rStyle w:val="a5"/>
        <w:noProof/>
      </w:rPr>
      <w:t>11</w:t>
    </w:r>
    <w:r>
      <w:rPr>
        <w:rStyle w:val="a5"/>
      </w:rPr>
      <w:fldChar w:fldCharType="end"/>
    </w:r>
  </w:p>
  <w:p w:rsidR="005228EB" w:rsidRDefault="005228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B" w:rsidRPr="000D50DC" w:rsidRDefault="005228EB" w:rsidP="005C3A71">
    <w:pPr>
      <w:pStyle w:val="a3"/>
      <w:tabs>
        <w:tab w:val="clear" w:pos="4677"/>
        <w:tab w:val="clear" w:pos="9355"/>
        <w:tab w:val="left" w:pos="7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B72E3"/>
    <w:multiLevelType w:val="hybridMultilevel"/>
    <w:tmpl w:val="8F788F2C"/>
    <w:lvl w:ilvl="0" w:tplc="2B966C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  <w:sz w:val="36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CEF6E51"/>
    <w:multiLevelType w:val="hybridMultilevel"/>
    <w:tmpl w:val="88D6DE06"/>
    <w:lvl w:ilvl="0" w:tplc="A21806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51602"/>
    <w:multiLevelType w:val="multilevel"/>
    <w:tmpl w:val="DDB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B267C"/>
    <w:multiLevelType w:val="hybridMultilevel"/>
    <w:tmpl w:val="2D662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265EA"/>
    <w:multiLevelType w:val="hybridMultilevel"/>
    <w:tmpl w:val="A02A18E2"/>
    <w:lvl w:ilvl="0" w:tplc="5444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71"/>
    <w:rsid w:val="000939D3"/>
    <w:rsid w:val="000D1D39"/>
    <w:rsid w:val="000F150C"/>
    <w:rsid w:val="003421A5"/>
    <w:rsid w:val="003E3650"/>
    <w:rsid w:val="003F4485"/>
    <w:rsid w:val="005228EB"/>
    <w:rsid w:val="00524958"/>
    <w:rsid w:val="005C3A71"/>
    <w:rsid w:val="00670763"/>
    <w:rsid w:val="00926FE4"/>
    <w:rsid w:val="009941B6"/>
    <w:rsid w:val="009E5E3C"/>
    <w:rsid w:val="00A86B4F"/>
    <w:rsid w:val="00AA1D17"/>
    <w:rsid w:val="00AD5B21"/>
    <w:rsid w:val="00AE58C6"/>
    <w:rsid w:val="00C9401B"/>
    <w:rsid w:val="00D81072"/>
    <w:rsid w:val="00D939DE"/>
    <w:rsid w:val="00E55E4B"/>
    <w:rsid w:val="00E913FB"/>
    <w:rsid w:val="00E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53180-A566-4E10-8F0E-83C7768E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C3A7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A71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5C3A71"/>
  </w:style>
  <w:style w:type="numbering" w:customStyle="1" w:styleId="11">
    <w:name w:val="Нет списка11"/>
    <w:next w:val="a2"/>
    <w:semiHidden/>
    <w:rsid w:val="005C3A71"/>
  </w:style>
  <w:style w:type="paragraph" w:styleId="a3">
    <w:name w:val="header"/>
    <w:basedOn w:val="a"/>
    <w:link w:val="a4"/>
    <w:rsid w:val="005C3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C3A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5C3A71"/>
  </w:style>
  <w:style w:type="table" w:styleId="a6">
    <w:name w:val="Table Grid"/>
    <w:basedOn w:val="a1"/>
    <w:rsid w:val="005C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5C3A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5C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C3A7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5C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A71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5C3A7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4927</Words>
  <Characters>28086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2023-11-21T07:30:00Z</cp:lastPrinted>
  <dcterms:created xsi:type="dcterms:W3CDTF">2021-12-18T12:53:00Z</dcterms:created>
  <dcterms:modified xsi:type="dcterms:W3CDTF">2023-11-21T07:39:00Z</dcterms:modified>
</cp:coreProperties>
</file>