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A7" w:rsidRPr="00A668F8" w:rsidRDefault="007D1F7E" w:rsidP="00EE03A7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1.5pt;margin-top:.3pt;width:34.5pt;height:47.25pt;z-index:251660288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789193091" r:id="rId8"/>
        </w:object>
      </w:r>
    </w:p>
    <w:p w:rsidR="00EE03A7" w:rsidRDefault="00EE03A7" w:rsidP="00EE03A7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A72168" w:rsidRPr="00A72168" w:rsidRDefault="00A72168" w:rsidP="00EE03A7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"/>
          <w:szCs w:val="28"/>
          <w:lang w:val="ru-RU" w:eastAsia="uk-UA"/>
        </w:rPr>
      </w:pPr>
    </w:p>
    <w:p w:rsidR="00EE03A7" w:rsidRPr="00A668F8" w:rsidRDefault="00EE03A7" w:rsidP="00EE03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EE03A7" w:rsidRPr="00A668F8" w:rsidRDefault="00BC4BEB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П’ЯТДЕСЯТ ДРУГА</w:t>
      </w:r>
      <w:r w:rsidR="00EE03A7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707FF6" w:rsidRDefault="00707FF6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 </w:t>
      </w:r>
    </w:p>
    <w:p w:rsidR="00EE03A7" w:rsidRPr="00A668F8" w:rsidRDefault="00EE03A7" w:rsidP="00EE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EE03A7" w:rsidRPr="00A668F8" w:rsidRDefault="00EE03A7" w:rsidP="00EE03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EE03A7" w:rsidRPr="00A668F8" w:rsidRDefault="00A72168" w:rsidP="00EE03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«24</w:t>
      </w:r>
      <w:r w:rsidR="00BC4BEB">
        <w:rPr>
          <w:rFonts w:ascii="Times New Roman" w:eastAsia="Times New Roman" w:hAnsi="Times New Roman" w:cs="Times New Roman"/>
          <w:sz w:val="28"/>
          <w:szCs w:val="28"/>
          <w:lang w:eastAsia="uk-UA"/>
        </w:rPr>
        <w:t>» вересня  2024 року                 селище</w:t>
      </w:r>
      <w:r w:rsidR="00EE03A7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203</w:t>
      </w:r>
    </w:p>
    <w:p w:rsidR="00204AFD" w:rsidRPr="00204AFD" w:rsidRDefault="00204AFD" w:rsidP="00204AFD">
      <w:pPr>
        <w:pStyle w:val="a9"/>
        <w:spacing w:after="0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D46C1E" w:rsidRDefault="00D46C1E" w:rsidP="00D46C1E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46C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 затвердження порядку та </w:t>
      </w:r>
    </w:p>
    <w:p w:rsidR="00D46C1E" w:rsidRDefault="00D46C1E" w:rsidP="00D46C1E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46C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нормативу відрахувань до бюджету </w:t>
      </w:r>
    </w:p>
    <w:p w:rsidR="00D46C1E" w:rsidRDefault="00D46C1E" w:rsidP="00D46C1E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46C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частини чистого прибутку (доходу) </w:t>
      </w:r>
    </w:p>
    <w:p w:rsidR="00D46C1E" w:rsidRPr="00D46C1E" w:rsidRDefault="00D46C1E" w:rsidP="00D46C1E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46C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підприємствами комунальної власності</w:t>
      </w:r>
    </w:p>
    <w:p w:rsidR="00D46C1E" w:rsidRPr="00D46C1E" w:rsidRDefault="00D46C1E" w:rsidP="00D46C1E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46C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Брацлавської селищної ради на  2024 рік</w:t>
      </w:r>
    </w:p>
    <w:p w:rsidR="00D46C1E" w:rsidRPr="00D46C1E" w:rsidRDefault="00D46C1E" w:rsidP="00D46C1E">
      <w:pPr>
        <w:tabs>
          <w:tab w:val="left" w:pos="284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D46C1E" w:rsidRPr="00D46C1E" w:rsidRDefault="00D46C1E" w:rsidP="00D46C1E">
      <w:pPr>
        <w:tabs>
          <w:tab w:val="left" w:pos="284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 </w:t>
      </w: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>метою наповнення дохідної частини бюджету Брацлавської селищної ради ,затвердження порядку та нормативу відрахувань  частини чистого пр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ибутку (</w:t>
      </w: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доходу), отриманого за результатами господарської діяльності підприємствами ,що належать до комунальної власності  Брацлавської селищної 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ради</w:t>
      </w: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>керуючись п.35 ст.64 Бюджетного кодексу України,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пп.29 ч.1ст.26 Закону України «</w:t>
      </w: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»,</w:t>
      </w: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селищна</w:t>
      </w: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рада </w:t>
      </w: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>ВИРІШИЛА:</w:t>
      </w:r>
    </w:p>
    <w:p w:rsidR="00D46C1E" w:rsidRPr="00D46C1E" w:rsidRDefault="00D46C1E" w:rsidP="00D46C1E">
      <w:pPr>
        <w:tabs>
          <w:tab w:val="left" w:pos="284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D46C1E" w:rsidRPr="00D46C1E" w:rsidRDefault="00D46C1E" w:rsidP="00D46C1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>Встановити для комунальних підприємств Брацлавської селищної ради  показник відрахування частини чистого прибутку (доходу) за результатами фінансово-господарської діяльності у 2024 році, яка підлягає зарахуванню до загального фонду бюджету Брацлавської селищної терито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ріальної громади  в розмірі 5 %.</w:t>
      </w:r>
    </w:p>
    <w:p w:rsidR="00D46C1E" w:rsidRPr="00D46C1E" w:rsidRDefault="00D46C1E" w:rsidP="00D46C1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Затвердити Порядок та норматив відрахування частини прибутку (доходу) за результатами річної та щоквартальної фінансово- господарської діяльності для підприємств комунальної власності Брацлавської селищної 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ради</w:t>
      </w: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>, яка пі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длягає зарахуванню до селищного</w:t>
      </w: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 бюджету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>(додається).</w:t>
      </w:r>
    </w:p>
    <w:p w:rsidR="00D46C1E" w:rsidRPr="00D46C1E" w:rsidRDefault="00D46C1E" w:rsidP="00D46C1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>Керівникам комунальних підприємств забезпечити надходження частини чистого прибутку (доходу) до загального фонду бюджету, згідно затвердженого нормативу.</w:t>
      </w:r>
    </w:p>
    <w:p w:rsidR="00D46C1E" w:rsidRPr="00D46C1E" w:rsidRDefault="00D46C1E" w:rsidP="00D46C1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Фінансовому відділу Брацлавської селищної 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ради </w:t>
      </w:r>
      <w:r w:rsidRPr="00D46C1E">
        <w:rPr>
          <w:rFonts w:ascii="Times New Roman" w:eastAsia="Times New Roman" w:hAnsi="Times New Roman" w:cs="Times New Roman"/>
          <w:sz w:val="24"/>
          <w:szCs w:val="28"/>
          <w:lang w:eastAsia="uk-UA"/>
        </w:rPr>
        <w:t>направити копію цього рішення з додатком ГУ ДПС у Вінницькій області для здійснення контролю за нарахуванням та сплатою частини чистого прибутку комунальним підприємствам.</w:t>
      </w:r>
    </w:p>
    <w:p w:rsidR="00A164DA" w:rsidRPr="00A668F8" w:rsidRDefault="00860DBF" w:rsidP="00D46C1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даного рішення 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покласти на постійну депутатську комісію з питань фінансів, бюджету, інвестицій, соціально-економічного розвитку, освіти, охорони </w:t>
      </w:r>
      <w:r w:rsidR="00A164DA" w:rsidRP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здоров’я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, культур</w:t>
      </w:r>
      <w:r w:rsidR="00EA4834">
        <w:rPr>
          <w:rFonts w:ascii="Times New Roman" w:eastAsia="Times New Roman" w:hAnsi="Times New Roman" w:cs="Times New Roman"/>
          <w:sz w:val="24"/>
          <w:szCs w:val="28"/>
          <w:lang w:eastAsia="uk-UA"/>
        </w:rPr>
        <w:t>и (голова комісії Олександр ДОЛОВАНЮК</w:t>
      </w:r>
      <w:r w:rsidR="00A164DA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).</w:t>
      </w:r>
    </w:p>
    <w:p w:rsidR="00204AFD" w:rsidRDefault="00707FF6" w:rsidP="00785A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</w:p>
    <w:p w:rsidR="00A72168" w:rsidRDefault="00A72168" w:rsidP="00785A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82C83" w:rsidRDefault="00372A8B" w:rsidP="00785AE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860DBF" w:rsidRPr="00707FF6">
        <w:rPr>
          <w:rFonts w:ascii="Times New Roman" w:eastAsia="Times New Roman" w:hAnsi="Times New Roman" w:cs="Times New Roman"/>
          <w:sz w:val="26"/>
          <w:szCs w:val="26"/>
          <w:lang w:eastAsia="uk-UA"/>
        </w:rPr>
        <w:t>Селищний голова                                                         Микола КОБРИНЧУК</w:t>
      </w:r>
    </w:p>
    <w:p w:rsidR="00D46C1E" w:rsidRDefault="00D46C1E" w:rsidP="00785AE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46C1E" w:rsidRDefault="00D46C1E" w:rsidP="00785AE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46C1E" w:rsidRDefault="00D46C1E" w:rsidP="00785AE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D46C1E" w:rsidRDefault="00D46C1E" w:rsidP="00D46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ru-RU" w:eastAsia="ru-RU"/>
        </w:rPr>
      </w:pPr>
    </w:p>
    <w:p w:rsidR="00D46C1E" w:rsidRDefault="00D46C1E" w:rsidP="00D46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ru-RU" w:eastAsia="ru-RU"/>
        </w:rPr>
      </w:pPr>
    </w:p>
    <w:p w:rsidR="00D46C1E" w:rsidRDefault="00D46C1E" w:rsidP="00D46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ru-RU" w:eastAsia="ru-RU"/>
        </w:rPr>
      </w:pPr>
    </w:p>
    <w:p w:rsidR="00D46C1E" w:rsidRDefault="00D46C1E" w:rsidP="00D46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val="ru-RU" w:eastAsia="ru-RU"/>
        </w:rPr>
      </w:pPr>
    </w:p>
    <w:p w:rsidR="00D46C1E" w:rsidRPr="00D46C1E" w:rsidRDefault="00D46C1E" w:rsidP="00D46C1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bookmarkStart w:id="0" w:name="_GoBack"/>
      <w:bookmarkEnd w:id="0"/>
      <w:r w:rsidRPr="00D46C1E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eastAsia="ru-RU"/>
        </w:rPr>
        <w:lastRenderedPageBreak/>
        <w:t>ЗАТВЕРДЖЕНО</w:t>
      </w:r>
    </w:p>
    <w:p w:rsidR="00D46C1E" w:rsidRPr="00D46C1E" w:rsidRDefault="00D46C1E" w:rsidP="00D46C1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 w:rsidRPr="002A73CB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Рішенням 52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 xml:space="preserve"> сесії 8  скликання</w:t>
      </w:r>
    </w:p>
    <w:p w:rsidR="00D46C1E" w:rsidRPr="00D46C1E" w:rsidRDefault="00D46C1E" w:rsidP="00D46C1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 w:rsidRPr="00D46C1E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 w:rsidRPr="002A73CB">
        <w:rPr>
          <w:rFonts w:ascii="Times New Roman" w:eastAsia="Times New Roman" w:hAnsi="Times New Roman" w:cs="Times New Roman"/>
          <w:sz w:val="24"/>
          <w:szCs w:val="28"/>
          <w:lang w:eastAsia="uk-UA"/>
        </w:rPr>
        <w:t>Брацлавської селищної</w:t>
      </w:r>
      <w:r w:rsidRPr="002A73CB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 xml:space="preserve"> 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ради</w:t>
      </w:r>
    </w:p>
    <w:p w:rsidR="00D46C1E" w:rsidRPr="00D46C1E" w:rsidRDefault="00C51A96" w:rsidP="00C51A9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72168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від «24» вересня 2024 року № 203</w:t>
      </w:r>
    </w:p>
    <w:p w:rsidR="00D46C1E" w:rsidRPr="00D46C1E" w:rsidRDefault="00D46C1E" w:rsidP="00D46C1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 w:rsidRPr="00D46C1E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   </w:t>
      </w:r>
    </w:p>
    <w:p w:rsidR="00D46C1E" w:rsidRPr="00D46C1E" w:rsidRDefault="00D46C1E" w:rsidP="00D46C1E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 w:rsidRPr="00D46C1E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eastAsia="ru-RU"/>
        </w:rPr>
        <w:t>ПОРЯДОК</w:t>
      </w:r>
    </w:p>
    <w:p w:rsidR="00D46C1E" w:rsidRPr="002A73CB" w:rsidRDefault="00D46C1E" w:rsidP="00D46C1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eastAsia="ru-RU"/>
        </w:rPr>
      </w:pPr>
      <w:r w:rsidRPr="002A73CB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eastAsia="ru-RU"/>
        </w:rPr>
        <w:t>та</w:t>
      </w:r>
      <w:r w:rsidRPr="00D46C1E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eastAsia="ru-RU"/>
        </w:rPr>
        <w:t xml:space="preserve"> норматив відрахування до бюджету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 </w:t>
      </w:r>
      <w:r w:rsidRPr="002A73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Брацлавської селищної</w:t>
      </w:r>
      <w:r w:rsidRPr="002A73CB">
        <w:rPr>
          <w:rFonts w:ascii="Times New Roman" w:eastAsia="Times New Roman" w:hAnsi="Times New Roman" w:cs="Times New Roman"/>
          <w:b/>
          <w:bCs/>
          <w:color w:val="333333"/>
          <w:spacing w:val="7"/>
          <w:sz w:val="32"/>
          <w:szCs w:val="28"/>
          <w:lang w:eastAsia="ru-RU"/>
        </w:rPr>
        <w:t xml:space="preserve"> </w:t>
      </w:r>
      <w:r w:rsidRPr="00D46C1E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eastAsia="ru-RU"/>
        </w:rPr>
        <w:t>територіальної гром</w:t>
      </w:r>
      <w:r w:rsidRPr="002A73CB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eastAsia="ru-RU"/>
        </w:rPr>
        <w:t>ади комунальними підприємствами</w:t>
      </w:r>
      <w:r w:rsidRPr="00D46C1E">
        <w:rPr>
          <w:rFonts w:ascii="Times New Roman" w:eastAsia="Times New Roman" w:hAnsi="Times New Roman" w:cs="Times New Roman"/>
          <w:b/>
          <w:bCs/>
          <w:color w:val="333333"/>
          <w:spacing w:val="7"/>
          <w:sz w:val="28"/>
          <w:szCs w:val="28"/>
          <w:lang w:eastAsia="ru-RU"/>
        </w:rPr>
        <w:t>, які належать до комунальної власності територіальної громади, частини чистого прибутку (доходу) за результатами фінансово-господарської діяльності у 2024 році</w:t>
      </w:r>
    </w:p>
    <w:p w:rsidR="00D46C1E" w:rsidRPr="00D46C1E" w:rsidRDefault="00D46C1E" w:rsidP="00D46C1E">
      <w:pPr>
        <w:shd w:val="clear" w:color="auto" w:fill="FFFFFF"/>
        <w:spacing w:after="120" w:line="240" w:lineRule="auto"/>
        <w:jc w:val="center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</w:p>
    <w:p w:rsidR="00D46C1E" w:rsidRPr="00D46C1E" w:rsidRDefault="00D46C1E" w:rsidP="00B629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Порядок і норматив відрахування до загального фонду бюджету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2A73CB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Брацлавської селищної</w:t>
      </w:r>
      <w:r w:rsidRPr="002A73CB">
        <w:rPr>
          <w:rFonts w:ascii="Times New Roman" w:eastAsia="Times New Roman" w:hAnsi="Times New Roman" w:cs="Times New Roman"/>
          <w:color w:val="333333"/>
          <w:spacing w:val="7"/>
          <w:sz w:val="32"/>
          <w:szCs w:val="28"/>
          <w:lang w:eastAsia="ru-RU"/>
        </w:rPr>
        <w:t xml:space="preserve"> 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територіальної громади комунальними підприємствами, які належать до комунальної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 власності територіальної громади, частини чистого прибутку (доходу) за результатами фінансово-господарської 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діяльності у 2024 році (далі-Порядок) розроблено на виконання пункту 35 частини 1 статті 64 Бюджетного кодексу України.</w:t>
      </w:r>
    </w:p>
    <w:p w:rsidR="00D46C1E" w:rsidRPr="00D46C1E" w:rsidRDefault="00D46C1E" w:rsidP="00D46C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 xml:space="preserve">Відповідно до цього Порядку встановлюється відрахування в розмірі 5 відсотків до чистого прибутку (доходу), за результатами фінансово-господарської діяльності у </w:t>
      </w:r>
      <w:r w:rsidR="00B629B5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2024 році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.</w:t>
      </w:r>
    </w:p>
    <w:p w:rsidR="00D46C1E" w:rsidRPr="00D46C1E" w:rsidRDefault="00D46C1E" w:rsidP="00D46C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 w:rsidRPr="00D46C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Підприємства комунальної власності самостійно розраховують частину чистого прибутку (доходу), виходячи з установленого даним Порядком нормативу, та подають розрахунок до ГУ ДПС у Вінницькій області разом з фінансовою звітністю, складеною відповідно до положень (стандартів) бухгалтерського обліку у строки, встановлені для подання декларації з податку на прибуток підприємств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.</w:t>
      </w:r>
    </w:p>
    <w:p w:rsidR="00D46C1E" w:rsidRPr="00D46C1E" w:rsidRDefault="00D46C1E" w:rsidP="00D46C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Визначений норматив частини чистого прибутку (доходу) комунальних підприємств сплачується щоквартально у строки, встановлені для сплати податку на прибуток підприємств і зараховується на відповідний рахунок з обліку надходжень до загального фонду бюджету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="002A73CB" w:rsidRPr="002A73CB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Брацлавської селищної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32"/>
          <w:szCs w:val="28"/>
          <w:lang w:eastAsia="ru-RU"/>
        </w:rPr>
        <w:t xml:space="preserve"> 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територіальної громади, відкритий в органах Державного казначейства.</w:t>
      </w:r>
    </w:p>
    <w:p w:rsidR="00D46C1E" w:rsidRPr="00D46C1E" w:rsidRDefault="00D46C1E" w:rsidP="00D46C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 xml:space="preserve">Керівникам комунальних підприємств, що знаходяться у комунальній власності </w:t>
      </w:r>
      <w:r w:rsidR="002A73CB" w:rsidRPr="002A73CB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Брацлавської селищної</w:t>
      </w:r>
      <w:r w:rsidR="002A73CB" w:rsidRPr="002A73CB">
        <w:rPr>
          <w:rFonts w:ascii="Times New Roman" w:eastAsia="Times New Roman" w:hAnsi="Times New Roman" w:cs="Times New Roman"/>
          <w:color w:val="333333"/>
          <w:spacing w:val="7"/>
          <w:sz w:val="32"/>
          <w:szCs w:val="28"/>
          <w:lang w:eastAsia="ru-RU"/>
        </w:rPr>
        <w:t xml:space="preserve"> </w:t>
      </w:r>
      <w:r w:rsidR="002A73CB" w:rsidRPr="002A73C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 xml:space="preserve">ради 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забезпечити надходження відрахувань частини чистого прибутку (дох</w:t>
      </w:r>
      <w:r w:rsidR="002A73CB" w:rsidRPr="002A73C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оду) до загального фонду селищн</w:t>
      </w:r>
      <w:r w:rsidRPr="00D46C1E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ого бюджету згідно з даним Порядком,</w:t>
      </w:r>
    </w:p>
    <w:p w:rsidR="00D46C1E" w:rsidRPr="00D46C1E" w:rsidRDefault="00D46C1E" w:rsidP="00D46C1E">
      <w:pPr>
        <w:shd w:val="clear" w:color="auto" w:fill="FFFFFF"/>
        <w:tabs>
          <w:tab w:val="num" w:pos="720"/>
        </w:tabs>
        <w:spacing w:after="0" w:line="240" w:lineRule="auto"/>
        <w:ind w:firstLine="426"/>
        <w:jc w:val="both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 w:rsidRPr="00D46C1E"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  <w:t> </w:t>
      </w:r>
    </w:p>
    <w:p w:rsidR="00D46C1E" w:rsidRPr="00D46C1E" w:rsidRDefault="00D46C1E" w:rsidP="00D46C1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 w:rsidRPr="00D46C1E"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  <w:t> </w:t>
      </w:r>
    </w:p>
    <w:p w:rsidR="00D46C1E" w:rsidRPr="00D46C1E" w:rsidRDefault="00D46C1E" w:rsidP="00D46C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</w:pPr>
      <w:r w:rsidRPr="00D46C1E">
        <w:rPr>
          <w:rFonts w:ascii="Segoe UI" w:eastAsia="Times New Roman" w:hAnsi="Segoe UI" w:cs="Segoe UI"/>
          <w:color w:val="333333"/>
          <w:spacing w:val="7"/>
          <w:sz w:val="24"/>
          <w:szCs w:val="24"/>
          <w:lang w:eastAsia="ru-RU"/>
        </w:rPr>
        <w:t> </w:t>
      </w:r>
    </w:p>
    <w:p w:rsidR="00D46C1E" w:rsidRPr="00D46C1E" w:rsidRDefault="002A73CB" w:rsidP="00D46C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pacing w:val="7"/>
          <w:sz w:val="24"/>
          <w:szCs w:val="24"/>
          <w:lang w:val="ru-RU" w:eastAsia="ru-RU"/>
        </w:rPr>
      </w:pPr>
      <w:r w:rsidRPr="002A73CB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>     </w:t>
      </w:r>
      <w:r w:rsidR="00A72168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ru-RU"/>
        </w:rPr>
        <w:t xml:space="preserve">    </w:t>
      </w:r>
      <w:r w:rsidRPr="00C51A96">
        <w:rPr>
          <w:rFonts w:ascii="Times New Roman" w:eastAsia="Times New Roman" w:hAnsi="Times New Roman" w:cs="Times New Roman"/>
          <w:bCs/>
          <w:color w:val="333333"/>
          <w:spacing w:val="7"/>
          <w:sz w:val="28"/>
          <w:szCs w:val="28"/>
          <w:lang w:eastAsia="ru-RU"/>
        </w:rPr>
        <w:t>Секретар  селищн</w:t>
      </w:r>
      <w:r w:rsidR="00D46C1E" w:rsidRPr="00D46C1E">
        <w:rPr>
          <w:rFonts w:ascii="Times New Roman" w:eastAsia="Times New Roman" w:hAnsi="Times New Roman" w:cs="Times New Roman"/>
          <w:bCs/>
          <w:color w:val="333333"/>
          <w:spacing w:val="7"/>
          <w:sz w:val="28"/>
          <w:szCs w:val="28"/>
          <w:lang w:eastAsia="ru-RU"/>
        </w:rPr>
        <w:t>ої ради      </w:t>
      </w:r>
      <w:r w:rsidRPr="00C51A96">
        <w:rPr>
          <w:rFonts w:ascii="Times New Roman" w:eastAsia="Times New Roman" w:hAnsi="Times New Roman" w:cs="Times New Roman"/>
          <w:bCs/>
          <w:color w:val="333333"/>
          <w:spacing w:val="7"/>
          <w:sz w:val="28"/>
          <w:szCs w:val="28"/>
          <w:lang w:eastAsia="ru-RU"/>
        </w:rPr>
        <w:t xml:space="preserve">                  </w:t>
      </w:r>
      <w:r w:rsidR="00D46C1E" w:rsidRPr="00D46C1E">
        <w:rPr>
          <w:rFonts w:ascii="Times New Roman" w:eastAsia="Times New Roman" w:hAnsi="Times New Roman" w:cs="Times New Roman"/>
          <w:bCs/>
          <w:color w:val="333333"/>
          <w:spacing w:val="7"/>
          <w:sz w:val="28"/>
          <w:szCs w:val="28"/>
          <w:lang w:eastAsia="ru-RU"/>
        </w:rPr>
        <w:t>   </w:t>
      </w:r>
      <w:r w:rsidRPr="00C51A96">
        <w:rPr>
          <w:rFonts w:ascii="Times New Roman" w:eastAsia="Times New Roman" w:hAnsi="Times New Roman" w:cs="Times New Roman"/>
          <w:bCs/>
          <w:color w:val="333333"/>
          <w:spacing w:val="7"/>
          <w:sz w:val="28"/>
          <w:szCs w:val="28"/>
          <w:lang w:eastAsia="ru-RU"/>
        </w:rPr>
        <w:t>Тетяна НЕПИЙВОДА</w:t>
      </w:r>
      <w:r w:rsidR="00D46C1E" w:rsidRPr="00D46C1E">
        <w:rPr>
          <w:rFonts w:ascii="Times New Roman" w:eastAsia="Times New Roman" w:hAnsi="Times New Roman" w:cs="Times New Roman"/>
          <w:bCs/>
          <w:color w:val="333333"/>
          <w:spacing w:val="7"/>
          <w:sz w:val="28"/>
          <w:szCs w:val="28"/>
          <w:lang w:val="ru-RU" w:eastAsia="ru-RU"/>
        </w:rPr>
        <w:t>         </w:t>
      </w:r>
    </w:p>
    <w:p w:rsidR="00D46C1E" w:rsidRPr="00707FF6" w:rsidRDefault="00D46C1E" w:rsidP="00785AED">
      <w:pPr>
        <w:spacing w:line="240" w:lineRule="auto"/>
        <w:rPr>
          <w:sz w:val="26"/>
          <w:szCs w:val="26"/>
        </w:rPr>
      </w:pPr>
    </w:p>
    <w:sectPr w:rsidR="00D46C1E" w:rsidRPr="00707FF6" w:rsidSect="00A72168">
      <w:headerReference w:type="default" r:id="rId9"/>
      <w:pgSz w:w="11900" w:h="16840" w:code="9"/>
      <w:pgMar w:top="851" w:right="701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7E" w:rsidRDefault="007D1F7E" w:rsidP="00860DBF">
      <w:pPr>
        <w:spacing w:after="0" w:line="240" w:lineRule="auto"/>
      </w:pPr>
      <w:r>
        <w:separator/>
      </w:r>
    </w:p>
  </w:endnote>
  <w:endnote w:type="continuationSeparator" w:id="0">
    <w:p w:rsidR="007D1F7E" w:rsidRDefault="007D1F7E" w:rsidP="008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7E" w:rsidRDefault="007D1F7E" w:rsidP="00860DBF">
      <w:pPr>
        <w:spacing w:after="0" w:line="240" w:lineRule="auto"/>
      </w:pPr>
      <w:r>
        <w:separator/>
      </w:r>
    </w:p>
  </w:footnote>
  <w:footnote w:type="continuationSeparator" w:id="0">
    <w:p w:rsidR="007D1F7E" w:rsidRDefault="007D1F7E" w:rsidP="0086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B7" w:rsidRDefault="007D1F7E">
    <w:pPr>
      <w:pStyle w:val="a3"/>
    </w:pPr>
  </w:p>
  <w:p w:rsidR="00A764B7" w:rsidRDefault="007D1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29B44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87D1E"/>
    <w:multiLevelType w:val="multilevel"/>
    <w:tmpl w:val="ECD6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9035E"/>
    <w:multiLevelType w:val="hybridMultilevel"/>
    <w:tmpl w:val="F0D6E1E6"/>
    <w:lvl w:ilvl="0" w:tplc="4D7AD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BF"/>
    <w:rsid w:val="00015182"/>
    <w:rsid w:val="0008734A"/>
    <w:rsid w:val="00102120"/>
    <w:rsid w:val="00154170"/>
    <w:rsid w:val="00191A76"/>
    <w:rsid w:val="001C7382"/>
    <w:rsid w:val="00202085"/>
    <w:rsid w:val="00204AFD"/>
    <w:rsid w:val="00226FFB"/>
    <w:rsid w:val="00290E20"/>
    <w:rsid w:val="00295AD2"/>
    <w:rsid w:val="002A411C"/>
    <w:rsid w:val="002A73CB"/>
    <w:rsid w:val="002B3FAA"/>
    <w:rsid w:val="00372A8B"/>
    <w:rsid w:val="003A3BFC"/>
    <w:rsid w:val="003C5530"/>
    <w:rsid w:val="003E5D45"/>
    <w:rsid w:val="004540D7"/>
    <w:rsid w:val="00493DAB"/>
    <w:rsid w:val="00592C56"/>
    <w:rsid w:val="006A3E18"/>
    <w:rsid w:val="006D66D8"/>
    <w:rsid w:val="006E7141"/>
    <w:rsid w:val="007061CF"/>
    <w:rsid w:val="00707FF6"/>
    <w:rsid w:val="007777FA"/>
    <w:rsid w:val="00785AED"/>
    <w:rsid w:val="007D1F7E"/>
    <w:rsid w:val="0085113E"/>
    <w:rsid w:val="00860DBF"/>
    <w:rsid w:val="00866F5A"/>
    <w:rsid w:val="008B361B"/>
    <w:rsid w:val="008E548F"/>
    <w:rsid w:val="008E7325"/>
    <w:rsid w:val="0093002C"/>
    <w:rsid w:val="009A57E9"/>
    <w:rsid w:val="00A13365"/>
    <w:rsid w:val="00A164DA"/>
    <w:rsid w:val="00A26231"/>
    <w:rsid w:val="00A567E6"/>
    <w:rsid w:val="00A72168"/>
    <w:rsid w:val="00AB2532"/>
    <w:rsid w:val="00AD5B21"/>
    <w:rsid w:val="00AE58C6"/>
    <w:rsid w:val="00AF54EA"/>
    <w:rsid w:val="00B2509B"/>
    <w:rsid w:val="00B629B5"/>
    <w:rsid w:val="00BC4BEB"/>
    <w:rsid w:val="00BE7ABD"/>
    <w:rsid w:val="00C51A96"/>
    <w:rsid w:val="00C712B5"/>
    <w:rsid w:val="00CB166C"/>
    <w:rsid w:val="00D0513D"/>
    <w:rsid w:val="00D46C1E"/>
    <w:rsid w:val="00D777C4"/>
    <w:rsid w:val="00D939DE"/>
    <w:rsid w:val="00E55E4B"/>
    <w:rsid w:val="00EA4834"/>
    <w:rsid w:val="00EC4D6B"/>
    <w:rsid w:val="00ED5E43"/>
    <w:rsid w:val="00EE03A7"/>
    <w:rsid w:val="00F0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1F2E8FB-B965-4FE1-B4CC-7540B946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60DBF"/>
  </w:style>
  <w:style w:type="paragraph" w:styleId="a5">
    <w:name w:val="footer"/>
    <w:basedOn w:val="a"/>
    <w:link w:val="a6"/>
    <w:uiPriority w:val="99"/>
    <w:unhideWhenUsed/>
    <w:rsid w:val="0086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DBF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0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13D"/>
    <w:rPr>
      <w:rFonts w:ascii="Segoe UI" w:hAnsi="Segoe UI" w:cs="Segoe UI"/>
      <w:sz w:val="18"/>
      <w:szCs w:val="18"/>
      <w:lang w:val="uk-UA"/>
    </w:rPr>
  </w:style>
  <w:style w:type="paragraph" w:styleId="a9">
    <w:name w:val="List Paragraph"/>
    <w:basedOn w:val="a"/>
    <w:uiPriority w:val="34"/>
    <w:qFormat/>
    <w:rsid w:val="0020208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4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D4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D46C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2024-09-30T06:17:00Z</cp:lastPrinted>
  <dcterms:created xsi:type="dcterms:W3CDTF">2022-09-20T12:46:00Z</dcterms:created>
  <dcterms:modified xsi:type="dcterms:W3CDTF">2024-09-30T06:18:00Z</dcterms:modified>
</cp:coreProperties>
</file>