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EF" w:rsidRPr="008E1012" w:rsidRDefault="000C2547" w:rsidP="003172EF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bookmarkStart w:id="0" w:name="_GoBack"/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pt;margin-top:.2pt;width:36.15pt;height:49.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4" o:title=""/>
            <w10:wrap type="tight" anchorx="page"/>
          </v:shape>
          <o:OLEObject Type="Embed" ProgID="Word.Picture.8" ShapeID="_x0000_s1026" DrawAspect="Content" ObjectID="_1796544770" r:id="rId5"/>
        </w:object>
      </w:r>
      <w:bookmarkEnd w:id="0"/>
    </w:p>
    <w:p w:rsidR="003172EF" w:rsidRPr="008E1012" w:rsidRDefault="003172EF" w:rsidP="003172EF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3172EF" w:rsidRDefault="003172EF" w:rsidP="003172EF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</w:p>
    <w:p w:rsidR="00A015CF" w:rsidRDefault="00A015CF" w:rsidP="003172EF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</w:p>
    <w:p w:rsidR="003172EF" w:rsidRPr="008E1012" w:rsidRDefault="003172EF" w:rsidP="003172EF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3172EF" w:rsidRDefault="003172EF" w:rsidP="003172EF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П’ЯТДЕСЯТ ВОСЬМА</w:t>
      </w:r>
      <w:r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3172EF" w:rsidRPr="008E1012" w:rsidRDefault="003172EF" w:rsidP="003172EF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3172EF" w:rsidRPr="009A420D" w:rsidRDefault="003172EF" w:rsidP="003172EF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3172EF" w:rsidRPr="008E1012" w:rsidRDefault="003172EF" w:rsidP="003172EF">
      <w:pPr>
        <w:rPr>
          <w:rFonts w:eastAsia="Times New Roman" w:cs="Times New Roman"/>
          <w:sz w:val="22"/>
          <w:szCs w:val="28"/>
          <w:lang w:val="uk-UA"/>
        </w:rPr>
      </w:pPr>
    </w:p>
    <w:p w:rsidR="003172EF" w:rsidRPr="0045450E" w:rsidRDefault="000C2547" w:rsidP="003172EF">
      <w:pPr>
        <w:rPr>
          <w:rFonts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/>
          <w:sz w:val="28"/>
          <w:szCs w:val="28"/>
          <w:lang w:val="uk-UA"/>
        </w:rPr>
        <w:t>«23</w:t>
      </w:r>
      <w:r w:rsidR="003172EF">
        <w:rPr>
          <w:rFonts w:eastAsia="Times New Roman" w:cs="Times New Roman"/>
          <w:sz w:val="28"/>
          <w:szCs w:val="28"/>
          <w:lang w:val="uk-UA"/>
        </w:rPr>
        <w:t>» грудня</w:t>
      </w:r>
      <w:r w:rsidR="003172EF" w:rsidRPr="005914A3">
        <w:rPr>
          <w:rFonts w:eastAsia="Times New Roman" w:cs="Times New Roman"/>
          <w:sz w:val="28"/>
          <w:szCs w:val="28"/>
          <w:lang w:val="uk-UA"/>
        </w:rPr>
        <w:t xml:space="preserve"> 2024 року                      селище  Брацл</w:t>
      </w:r>
      <w:r w:rsidR="003172EF">
        <w:rPr>
          <w:rFonts w:eastAsia="Times New Roman" w:cs="Times New Roman"/>
          <w:sz w:val="28"/>
          <w:szCs w:val="28"/>
          <w:lang w:val="uk-UA"/>
        </w:rPr>
        <w:t>а</w:t>
      </w:r>
      <w:r>
        <w:rPr>
          <w:rFonts w:eastAsia="Times New Roman" w:cs="Times New Roman"/>
          <w:sz w:val="28"/>
          <w:szCs w:val="28"/>
          <w:lang w:val="uk-UA"/>
        </w:rPr>
        <w:t>в                           № 294</w:t>
      </w:r>
    </w:p>
    <w:p w:rsidR="003172EF" w:rsidRDefault="003172EF"/>
    <w:p w:rsidR="003172EF" w:rsidRPr="00A015CF" w:rsidRDefault="003172EF">
      <w:pPr>
        <w:rPr>
          <w:b/>
          <w:sz w:val="28"/>
          <w:lang w:val="uk-UA"/>
        </w:rPr>
      </w:pPr>
      <w:r w:rsidRPr="00A015CF">
        <w:rPr>
          <w:b/>
          <w:sz w:val="28"/>
          <w:lang w:val="uk-UA"/>
        </w:rPr>
        <w:t xml:space="preserve">Про принципи та пріоритети формування </w:t>
      </w:r>
    </w:p>
    <w:p w:rsidR="003172EF" w:rsidRPr="00A015CF" w:rsidRDefault="003172EF" w:rsidP="003172EF">
      <w:pPr>
        <w:rPr>
          <w:b/>
          <w:sz w:val="28"/>
          <w:lang w:val="uk-UA"/>
        </w:rPr>
      </w:pPr>
      <w:r w:rsidRPr="00A015CF">
        <w:rPr>
          <w:b/>
          <w:sz w:val="28"/>
          <w:lang w:val="uk-UA"/>
        </w:rPr>
        <w:t xml:space="preserve">бюджету Брацлавської селищної </w:t>
      </w:r>
    </w:p>
    <w:p w:rsidR="003172EF" w:rsidRPr="00A015CF" w:rsidRDefault="003172EF" w:rsidP="003172EF">
      <w:pPr>
        <w:rPr>
          <w:sz w:val="28"/>
          <w:lang w:val="uk-UA"/>
        </w:rPr>
      </w:pPr>
      <w:r w:rsidRPr="00A015CF">
        <w:rPr>
          <w:b/>
          <w:sz w:val="28"/>
          <w:lang w:val="uk-UA"/>
        </w:rPr>
        <w:t>територіальної  громади  на 2025 рік</w:t>
      </w:r>
      <w:r w:rsidRPr="00A015CF">
        <w:rPr>
          <w:sz w:val="28"/>
          <w:lang w:val="uk-UA"/>
        </w:rPr>
        <w:t xml:space="preserve"> </w:t>
      </w:r>
    </w:p>
    <w:p w:rsidR="003172EF" w:rsidRPr="00A015CF" w:rsidRDefault="003172EF" w:rsidP="003172EF">
      <w:pPr>
        <w:rPr>
          <w:b/>
          <w:sz w:val="28"/>
          <w:lang w:val="uk-UA"/>
        </w:rPr>
      </w:pPr>
      <w:r w:rsidRPr="00A015CF">
        <w:rPr>
          <w:b/>
          <w:sz w:val="28"/>
          <w:lang w:val="uk-UA"/>
        </w:rPr>
        <w:t>та його виконання</w:t>
      </w:r>
    </w:p>
    <w:p w:rsidR="003172EF" w:rsidRPr="00A015CF" w:rsidRDefault="003172EF" w:rsidP="003172EF">
      <w:pPr>
        <w:rPr>
          <w:b/>
          <w:sz w:val="28"/>
          <w:lang w:val="uk-UA"/>
        </w:rPr>
      </w:pPr>
    </w:p>
    <w:p w:rsidR="003172EF" w:rsidRPr="00A015CF" w:rsidRDefault="00BF4191" w:rsidP="003172EF">
      <w:pPr>
        <w:ind w:firstLine="426"/>
        <w:jc w:val="both"/>
        <w:rPr>
          <w:sz w:val="28"/>
          <w:lang w:val="uk-UA"/>
        </w:rPr>
      </w:pPr>
      <w:r w:rsidRPr="00A015CF">
        <w:rPr>
          <w:sz w:val="28"/>
          <w:lang w:val="uk-UA"/>
        </w:rPr>
        <w:t xml:space="preserve">Враховуючи вимоги Конституції України, Закону України «Про місцеве самоврядування в Україні», Бюджетного кодексу України, Закону України «Про правовий режим воєнного стану», </w:t>
      </w:r>
      <w:r w:rsidR="003172EF" w:rsidRPr="00A015CF">
        <w:rPr>
          <w:sz w:val="28"/>
          <w:lang w:val="uk-UA"/>
        </w:rPr>
        <w:t xml:space="preserve">рішення 57 сесія 8 скликання Вінницької обласної Ради від 27 вересня 2024 р. № 928 «Про принципи та пріоритети формування обласного бюджету Вінницької області на 2025 рік та його виконання», </w:t>
      </w:r>
      <w:r w:rsidR="003172EF" w:rsidRPr="00A015CF">
        <w:rPr>
          <w:rFonts w:eastAsia="Times New Roman" w:cs="Times New Roman"/>
          <w:sz w:val="28"/>
          <w:szCs w:val="28"/>
          <w:lang w:val="uk-UA"/>
        </w:rPr>
        <w:t>враховуючи рекомендації постійної депутатської комісій з питань фінансів, бюджету, інвестицій, соціально-економічного розвитку, освіти, охорони здоров’я, культури</w:t>
      </w:r>
      <w:r w:rsidRPr="00A015CF">
        <w:rPr>
          <w:sz w:val="28"/>
          <w:lang w:val="uk-UA"/>
        </w:rPr>
        <w:t xml:space="preserve">, </w:t>
      </w:r>
      <w:r w:rsidR="003172EF" w:rsidRPr="00A015CF">
        <w:rPr>
          <w:sz w:val="28"/>
          <w:lang w:val="uk-UA"/>
        </w:rPr>
        <w:t xml:space="preserve">селищна рада </w:t>
      </w:r>
      <w:r w:rsidRPr="00A015CF">
        <w:rPr>
          <w:sz w:val="28"/>
          <w:lang w:val="uk-UA"/>
        </w:rPr>
        <w:t xml:space="preserve">ВИРІШИЛА: </w:t>
      </w:r>
    </w:p>
    <w:p w:rsidR="003172EF" w:rsidRPr="00A015CF" w:rsidRDefault="003172EF">
      <w:pPr>
        <w:rPr>
          <w:sz w:val="28"/>
          <w:lang w:val="uk-UA"/>
        </w:rPr>
      </w:pPr>
    </w:p>
    <w:p w:rsidR="003172EF" w:rsidRPr="00A015CF" w:rsidRDefault="00BF4191" w:rsidP="003172EF">
      <w:pPr>
        <w:ind w:firstLine="567"/>
        <w:jc w:val="both"/>
        <w:rPr>
          <w:sz w:val="28"/>
          <w:lang w:val="uk-UA"/>
        </w:rPr>
      </w:pPr>
      <w:r w:rsidRPr="00A015CF">
        <w:rPr>
          <w:sz w:val="28"/>
          <w:lang w:val="uk-UA"/>
        </w:rPr>
        <w:t xml:space="preserve">1. Формування </w:t>
      </w:r>
      <w:r w:rsidR="003172EF" w:rsidRPr="00A015CF">
        <w:rPr>
          <w:sz w:val="28"/>
          <w:lang w:val="uk-UA"/>
        </w:rPr>
        <w:t xml:space="preserve">бюджету Брацлавської селищної територіальної  громади  на 2025 рік </w:t>
      </w:r>
      <w:r w:rsidRPr="00A015CF">
        <w:rPr>
          <w:sz w:val="28"/>
          <w:lang w:val="uk-UA"/>
        </w:rPr>
        <w:t>та його виконання здійснювати із застосуванням кл</w:t>
      </w:r>
      <w:r w:rsidR="003172EF" w:rsidRPr="00A015CF">
        <w:rPr>
          <w:sz w:val="28"/>
          <w:lang w:val="uk-UA"/>
        </w:rPr>
        <w:t xml:space="preserve">ючових принципів і пріоритетів: </w:t>
      </w:r>
    </w:p>
    <w:p w:rsidR="00D96EF8" w:rsidRPr="00A015CF" w:rsidRDefault="00BF4191" w:rsidP="003172EF">
      <w:pPr>
        <w:ind w:firstLine="567"/>
        <w:jc w:val="both"/>
        <w:rPr>
          <w:sz w:val="28"/>
          <w:lang w:val="uk-UA"/>
        </w:rPr>
      </w:pPr>
      <w:r w:rsidRPr="00A015CF">
        <w:rPr>
          <w:sz w:val="28"/>
          <w:lang w:val="uk-UA"/>
        </w:rPr>
        <w:t xml:space="preserve">1.1 Ключові принципи: </w:t>
      </w:r>
    </w:p>
    <w:p w:rsidR="00D96EF8" w:rsidRPr="00A015CF" w:rsidRDefault="00BF4191" w:rsidP="003172EF">
      <w:pPr>
        <w:ind w:firstLine="567"/>
        <w:jc w:val="both"/>
        <w:rPr>
          <w:sz w:val="28"/>
          <w:lang w:val="uk-UA"/>
        </w:rPr>
      </w:pPr>
      <w:r w:rsidRPr="00A015CF">
        <w:rPr>
          <w:sz w:val="28"/>
          <w:lang w:val="uk-UA"/>
        </w:rPr>
        <w:t>ПРОЗОРІСТЬ БЮДЖЕТУ. Забезпечити відкритість та прозорість на всіх стадіях бюджетного процесу та оперативно інфо</w:t>
      </w:r>
      <w:r w:rsidR="00D96EF8" w:rsidRPr="00A015CF">
        <w:rPr>
          <w:sz w:val="28"/>
          <w:lang w:val="uk-UA"/>
        </w:rPr>
        <w:t>рмувати мешканців територіальної</w:t>
      </w:r>
      <w:r w:rsidRPr="00A015CF">
        <w:rPr>
          <w:sz w:val="28"/>
          <w:lang w:val="uk-UA"/>
        </w:rPr>
        <w:t xml:space="preserve"> громад</w:t>
      </w:r>
      <w:r w:rsidR="00D96EF8" w:rsidRPr="00A015CF">
        <w:rPr>
          <w:sz w:val="28"/>
          <w:lang w:val="uk-UA"/>
        </w:rPr>
        <w:t>и</w:t>
      </w:r>
      <w:r w:rsidRPr="00A015CF">
        <w:rPr>
          <w:sz w:val="28"/>
          <w:lang w:val="uk-UA"/>
        </w:rPr>
        <w:t xml:space="preserve">. Своєчасно висвітлювати інформацію щодо </w:t>
      </w:r>
      <w:r w:rsidR="00D96EF8" w:rsidRPr="00A015CF">
        <w:rPr>
          <w:sz w:val="28"/>
          <w:lang w:val="uk-UA"/>
        </w:rPr>
        <w:t>місцевого бюджету на офіційному сайті</w:t>
      </w:r>
      <w:r w:rsidRPr="00A015CF">
        <w:rPr>
          <w:sz w:val="28"/>
          <w:lang w:val="uk-UA"/>
        </w:rPr>
        <w:t xml:space="preserve">. </w:t>
      </w:r>
    </w:p>
    <w:p w:rsidR="00D96EF8" w:rsidRPr="00A015CF" w:rsidRDefault="00A015CF" w:rsidP="003172EF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ЗАЛУЧЕНІСТЬ ГРОМАДЯН. Проводити</w:t>
      </w:r>
      <w:r w:rsidR="00BF4191" w:rsidRPr="00A015CF">
        <w:rPr>
          <w:sz w:val="28"/>
          <w:lang w:val="uk-UA"/>
        </w:rPr>
        <w:t xml:space="preserve"> відкриті громадські слухання щодо показників проекту бюджету </w:t>
      </w:r>
      <w:r w:rsidR="00D96EF8" w:rsidRPr="00A015CF">
        <w:rPr>
          <w:sz w:val="28"/>
          <w:lang w:val="uk-UA"/>
        </w:rPr>
        <w:t xml:space="preserve">на 2025 рік. Залучити </w:t>
      </w:r>
      <w:r w:rsidR="00BF4191" w:rsidRPr="00A015CF">
        <w:rPr>
          <w:sz w:val="28"/>
          <w:lang w:val="uk-UA"/>
        </w:rPr>
        <w:t xml:space="preserve">представників всіх </w:t>
      </w:r>
      <w:r w:rsidR="00D96EF8" w:rsidRPr="00A015CF">
        <w:rPr>
          <w:sz w:val="28"/>
          <w:lang w:val="uk-UA"/>
        </w:rPr>
        <w:t xml:space="preserve">комунальних підприємств </w:t>
      </w:r>
      <w:r w:rsidR="00BF4191" w:rsidRPr="00A015CF">
        <w:rPr>
          <w:sz w:val="28"/>
          <w:lang w:val="uk-UA"/>
        </w:rPr>
        <w:t>громад</w:t>
      </w:r>
      <w:r w:rsidR="00D96EF8" w:rsidRPr="00A015CF">
        <w:rPr>
          <w:sz w:val="28"/>
          <w:lang w:val="uk-UA"/>
        </w:rPr>
        <w:t>и</w:t>
      </w:r>
      <w:r w:rsidR="00BF4191" w:rsidRPr="00A015CF">
        <w:rPr>
          <w:sz w:val="28"/>
          <w:lang w:val="uk-UA"/>
        </w:rPr>
        <w:t xml:space="preserve"> </w:t>
      </w:r>
      <w:r w:rsidR="00D96EF8" w:rsidRPr="00A015CF">
        <w:rPr>
          <w:sz w:val="28"/>
          <w:lang w:val="uk-UA"/>
        </w:rPr>
        <w:t>в обговоренні</w:t>
      </w:r>
      <w:r w:rsidR="00BF4191" w:rsidRPr="00A015CF">
        <w:rPr>
          <w:sz w:val="28"/>
          <w:lang w:val="uk-UA"/>
        </w:rPr>
        <w:t xml:space="preserve"> </w:t>
      </w:r>
      <w:r w:rsidR="00D96EF8" w:rsidRPr="00A015CF">
        <w:rPr>
          <w:sz w:val="28"/>
          <w:lang w:val="uk-UA"/>
        </w:rPr>
        <w:t>місцевого бюджету</w:t>
      </w:r>
      <w:r w:rsidR="00BF4191" w:rsidRPr="00A015CF">
        <w:rPr>
          <w:sz w:val="28"/>
          <w:lang w:val="uk-UA"/>
        </w:rPr>
        <w:t xml:space="preserve">. </w:t>
      </w:r>
    </w:p>
    <w:p w:rsidR="00D96EF8" w:rsidRPr="00A015CF" w:rsidRDefault="00BF4191" w:rsidP="003172EF">
      <w:pPr>
        <w:ind w:firstLine="567"/>
        <w:jc w:val="both"/>
        <w:rPr>
          <w:sz w:val="28"/>
          <w:lang w:val="uk-UA"/>
        </w:rPr>
      </w:pPr>
      <w:r w:rsidRPr="00A015CF">
        <w:rPr>
          <w:sz w:val="28"/>
          <w:lang w:val="uk-UA"/>
        </w:rPr>
        <w:t xml:space="preserve">ЗБАЛАНСОВАНІСТЬ ТА РЕАЛІСТИЧНІСТЬ. Сформувати збалансований та реалістичний проект </w:t>
      </w:r>
      <w:r w:rsidR="00D96EF8" w:rsidRPr="00A015CF">
        <w:rPr>
          <w:sz w:val="28"/>
          <w:lang w:val="uk-UA"/>
        </w:rPr>
        <w:t xml:space="preserve">бюджету Брацлавської селищної територіальної  громади  </w:t>
      </w:r>
      <w:r w:rsidRPr="00A015CF">
        <w:rPr>
          <w:sz w:val="28"/>
          <w:lang w:val="uk-UA"/>
        </w:rPr>
        <w:t xml:space="preserve">на реальних макропоказниках в умовах воєнного стану, з дотриманням жорсткої фінансової дисципліни та підвищенням ефективності і результативності використання бюджетних ресурсів. </w:t>
      </w:r>
    </w:p>
    <w:p w:rsidR="003172EF" w:rsidRPr="00A015CF" w:rsidRDefault="00BF4191" w:rsidP="003172EF">
      <w:pPr>
        <w:ind w:firstLine="567"/>
        <w:jc w:val="both"/>
        <w:rPr>
          <w:sz w:val="28"/>
          <w:lang w:val="uk-UA"/>
        </w:rPr>
      </w:pPr>
      <w:r w:rsidRPr="00A015CF">
        <w:rPr>
          <w:sz w:val="28"/>
          <w:lang w:val="uk-UA"/>
        </w:rPr>
        <w:t>ЕФЕКТИВНІСТЬ ТА РЕЗУЛЬТАТИВНІСТЬ. При складанні і виконанні</w:t>
      </w:r>
      <w:r w:rsidR="00D96EF8" w:rsidRPr="00A015CF">
        <w:rPr>
          <w:sz w:val="28"/>
          <w:lang w:val="uk-UA"/>
        </w:rPr>
        <w:t xml:space="preserve"> бюджету Брацлавської селищної територіальної  громади  </w:t>
      </w:r>
      <w:r w:rsidRPr="00A015CF">
        <w:rPr>
          <w:sz w:val="28"/>
          <w:lang w:val="uk-UA"/>
        </w:rPr>
        <w:t>всім учасникам бюджетного процесу досягати цілей і мети, які визначені бюджетними програмами та безпосередньо відповідати пріоритетним напрямам програми економічного та соціального розвитку Вінницької області при залученні мінімального обсягу коштів та досягне</w:t>
      </w:r>
      <w:r w:rsidR="003172EF" w:rsidRPr="00A015CF">
        <w:rPr>
          <w:sz w:val="28"/>
          <w:lang w:val="uk-UA"/>
        </w:rPr>
        <w:t xml:space="preserve">ння максимального результату. </w:t>
      </w:r>
    </w:p>
    <w:p w:rsidR="00D96EF8" w:rsidRPr="00A015CF" w:rsidRDefault="00D96EF8" w:rsidP="003172EF">
      <w:pPr>
        <w:ind w:firstLine="567"/>
        <w:jc w:val="both"/>
        <w:rPr>
          <w:sz w:val="28"/>
          <w:lang w:val="uk-UA"/>
        </w:rPr>
      </w:pPr>
    </w:p>
    <w:p w:rsidR="00D96EF8" w:rsidRPr="00A015CF" w:rsidRDefault="00BF4191" w:rsidP="003172EF">
      <w:pPr>
        <w:ind w:firstLine="567"/>
        <w:jc w:val="both"/>
        <w:rPr>
          <w:sz w:val="28"/>
          <w:lang w:val="uk-UA"/>
        </w:rPr>
      </w:pPr>
      <w:r w:rsidRPr="00A015CF">
        <w:rPr>
          <w:sz w:val="28"/>
          <w:lang w:val="uk-UA"/>
        </w:rPr>
        <w:lastRenderedPageBreak/>
        <w:t xml:space="preserve">1.2 Ключові пріоритети; </w:t>
      </w:r>
    </w:p>
    <w:p w:rsidR="00D96EF8" w:rsidRPr="00A015CF" w:rsidRDefault="00BF4191" w:rsidP="003172EF">
      <w:pPr>
        <w:ind w:firstLine="567"/>
        <w:jc w:val="both"/>
        <w:rPr>
          <w:sz w:val="28"/>
          <w:lang w:val="uk-UA"/>
        </w:rPr>
      </w:pPr>
      <w:r w:rsidRPr="00A015CF">
        <w:rPr>
          <w:sz w:val="28"/>
          <w:lang w:val="uk-UA"/>
        </w:rPr>
        <w:t xml:space="preserve">БЕЗПЕКА ТА ОБОРОНА. Забезпечити пріоритетне спрямування коштів </w:t>
      </w:r>
      <w:r w:rsidR="00D96EF8" w:rsidRPr="00A015CF">
        <w:rPr>
          <w:sz w:val="28"/>
          <w:lang w:val="uk-UA"/>
        </w:rPr>
        <w:t xml:space="preserve">місцевого </w:t>
      </w:r>
      <w:r w:rsidRPr="00A015CF">
        <w:rPr>
          <w:sz w:val="28"/>
          <w:lang w:val="uk-UA"/>
        </w:rPr>
        <w:t xml:space="preserve">бюджету на підтримку підрозділів Збройних Сил України, Національної гвардії України, добровольчих формувань територіальної оборони та інших військових формувань, цивільний захист, правопорядок та ліквідацію надзвичайних ситуацій. </w:t>
      </w:r>
    </w:p>
    <w:p w:rsidR="00D96EF8" w:rsidRPr="00A015CF" w:rsidRDefault="00BF4191" w:rsidP="003172EF">
      <w:pPr>
        <w:ind w:firstLine="567"/>
        <w:jc w:val="both"/>
        <w:rPr>
          <w:sz w:val="28"/>
          <w:lang w:val="uk-UA"/>
        </w:rPr>
      </w:pPr>
      <w:r w:rsidRPr="00A015CF">
        <w:rPr>
          <w:sz w:val="28"/>
          <w:lang w:val="uk-UA"/>
        </w:rPr>
        <w:t>СТІЙКІСТЬ. Сприяти зміцненню економічної самос</w:t>
      </w:r>
      <w:r w:rsidR="00A015CF">
        <w:rPr>
          <w:sz w:val="28"/>
          <w:lang w:val="uk-UA"/>
        </w:rPr>
        <w:t>тійності громади</w:t>
      </w:r>
      <w:r w:rsidRPr="00A015CF">
        <w:rPr>
          <w:sz w:val="28"/>
          <w:lang w:val="uk-UA"/>
        </w:rPr>
        <w:t xml:space="preserve">. Забезпечити роботу з подолання негативних явиш в усіх галузях і сферах діяльності, пов’язаних з економічною кризою в умовах воєнного стану, збереження якості освіти та медицини. Забезпечити роботу систем водо- теплоенергозабезпечення, транспортної інфраструктури області. </w:t>
      </w:r>
    </w:p>
    <w:p w:rsidR="003172EF" w:rsidRPr="00A015CF" w:rsidRDefault="00BF4191" w:rsidP="003172EF">
      <w:pPr>
        <w:ind w:firstLine="567"/>
        <w:jc w:val="both"/>
        <w:rPr>
          <w:sz w:val="28"/>
          <w:lang w:val="uk-UA"/>
        </w:rPr>
      </w:pPr>
      <w:r w:rsidRPr="00A015CF">
        <w:rPr>
          <w:sz w:val="28"/>
          <w:lang w:val="uk-UA"/>
        </w:rPr>
        <w:t xml:space="preserve">ТУРБОТА. Забезпечити соціальну та медичну підтримку: Захисників і Захисниць України, підтримку їхніх родин, родин загиблих під час військової агресії російської федерації проти України; дітей, які потребують особливої уваги, особливо дітей - сиріт та позбавлених батьківського піклування, дітей з багатодітних родин, дітей </w:t>
      </w:r>
      <w:r w:rsidR="000C2547">
        <w:rPr>
          <w:sz w:val="28"/>
          <w:lang w:val="uk-UA"/>
        </w:rPr>
        <w:t>з інвалідністю; найбільш незахищ</w:t>
      </w:r>
      <w:r w:rsidRPr="00A015CF">
        <w:rPr>
          <w:sz w:val="28"/>
          <w:lang w:val="uk-UA"/>
        </w:rPr>
        <w:t xml:space="preserve">ених верств населення, які перебувають у складних життєвих обставинах, зокрема, осіб з інвалідністю, громадян похилого віку, внутрішньо переміщених осіб, малозабезпечених сімей. </w:t>
      </w:r>
    </w:p>
    <w:p w:rsidR="00D96EF8" w:rsidRPr="00A015CF" w:rsidRDefault="00D96EF8" w:rsidP="003172EF">
      <w:pPr>
        <w:ind w:firstLine="567"/>
        <w:jc w:val="both"/>
        <w:rPr>
          <w:sz w:val="28"/>
          <w:lang w:val="uk-UA"/>
        </w:rPr>
      </w:pPr>
    </w:p>
    <w:p w:rsidR="003172EF" w:rsidRPr="00A015CF" w:rsidRDefault="00D96EF8" w:rsidP="00D96EF8">
      <w:pPr>
        <w:ind w:firstLine="426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A015CF">
        <w:rPr>
          <w:rFonts w:eastAsia="Times New Roman" w:cs="Times New Roman"/>
          <w:sz w:val="28"/>
          <w:szCs w:val="28"/>
          <w:lang w:val="uk-UA" w:eastAsia="uk-UA"/>
        </w:rPr>
        <w:t xml:space="preserve">2. </w:t>
      </w:r>
      <w:r w:rsidR="00A015CF">
        <w:rPr>
          <w:rFonts w:eastAsia="Times New Roman" w:cs="Times New Roman"/>
          <w:sz w:val="28"/>
          <w:szCs w:val="28"/>
          <w:lang w:val="uk-UA" w:eastAsia="uk-UA"/>
        </w:rPr>
        <w:t>Контроль за виконанням дан</w:t>
      </w:r>
      <w:r w:rsidRPr="00A015CF">
        <w:rPr>
          <w:rFonts w:eastAsia="Times New Roman" w:cs="Times New Roman"/>
          <w:sz w:val="28"/>
          <w:szCs w:val="28"/>
          <w:lang w:val="uk-UA" w:eastAsia="uk-UA"/>
        </w:rPr>
        <w:t>ого рішення покласти на Фінансовий відділ Брацлавської селищної ради.</w:t>
      </w:r>
    </w:p>
    <w:p w:rsidR="00D96EF8" w:rsidRPr="00A015CF" w:rsidRDefault="00D96EF8" w:rsidP="003172EF">
      <w:pPr>
        <w:rPr>
          <w:rFonts w:eastAsia="Times New Roman" w:cs="Times New Roman"/>
          <w:sz w:val="28"/>
          <w:szCs w:val="28"/>
          <w:lang w:val="uk-UA" w:eastAsia="uk-UA"/>
        </w:rPr>
      </w:pPr>
    </w:p>
    <w:p w:rsidR="00D96EF8" w:rsidRPr="00A015CF" w:rsidRDefault="00D96EF8" w:rsidP="003172EF">
      <w:pPr>
        <w:rPr>
          <w:rFonts w:eastAsia="Times New Roman" w:cs="Times New Roman"/>
          <w:sz w:val="28"/>
          <w:szCs w:val="28"/>
          <w:lang w:val="uk-UA" w:eastAsia="uk-UA"/>
        </w:rPr>
      </w:pPr>
    </w:p>
    <w:p w:rsidR="00D96EF8" w:rsidRPr="00A015CF" w:rsidRDefault="00D96EF8" w:rsidP="003172EF">
      <w:pPr>
        <w:rPr>
          <w:lang w:val="uk-UA"/>
        </w:rPr>
      </w:pPr>
      <w:r w:rsidRPr="00A015CF">
        <w:rPr>
          <w:rFonts w:eastAsia="Times New Roman" w:cs="Times New Roman"/>
          <w:sz w:val="28"/>
          <w:szCs w:val="28"/>
          <w:lang w:val="uk-UA" w:eastAsia="uk-UA"/>
        </w:rPr>
        <w:t xml:space="preserve">        Селищний голова                                                  Микола КОБРИНЧУК</w:t>
      </w:r>
    </w:p>
    <w:sectPr w:rsidR="00D96EF8" w:rsidRPr="00A015CF" w:rsidSect="00D96EF8">
      <w:pgSz w:w="11900" w:h="16840" w:code="9"/>
      <w:pgMar w:top="709" w:right="56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91"/>
    <w:rsid w:val="000C2547"/>
    <w:rsid w:val="003172EF"/>
    <w:rsid w:val="004704C3"/>
    <w:rsid w:val="0080591F"/>
    <w:rsid w:val="00A015CF"/>
    <w:rsid w:val="00A334A9"/>
    <w:rsid w:val="00AD5B21"/>
    <w:rsid w:val="00AE58C6"/>
    <w:rsid w:val="00BF4191"/>
    <w:rsid w:val="00D939DE"/>
    <w:rsid w:val="00D96EF8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C0F6A8-DDDD-44EE-97B2-FCA5DA48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EF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5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5C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2024-12-24T09:26:00Z</cp:lastPrinted>
  <dcterms:created xsi:type="dcterms:W3CDTF">2024-12-16T14:06:00Z</dcterms:created>
  <dcterms:modified xsi:type="dcterms:W3CDTF">2024-12-24T09:26:00Z</dcterms:modified>
</cp:coreProperties>
</file>