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24" w:rsidRPr="00F421F9" w:rsidRDefault="00AA7B24" w:rsidP="00AA7B24">
      <w:pPr>
        <w:widowControl w:val="0"/>
        <w:spacing w:after="0" w:line="240" w:lineRule="auto"/>
        <w:ind w:left="-284"/>
        <w:jc w:val="right"/>
        <w:rPr>
          <w:rFonts w:ascii="Times New Roman" w:eastAsia="Calibri" w:hAnsi="Times New Roman" w:cs="Times New Roman"/>
          <w:color w:val="000000"/>
          <w:szCs w:val="24"/>
          <w:lang w:eastAsia="ru-RU"/>
        </w:rPr>
      </w:pPr>
      <w:r w:rsidRPr="00F421F9">
        <w:rPr>
          <w:rFonts w:ascii="Times New Roman" w:eastAsia="Calibri" w:hAnsi="Times New Roman" w:cs="Times New Roman"/>
          <w:color w:val="000000"/>
          <w:szCs w:val="24"/>
          <w:lang w:eastAsia="ru-RU"/>
        </w:rPr>
        <w:t>Затверджено</w:t>
      </w:r>
    </w:p>
    <w:p w:rsidR="00AA7B24" w:rsidRPr="00F421F9" w:rsidRDefault="00AA7B24" w:rsidP="00AA7B24">
      <w:pPr>
        <w:widowControl w:val="0"/>
        <w:spacing w:after="0" w:line="240" w:lineRule="auto"/>
        <w:ind w:left="-284"/>
        <w:jc w:val="right"/>
        <w:rPr>
          <w:rFonts w:ascii="Times New Roman" w:eastAsia="Calibri" w:hAnsi="Times New Roman" w:cs="Times New Roman"/>
          <w:color w:val="000000"/>
          <w:szCs w:val="24"/>
          <w:lang w:eastAsia="ru-RU"/>
        </w:rPr>
      </w:pPr>
      <w:r w:rsidRPr="00F421F9">
        <w:rPr>
          <w:rFonts w:ascii="Times New Roman" w:eastAsia="Calibri" w:hAnsi="Times New Roman" w:cs="Times New Roman"/>
          <w:color w:val="000000"/>
          <w:szCs w:val="24"/>
          <w:lang w:eastAsia="ru-RU"/>
        </w:rPr>
        <w:t xml:space="preserve">                                                                          </w:t>
      </w:r>
      <w:r w:rsidRPr="00F421F9">
        <w:rPr>
          <w:rFonts w:ascii="Times New Roman" w:eastAsia="Courier New" w:hAnsi="Times New Roman" w:cs="Times New Roman"/>
          <w:color w:val="000000"/>
          <w:szCs w:val="24"/>
          <w:lang w:eastAsia="ru-RU"/>
        </w:rPr>
        <w:t xml:space="preserve">                           </w:t>
      </w:r>
      <w:r>
        <w:rPr>
          <w:rFonts w:ascii="Times New Roman" w:eastAsia="Calibri" w:hAnsi="Times New Roman" w:cs="Times New Roman"/>
          <w:color w:val="000000"/>
          <w:szCs w:val="24"/>
          <w:lang w:eastAsia="ru-RU"/>
        </w:rPr>
        <w:t>рішенням  26</w:t>
      </w:r>
      <w:r w:rsidRPr="00F421F9">
        <w:rPr>
          <w:rFonts w:ascii="Times New Roman" w:eastAsia="Courier New" w:hAnsi="Times New Roman" w:cs="Times New Roman"/>
          <w:color w:val="000000"/>
          <w:szCs w:val="24"/>
          <w:lang w:eastAsia="ru-RU"/>
        </w:rPr>
        <w:t xml:space="preserve"> </w:t>
      </w:r>
      <w:r w:rsidRPr="00F421F9">
        <w:rPr>
          <w:rFonts w:ascii="Times New Roman" w:eastAsia="Calibri" w:hAnsi="Times New Roman" w:cs="Times New Roman"/>
          <w:color w:val="000000"/>
          <w:szCs w:val="24"/>
          <w:lang w:eastAsia="ru-RU"/>
        </w:rPr>
        <w:t xml:space="preserve">сесії                                            </w:t>
      </w:r>
      <w:r w:rsidRPr="00F421F9">
        <w:rPr>
          <w:rFonts w:ascii="Times New Roman" w:eastAsia="Calibri" w:hAnsi="Times New Roman" w:cs="Times New Roman"/>
          <w:color w:val="000000"/>
          <w:szCs w:val="24"/>
          <w:lang w:eastAsia="ru-RU"/>
        </w:rPr>
        <w:br/>
        <w:t xml:space="preserve">                                                                                                         Брацлавської селищної ради</w:t>
      </w:r>
    </w:p>
    <w:p w:rsidR="00AA7B24" w:rsidRPr="00F421F9" w:rsidRDefault="00AA7B24" w:rsidP="00AA7B24">
      <w:pPr>
        <w:widowControl w:val="0"/>
        <w:spacing w:after="0" w:line="240" w:lineRule="auto"/>
        <w:ind w:left="-284"/>
        <w:jc w:val="right"/>
        <w:rPr>
          <w:rFonts w:ascii="Times New Roman" w:eastAsia="Calibri" w:hAnsi="Times New Roman" w:cs="Times New Roman"/>
          <w:color w:val="000000"/>
          <w:szCs w:val="24"/>
          <w:lang w:eastAsia="ru-RU"/>
        </w:rPr>
      </w:pPr>
      <w:r w:rsidRPr="00F421F9">
        <w:rPr>
          <w:rFonts w:ascii="Times New Roman" w:eastAsia="Calibri" w:hAnsi="Times New Roman" w:cs="Times New Roman"/>
          <w:color w:val="000000"/>
          <w:szCs w:val="24"/>
          <w:lang w:eastAsia="ru-RU"/>
        </w:rPr>
        <w:tab/>
        <w:t>8 скликання</w:t>
      </w:r>
    </w:p>
    <w:p w:rsidR="00AA7B24" w:rsidRPr="00F421F9" w:rsidRDefault="00AA7B24" w:rsidP="00AA7B24">
      <w:pPr>
        <w:widowControl w:val="0"/>
        <w:spacing w:after="0" w:line="240" w:lineRule="auto"/>
        <w:ind w:left="-284"/>
        <w:jc w:val="right"/>
        <w:rPr>
          <w:rFonts w:ascii="Times New Roman" w:eastAsia="Calibri" w:hAnsi="Times New Roman" w:cs="Times New Roman"/>
          <w:color w:val="000000"/>
          <w:szCs w:val="24"/>
          <w:lang w:eastAsia="ru-RU"/>
        </w:rPr>
      </w:pPr>
      <w:r>
        <w:rPr>
          <w:rFonts w:ascii="Times New Roman" w:eastAsia="Courier New" w:hAnsi="Times New Roman" w:cs="Times New Roman"/>
          <w:color w:val="000000"/>
          <w:szCs w:val="24"/>
          <w:lang w:eastAsia="ru-RU"/>
        </w:rPr>
        <w:tab/>
        <w:t>від «__</w:t>
      </w:r>
      <w:r>
        <w:rPr>
          <w:rFonts w:ascii="Times New Roman" w:eastAsia="Calibri" w:hAnsi="Times New Roman" w:cs="Times New Roman"/>
          <w:color w:val="000000"/>
          <w:szCs w:val="24"/>
          <w:lang w:eastAsia="ru-RU"/>
        </w:rPr>
        <w:t>» лютого 2022</w:t>
      </w:r>
      <w:r w:rsidRPr="00F421F9">
        <w:rPr>
          <w:rFonts w:ascii="Times New Roman" w:eastAsia="Calibri" w:hAnsi="Times New Roman" w:cs="Times New Roman"/>
          <w:color w:val="000000"/>
          <w:szCs w:val="24"/>
          <w:lang w:eastAsia="ru-RU"/>
        </w:rPr>
        <w:t xml:space="preserve"> р.</w:t>
      </w:r>
      <w:r>
        <w:rPr>
          <w:rFonts w:ascii="Times New Roman" w:eastAsia="Courier New" w:hAnsi="Times New Roman" w:cs="Times New Roman"/>
          <w:color w:val="000000"/>
          <w:szCs w:val="24"/>
          <w:lang w:eastAsia="ru-RU"/>
        </w:rPr>
        <w:t xml:space="preserve"> № __</w:t>
      </w:r>
    </w:p>
    <w:p w:rsidR="00AA7B24" w:rsidRPr="00F421F9" w:rsidRDefault="00AA7B24" w:rsidP="00AA7B24">
      <w:pPr>
        <w:tabs>
          <w:tab w:val="left" w:pos="8025"/>
        </w:tabs>
        <w:spacing w:after="0" w:line="240" w:lineRule="auto"/>
        <w:ind w:left="-284"/>
        <w:rPr>
          <w:rFonts w:ascii="Times New Roman" w:eastAsia="Calibri" w:hAnsi="Times New Roman" w:cs="Times New Roman"/>
          <w:sz w:val="24"/>
          <w:szCs w:val="24"/>
          <w:lang w:eastAsia="ru-RU"/>
        </w:rPr>
      </w:pPr>
    </w:p>
    <w:p w:rsidR="00AA7B24" w:rsidRPr="00F421F9" w:rsidRDefault="00AA7B24" w:rsidP="00AA7B24">
      <w:pPr>
        <w:spacing w:after="0" w:line="240" w:lineRule="auto"/>
        <w:ind w:left="142" w:right="121"/>
        <w:jc w:val="center"/>
        <w:rPr>
          <w:rFonts w:ascii="Times New Roman" w:eastAsia="Times New Roman" w:hAnsi="Times New Roman" w:cs="Times New Roman"/>
          <w:b/>
          <w:sz w:val="28"/>
          <w:szCs w:val="40"/>
          <w:lang w:eastAsia="ru-RU"/>
        </w:rPr>
      </w:pPr>
      <w:r w:rsidRPr="00F421F9">
        <w:rPr>
          <w:rFonts w:ascii="Times New Roman" w:eastAsia="Times New Roman" w:hAnsi="Times New Roman" w:cs="Times New Roman"/>
          <w:b/>
          <w:sz w:val="28"/>
          <w:szCs w:val="40"/>
          <w:lang w:eastAsia="ru-RU"/>
        </w:rPr>
        <w:t>Програма  «Безпека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AA7B24" w:rsidRPr="00F421F9" w:rsidRDefault="00AA7B24" w:rsidP="00AA7B24">
      <w:pPr>
        <w:numPr>
          <w:ilvl w:val="0"/>
          <w:numId w:val="1"/>
        </w:numPr>
        <w:spacing w:after="0" w:line="260" w:lineRule="exact"/>
        <w:ind w:left="142" w:right="121" w:firstLine="851"/>
        <w:contextualSpacing/>
        <w:jc w:val="center"/>
        <w:rPr>
          <w:rFonts w:ascii="Times New Roman" w:eastAsia="Times New Roman" w:hAnsi="Times New Roman" w:cs="Times New Roman"/>
          <w:b/>
          <w:color w:val="000000"/>
          <w:sz w:val="24"/>
          <w:szCs w:val="24"/>
          <w:shd w:val="clear" w:color="auto" w:fill="FFFFFF"/>
          <w:lang w:eastAsia="ru-RU"/>
        </w:rPr>
      </w:pPr>
      <w:r w:rsidRPr="00F421F9">
        <w:rPr>
          <w:rFonts w:ascii="Times New Roman" w:eastAsia="Times New Roman" w:hAnsi="Times New Roman" w:cs="Times New Roman"/>
          <w:b/>
          <w:color w:val="000000"/>
          <w:sz w:val="24"/>
          <w:szCs w:val="24"/>
          <w:shd w:val="clear" w:color="auto" w:fill="FFFFFF"/>
          <w:lang w:eastAsia="ru-RU"/>
        </w:rPr>
        <w:t>Мета Програми, визначення проблемних питань, на розв’язання яких спрямована Програма</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bookmarkStart w:id="0" w:name="17"/>
      <w:bookmarkEnd w:id="0"/>
      <w:r w:rsidRPr="00F421F9">
        <w:rPr>
          <w:rFonts w:ascii="Times New Roman" w:eastAsia="Calibri" w:hAnsi="Times New Roman" w:cs="Times New Roman"/>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p>
    <w:p w:rsidR="00AA7B24" w:rsidRPr="00F421F9" w:rsidRDefault="00AA7B24" w:rsidP="00AA7B24">
      <w:pPr>
        <w:numPr>
          <w:ilvl w:val="0"/>
          <w:numId w:val="1"/>
        </w:numPr>
        <w:spacing w:after="0" w:line="240" w:lineRule="auto"/>
        <w:ind w:left="142" w:right="121"/>
        <w:contextualSpacing/>
        <w:jc w:val="center"/>
        <w:rPr>
          <w:rFonts w:ascii="Times New Roman" w:eastAsia="Times New Roman" w:hAnsi="Times New Roman" w:cs="Times New Roman"/>
          <w:b/>
          <w:sz w:val="24"/>
          <w:szCs w:val="24"/>
          <w:lang w:eastAsia="ru-RU"/>
        </w:rPr>
      </w:pPr>
      <w:r w:rsidRPr="00F421F9">
        <w:rPr>
          <w:rFonts w:ascii="Times New Roman" w:eastAsia="Times New Roman" w:hAnsi="Times New Roman" w:cs="Times New Roman"/>
          <w:b/>
          <w:sz w:val="24"/>
          <w:szCs w:val="24"/>
          <w:lang w:eastAsia="ru-RU"/>
        </w:rPr>
        <w:t>Завдання (цілі та пріоритети) Програми</w:t>
      </w:r>
    </w:p>
    <w:p w:rsidR="00AA7B24" w:rsidRPr="00F421F9" w:rsidRDefault="00AA7B24" w:rsidP="00AA7B24">
      <w:pPr>
        <w:spacing w:after="0" w:line="240" w:lineRule="auto"/>
        <w:ind w:left="142" w:right="121" w:firstLine="425"/>
        <w:jc w:val="both"/>
        <w:rPr>
          <w:rFonts w:ascii="Times New Roman" w:eastAsia="Calibri" w:hAnsi="Times New Roman" w:cs="Times New Roman"/>
          <w:lang w:eastAsia="ru-RU"/>
        </w:rPr>
      </w:pPr>
      <w:r w:rsidRPr="00F421F9">
        <w:rPr>
          <w:rFonts w:ascii="Times New Roman" w:eastAsia="Calibri" w:hAnsi="Times New Roman" w:cs="Times New Roman"/>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spacing w:val="2"/>
          <w:lang w:eastAsia="ru-RU"/>
        </w:rPr>
      </w:pPr>
      <w:r w:rsidRPr="00F421F9">
        <w:rPr>
          <w:rFonts w:ascii="Times New Roman" w:eastAsia="Calibri" w:hAnsi="Times New Roman" w:cs="Times New Roman"/>
          <w:spacing w:val="2"/>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spacing w:val="2"/>
          <w:lang w:eastAsia="ru-RU"/>
        </w:rPr>
        <w:t>служіння суспільству шляхом забезпечення охорони прав і свобод людини, а також інтересів суспільства і держави</w:t>
      </w:r>
      <w:r w:rsidRPr="00F421F9">
        <w:rPr>
          <w:rFonts w:ascii="Times New Roman" w:eastAsia="Calibri" w:hAnsi="Times New Roman" w:cs="Times New Roman"/>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spacing w:val="2"/>
          <w:lang w:eastAsia="ru-RU"/>
        </w:rPr>
        <w:t xml:space="preserve">посилення протидії економічній і </w:t>
      </w:r>
      <w:r w:rsidRPr="00F421F9">
        <w:rPr>
          <w:rFonts w:ascii="Times New Roman" w:eastAsia="Calibri" w:hAnsi="Times New Roman" w:cs="Times New Roman"/>
          <w:lang w:eastAsia="ru-RU"/>
        </w:rPr>
        <w:t>організованій злочинності та корупції, забезпечення ефективної роботи спрямованої на оздоровлення економічної інфраструктури та системи державного управління;</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bCs/>
          <w:spacing w:val="-5"/>
          <w:lang w:eastAsia="ru-RU"/>
        </w:rPr>
        <w:t>п</w:t>
      </w:r>
      <w:r w:rsidRPr="00F421F9">
        <w:rPr>
          <w:rFonts w:ascii="Times New Roman" w:eastAsia="Calibri" w:hAnsi="Times New Roman" w:cs="Times New Roman"/>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bCs/>
          <w:spacing w:val="-5"/>
          <w:lang w:eastAsia="ru-RU"/>
        </w:rPr>
      </w:pPr>
      <w:r w:rsidRPr="00F421F9">
        <w:rPr>
          <w:rFonts w:ascii="Times New Roman" w:eastAsia="Calibri" w:hAnsi="Times New Roman" w:cs="Times New Roman"/>
          <w:bCs/>
          <w:spacing w:val="-5"/>
          <w:lang w:eastAsia="ru-RU"/>
        </w:rPr>
        <w:t xml:space="preserve">удосконалення профілактики злочинності в дитячому середовищі, посилення захисту прав дітей;  </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bCs/>
          <w:spacing w:val="-5"/>
          <w:lang w:eastAsia="ru-RU"/>
        </w:rPr>
        <w:t>протидія торгівлі людьми та кіберзлочинності;</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продовження реформування правоохоронних органів відповідно до європейських стандартів; </w:t>
      </w:r>
    </w:p>
    <w:p w:rsidR="00AA7B24" w:rsidRPr="00F421F9" w:rsidRDefault="00AA7B24" w:rsidP="00AA7B24">
      <w:pPr>
        <w:widowControl w:val="0"/>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spacing w:val="-5"/>
          <w:lang w:eastAsia="ru-RU"/>
        </w:rPr>
        <w:t>у</w:t>
      </w:r>
      <w:r w:rsidRPr="00F421F9">
        <w:rPr>
          <w:rFonts w:ascii="Times New Roman" w:eastAsia="Calibri" w:hAnsi="Times New Roman" w:cs="Times New Roman"/>
          <w:lang w:eastAsia="ru-RU"/>
        </w:rPr>
        <w:t xml:space="preserve">досконалення діяльності правоохоронних органів, забезпечення </w:t>
      </w:r>
      <w:r w:rsidRPr="00F421F9">
        <w:rPr>
          <w:rFonts w:ascii="Times New Roman" w:eastAsia="Calibri" w:hAnsi="Times New Roman" w:cs="Times New Roman"/>
          <w:spacing w:val="-5"/>
          <w:lang w:eastAsia="ru-RU"/>
        </w:rPr>
        <w:t xml:space="preserve">ефективного виконання покладених на них завдань і функцій, </w:t>
      </w:r>
      <w:r w:rsidRPr="00F421F9">
        <w:rPr>
          <w:rFonts w:ascii="Times New Roman" w:eastAsia="Calibri" w:hAnsi="Times New Roman" w:cs="Times New Roman"/>
          <w:lang w:eastAsia="ru-RU"/>
        </w:rPr>
        <w:t>зміцнення взаємодії з місцевими органами виконавчої влади та органами місцевого самоврядування;</w:t>
      </w:r>
    </w:p>
    <w:p w:rsidR="00AA7B24" w:rsidRPr="00F421F9" w:rsidRDefault="00AA7B24" w:rsidP="00AA7B24">
      <w:pPr>
        <w:widowControl w:val="0"/>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підвищення рівня кадрового забезпечення </w:t>
      </w:r>
      <w:proofErr w:type="spellStart"/>
      <w:r w:rsidRPr="00F421F9">
        <w:rPr>
          <w:rFonts w:ascii="Times New Roman" w:eastAsia="Calibri" w:hAnsi="Times New Roman" w:cs="Times New Roman"/>
          <w:lang w:eastAsia="ru-RU"/>
        </w:rPr>
        <w:t>оперативно</w:t>
      </w:r>
      <w:proofErr w:type="spellEnd"/>
      <w:r w:rsidRPr="00F421F9">
        <w:rPr>
          <w:rFonts w:ascii="Times New Roman" w:eastAsia="Calibri" w:hAnsi="Times New Roman" w:cs="Times New Roman"/>
          <w:lang w:eastAsia="ru-RU"/>
        </w:rPr>
        <w:t xml:space="preserve">-службової діяльності, професіоналізму поліцейських, їх правового захисту; </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lastRenderedPageBreak/>
        <w:t>забезпечення максимального спрощення, швидкості та прозорості процедур надання адміністративних послуг;</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здійснення концептуального переходу на принципи соціального обслуговування населення в реалізації завдань </w:t>
      </w:r>
      <w:proofErr w:type="spellStart"/>
      <w:r w:rsidRPr="00F421F9">
        <w:rPr>
          <w:rFonts w:ascii="Times New Roman" w:eastAsia="Calibri" w:hAnsi="Times New Roman" w:cs="Times New Roman"/>
          <w:lang w:eastAsia="ru-RU"/>
        </w:rPr>
        <w:t>оперативно</w:t>
      </w:r>
      <w:proofErr w:type="spellEnd"/>
      <w:r w:rsidRPr="00F421F9">
        <w:rPr>
          <w:rFonts w:ascii="Times New Roman" w:eastAsia="Calibri" w:hAnsi="Times New Roman" w:cs="Times New Roman"/>
          <w:lang w:eastAsia="ru-RU"/>
        </w:rPr>
        <w:t>-службової діяльності;</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F421F9" w:rsidRDefault="00AA7B24" w:rsidP="00AA7B24">
      <w:pPr>
        <w:numPr>
          <w:ilvl w:val="0"/>
          <w:numId w:val="2"/>
        </w:numPr>
        <w:spacing w:after="0" w:line="240" w:lineRule="auto"/>
        <w:ind w:left="142" w:right="121"/>
        <w:jc w:val="both"/>
        <w:rPr>
          <w:rFonts w:ascii="Times New Roman" w:eastAsia="Calibri" w:hAnsi="Times New Roman" w:cs="Times New Roman"/>
          <w:lang w:eastAsia="ru-RU"/>
        </w:rPr>
      </w:pPr>
      <w:r w:rsidRPr="00F421F9">
        <w:rPr>
          <w:rFonts w:ascii="Times New Roman" w:eastAsia="Calibri" w:hAnsi="Times New Roman" w:cs="Times New Roman"/>
          <w:lang w:eastAsia="ru-RU"/>
        </w:rPr>
        <w:t xml:space="preserve">забезпечення дієвого функціонування інтегрованих баз даних та їх ефективного використання в </w:t>
      </w:r>
      <w:proofErr w:type="spellStart"/>
      <w:r w:rsidRPr="00F421F9">
        <w:rPr>
          <w:rFonts w:ascii="Times New Roman" w:eastAsia="Calibri" w:hAnsi="Times New Roman" w:cs="Times New Roman"/>
          <w:lang w:eastAsia="ru-RU"/>
        </w:rPr>
        <w:t>оперативно</w:t>
      </w:r>
      <w:proofErr w:type="spellEnd"/>
      <w:r w:rsidRPr="00F421F9">
        <w:rPr>
          <w:rFonts w:ascii="Times New Roman" w:eastAsia="Calibri" w:hAnsi="Times New Roman" w:cs="Times New Roman"/>
          <w:lang w:eastAsia="ru-RU"/>
        </w:rPr>
        <w:t>-службовій діяльності.</w:t>
      </w:r>
    </w:p>
    <w:p w:rsidR="00AA7B24" w:rsidRPr="00F421F9" w:rsidRDefault="00AA7B24" w:rsidP="00AA7B24">
      <w:pPr>
        <w:spacing w:after="0" w:line="240" w:lineRule="auto"/>
        <w:ind w:left="142" w:right="121"/>
        <w:jc w:val="both"/>
        <w:rPr>
          <w:rFonts w:ascii="Times New Roman" w:eastAsia="Calibri" w:hAnsi="Times New Roman" w:cs="Times New Roman"/>
          <w:lang w:eastAsia="ru-RU"/>
        </w:rPr>
      </w:pPr>
    </w:p>
    <w:p w:rsidR="00AA7B24" w:rsidRPr="00F421F9" w:rsidRDefault="00AA7B24" w:rsidP="00AA7B24">
      <w:pPr>
        <w:spacing w:after="0" w:line="240" w:lineRule="auto"/>
        <w:ind w:left="142" w:right="121"/>
        <w:jc w:val="center"/>
        <w:rPr>
          <w:rFonts w:ascii="Times New Roman" w:eastAsia="Calibri" w:hAnsi="Times New Roman" w:cs="Times New Roman"/>
          <w:b/>
          <w:sz w:val="24"/>
          <w:lang w:eastAsia="ru-RU"/>
        </w:rPr>
      </w:pPr>
      <w:r w:rsidRPr="00F421F9">
        <w:rPr>
          <w:rFonts w:ascii="Times New Roman" w:eastAsia="Calibri" w:hAnsi="Times New Roman" w:cs="Times New Roman"/>
          <w:b/>
          <w:sz w:val="24"/>
          <w:lang w:eastAsia="ru-RU"/>
        </w:rPr>
        <w:t>3. Основні  напрями та заходи виконання</w:t>
      </w:r>
      <w:r w:rsidRPr="00F421F9">
        <w:rPr>
          <w:rFonts w:ascii="Times New Roman" w:eastAsia="Calibri" w:hAnsi="Times New Roman" w:cs="Times New Roman"/>
          <w:color w:val="303030"/>
          <w:sz w:val="24"/>
          <w:lang w:eastAsia="uk-UA"/>
        </w:rPr>
        <w:t xml:space="preserve"> </w:t>
      </w:r>
      <w:r w:rsidRPr="00F421F9">
        <w:rPr>
          <w:rFonts w:ascii="Times New Roman" w:eastAsia="Calibri" w:hAnsi="Times New Roman" w:cs="Times New Roman"/>
          <w:b/>
          <w:sz w:val="24"/>
          <w:lang w:eastAsia="ru-RU"/>
        </w:rPr>
        <w:t>Програми</w:t>
      </w:r>
    </w:p>
    <w:p w:rsidR="00AA7B24" w:rsidRDefault="00AA7B24" w:rsidP="00AA7B24">
      <w:pPr>
        <w:spacing w:after="0" w:line="240" w:lineRule="auto"/>
        <w:ind w:left="142" w:right="121"/>
        <w:jc w:val="both"/>
        <w:rPr>
          <w:rFonts w:ascii="Times New Roman" w:eastAsia="Calibri" w:hAnsi="Times New Roman" w:cs="Times New Roman"/>
          <w:lang w:eastAsia="ru-RU"/>
        </w:rPr>
      </w:pPr>
      <w:r>
        <w:rPr>
          <w:rFonts w:ascii="Times New Roman" w:eastAsia="Calibri" w:hAnsi="Times New Roman" w:cs="Times New Roman"/>
          <w:lang w:eastAsia="ru-RU"/>
        </w:rPr>
        <w:t>Основні напрями та заходи виконання Програми визначені у додатку  1 до Програми.</w:t>
      </w:r>
    </w:p>
    <w:p w:rsidR="00AA7B24" w:rsidRPr="00F421F9" w:rsidRDefault="00AA7B24" w:rsidP="00AA7B24">
      <w:pPr>
        <w:spacing w:after="0" w:line="240" w:lineRule="auto"/>
        <w:ind w:left="142" w:right="121"/>
        <w:jc w:val="both"/>
        <w:rPr>
          <w:rFonts w:ascii="Times New Roman" w:eastAsia="Calibri" w:hAnsi="Times New Roman" w:cs="Times New Roman"/>
          <w:bCs/>
          <w:color w:val="000000"/>
          <w:lang w:eastAsia="ru-RU"/>
        </w:rPr>
      </w:pPr>
    </w:p>
    <w:p w:rsidR="00AA7B24" w:rsidRPr="00F421F9" w:rsidRDefault="00AA7B24" w:rsidP="00AA7B24">
      <w:pPr>
        <w:spacing w:after="0" w:line="240" w:lineRule="auto"/>
        <w:ind w:left="142" w:right="121"/>
        <w:jc w:val="center"/>
        <w:rPr>
          <w:rFonts w:ascii="Times New Roman" w:eastAsia="Calibri" w:hAnsi="Times New Roman" w:cs="Times New Roman"/>
          <w:b/>
          <w:sz w:val="24"/>
          <w:lang w:eastAsia="ru-RU"/>
        </w:rPr>
      </w:pPr>
      <w:r w:rsidRPr="00F421F9">
        <w:rPr>
          <w:rFonts w:ascii="Times New Roman" w:eastAsia="Calibri" w:hAnsi="Times New Roman" w:cs="Times New Roman"/>
          <w:b/>
          <w:sz w:val="24"/>
          <w:lang w:eastAsia="ru-RU"/>
        </w:rPr>
        <w:t>4. Шляхи розв'язання головних проблем та досягнення поставлених цілей</w:t>
      </w:r>
    </w:p>
    <w:p w:rsidR="00AA7B24" w:rsidRPr="00F421F9" w:rsidRDefault="00AA7B24" w:rsidP="00AA7B24">
      <w:pPr>
        <w:spacing w:after="0" w:line="240" w:lineRule="auto"/>
        <w:ind w:left="142" w:right="121"/>
        <w:jc w:val="both"/>
        <w:rPr>
          <w:rFonts w:ascii="Times New Roman" w:eastAsia="Calibri" w:hAnsi="Times New Roman" w:cs="Times New Roman"/>
          <w:color w:val="303030"/>
          <w:lang w:eastAsia="uk-UA"/>
        </w:rPr>
      </w:pPr>
      <w:r w:rsidRPr="00F421F9">
        <w:rPr>
          <w:rFonts w:ascii="Times New Roman" w:eastAsia="Calibri" w:hAnsi="Times New Roman" w:cs="Times New Roman"/>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w:t>
      </w:r>
      <w:r w:rsidRPr="00957DEF">
        <w:rPr>
          <w:rFonts w:ascii="Times New Roman" w:eastAsia="Calibri" w:hAnsi="Times New Roman" w:cs="Times New Roman"/>
          <w:lang w:eastAsia="ru-RU"/>
        </w:rPr>
        <w:t xml:space="preserve">, згідно </w:t>
      </w:r>
      <w:r>
        <w:rPr>
          <w:rFonts w:ascii="Times New Roman" w:eastAsia="Calibri" w:hAnsi="Times New Roman" w:cs="Times New Roman"/>
          <w:lang w:eastAsia="ru-RU"/>
        </w:rPr>
        <w:t>з додатком</w:t>
      </w:r>
      <w:r>
        <w:rPr>
          <w:rFonts w:ascii="Times New Roman" w:eastAsia="Calibri" w:hAnsi="Times New Roman" w:cs="Times New Roman"/>
          <w:lang w:eastAsia="ru-RU"/>
        </w:rPr>
        <w:t xml:space="preserve"> 2</w:t>
      </w:r>
      <w:r w:rsidRPr="00F421F9">
        <w:rPr>
          <w:rFonts w:ascii="Times New Roman" w:eastAsia="Calibri" w:hAnsi="Times New Roman" w:cs="Times New Roman"/>
          <w:lang w:eastAsia="ru-RU"/>
        </w:rPr>
        <w:t>.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r w:rsidRPr="00F421F9">
        <w:rPr>
          <w:rFonts w:ascii="Times New Roman" w:eastAsia="Calibri" w:hAnsi="Times New Roman" w:cs="Times New Roman"/>
          <w:color w:val="303030"/>
          <w:lang w:eastAsia="uk-UA"/>
        </w:rPr>
        <w:t xml:space="preserve"> </w:t>
      </w:r>
    </w:p>
    <w:p w:rsidR="00AA7B24" w:rsidRPr="00F421F9" w:rsidRDefault="00AA7B24" w:rsidP="00AA7B24">
      <w:pPr>
        <w:spacing w:after="0" w:line="240" w:lineRule="auto"/>
        <w:ind w:left="142" w:right="121"/>
        <w:rPr>
          <w:rFonts w:ascii="Times New Roman" w:eastAsia="Calibri" w:hAnsi="Times New Roman" w:cs="Times New Roman"/>
          <w:color w:val="303030"/>
          <w:lang w:eastAsia="uk-UA"/>
        </w:rPr>
      </w:pPr>
    </w:p>
    <w:p w:rsidR="00AA7B24" w:rsidRPr="00F421F9" w:rsidRDefault="00AA7B24" w:rsidP="00AA7B24">
      <w:pPr>
        <w:spacing w:after="0" w:line="240" w:lineRule="auto"/>
        <w:ind w:left="142" w:right="121"/>
        <w:rPr>
          <w:rFonts w:ascii="Times New Roman" w:eastAsia="Calibri" w:hAnsi="Times New Roman" w:cs="Times New Roman"/>
          <w:color w:val="303030"/>
          <w:lang w:eastAsia="uk-UA"/>
        </w:rPr>
      </w:pPr>
    </w:p>
    <w:p w:rsidR="00AA7B24" w:rsidRDefault="00AA7B24" w:rsidP="00AA7B24">
      <w:pPr>
        <w:spacing w:after="0" w:line="240" w:lineRule="auto"/>
        <w:ind w:left="142" w:right="121"/>
      </w:pPr>
      <w:r w:rsidRPr="00F421F9">
        <w:rPr>
          <w:rFonts w:ascii="Times New Roman" w:eastAsia="Calibri" w:hAnsi="Times New Roman" w:cs="Times New Roman"/>
          <w:lang w:eastAsia="ru-RU"/>
        </w:rPr>
        <w:t xml:space="preserve">                Секретар селищної ради                                                </w:t>
      </w:r>
      <w:r>
        <w:rPr>
          <w:rFonts w:ascii="Times New Roman" w:eastAsia="Calibri" w:hAnsi="Times New Roman" w:cs="Times New Roman"/>
          <w:lang w:eastAsia="ru-RU"/>
        </w:rPr>
        <w:t xml:space="preserve">                  Тетяна</w:t>
      </w:r>
      <w:r w:rsidRPr="00F421F9">
        <w:rPr>
          <w:rFonts w:ascii="Times New Roman" w:eastAsia="Calibri" w:hAnsi="Times New Roman" w:cs="Times New Roman"/>
          <w:lang w:eastAsia="ru-RU"/>
        </w:rPr>
        <w:t xml:space="preserve"> НЕПИЙВОДА</w:t>
      </w:r>
    </w:p>
    <w:p w:rsidR="00B82C83"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 w:rsidR="00AA7B24" w:rsidRDefault="00AA7B24">
      <w:pPr>
        <w:sectPr w:rsidR="00AA7B24" w:rsidSect="00AA7B24">
          <w:pgSz w:w="11900" w:h="16840" w:code="9"/>
          <w:pgMar w:top="851" w:right="850" w:bottom="709" w:left="1701" w:header="0" w:footer="6" w:gutter="0"/>
          <w:cols w:space="708"/>
          <w:noEndnote/>
          <w:docGrid w:linePitch="360"/>
        </w:sectPr>
      </w:pP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Pr="003C3BAE">
        <w:rPr>
          <w:rFonts w:ascii="Times New Roman" w:hAnsi="Times New Roman" w:cs="Times New Roman"/>
          <w:sz w:val="24"/>
        </w:rPr>
        <w:t xml:space="preserve">Додаток </w:t>
      </w:r>
      <w:r>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sidRPr="003C3BAE">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b/>
          <w:sz w:val="24"/>
        </w:rPr>
        <w:t xml:space="preserve">                                                                                                                                                      </w:t>
      </w:r>
    </w:p>
    <w:p w:rsidR="00AA7B24" w:rsidRDefault="00AA7B24" w:rsidP="00AA7B24">
      <w:pPr>
        <w:tabs>
          <w:tab w:val="left" w:pos="1995"/>
          <w:tab w:val="center" w:pos="7285"/>
        </w:tabs>
        <w:spacing w:line="240" w:lineRule="auto"/>
        <w:rPr>
          <w:rFonts w:ascii="Times New Roman" w:hAnsi="Times New Roman" w:cs="Times New Roman"/>
          <w:b/>
          <w:sz w:val="32"/>
        </w:rPr>
      </w:pPr>
      <w:r>
        <w:rPr>
          <w:rFonts w:ascii="Times New Roman" w:hAnsi="Times New Roman" w:cs="Times New Roman"/>
          <w:b/>
          <w:sz w:val="32"/>
        </w:rPr>
        <w:t xml:space="preserve">                                                           </w:t>
      </w:r>
      <w:r w:rsidRPr="00532B18">
        <w:rPr>
          <w:rFonts w:ascii="Times New Roman" w:hAnsi="Times New Roman" w:cs="Times New Roman"/>
          <w:b/>
          <w:sz w:val="32"/>
        </w:rPr>
        <w:t>Напрями діяльності і заходи Програми</w:t>
      </w:r>
    </w:p>
    <w:tbl>
      <w:tblPr>
        <w:tblStyle w:val="a3"/>
        <w:tblW w:w="15305" w:type="dxa"/>
        <w:tblLayout w:type="fixed"/>
        <w:tblLook w:val="04A0" w:firstRow="1" w:lastRow="0" w:firstColumn="1" w:lastColumn="0" w:noHBand="0" w:noVBand="1"/>
      </w:tblPr>
      <w:tblGrid>
        <w:gridCol w:w="704"/>
        <w:gridCol w:w="7370"/>
        <w:gridCol w:w="1276"/>
        <w:gridCol w:w="2552"/>
        <w:gridCol w:w="1275"/>
        <w:gridCol w:w="993"/>
        <w:gridCol w:w="1135"/>
      </w:tblGrid>
      <w:tr w:rsidR="00AA7B24" w:rsidTr="00604F7E">
        <w:trPr>
          <w:trHeight w:val="480"/>
        </w:trPr>
        <w:tc>
          <w:tcPr>
            <w:tcW w:w="704" w:type="dxa"/>
            <w:vMerge w:val="restart"/>
          </w:tcPr>
          <w:p w:rsidR="00AA7B24" w:rsidRDefault="00AA7B24" w:rsidP="00604F7E">
            <w:pPr>
              <w:jc w:val="center"/>
              <w:rPr>
                <w:rFonts w:ascii="Times New Roman" w:hAnsi="Times New Roman" w:cs="Times New Roman"/>
                <w:sz w:val="28"/>
              </w:rPr>
            </w:pPr>
          </w:p>
          <w:p w:rsidR="00AA7B24" w:rsidRDefault="00AA7B24" w:rsidP="00604F7E">
            <w:pPr>
              <w:jc w:val="center"/>
              <w:rPr>
                <w:rFonts w:ascii="Times New Roman" w:hAnsi="Times New Roman" w:cs="Times New Roman"/>
                <w:sz w:val="28"/>
              </w:rPr>
            </w:pPr>
          </w:p>
          <w:p w:rsidR="00AA7B24" w:rsidRDefault="00AA7B24" w:rsidP="00604F7E">
            <w:pPr>
              <w:jc w:val="center"/>
              <w:rPr>
                <w:rFonts w:ascii="Times New Roman" w:hAnsi="Times New Roman" w:cs="Times New Roman"/>
                <w:sz w:val="28"/>
              </w:rPr>
            </w:pPr>
            <w:r w:rsidRPr="00532B18">
              <w:rPr>
                <w:rFonts w:ascii="Times New Roman" w:hAnsi="Times New Roman" w:cs="Times New Roman"/>
                <w:sz w:val="28"/>
              </w:rPr>
              <w:t>№</w:t>
            </w:r>
          </w:p>
          <w:p w:rsidR="00AA7B24" w:rsidRPr="00532B18" w:rsidRDefault="00AA7B24" w:rsidP="00604F7E">
            <w:pPr>
              <w:jc w:val="center"/>
              <w:rPr>
                <w:rFonts w:ascii="Times New Roman" w:hAnsi="Times New Roman" w:cs="Times New Roman"/>
                <w:sz w:val="28"/>
              </w:rPr>
            </w:pPr>
            <w:r>
              <w:rPr>
                <w:rFonts w:ascii="Times New Roman" w:hAnsi="Times New Roman" w:cs="Times New Roman"/>
                <w:sz w:val="28"/>
              </w:rPr>
              <w:t>з/п</w:t>
            </w:r>
          </w:p>
        </w:tc>
        <w:tc>
          <w:tcPr>
            <w:tcW w:w="7370" w:type="dxa"/>
            <w:vMerge w:val="restart"/>
          </w:tcPr>
          <w:p w:rsidR="00AA7B24" w:rsidRDefault="00AA7B24" w:rsidP="00604F7E">
            <w:pPr>
              <w:jc w:val="center"/>
              <w:rPr>
                <w:rFonts w:ascii="Times New Roman" w:hAnsi="Times New Roman" w:cs="Times New Roman"/>
                <w:sz w:val="28"/>
              </w:rPr>
            </w:pPr>
          </w:p>
          <w:p w:rsidR="00AA7B24" w:rsidRDefault="00AA7B24" w:rsidP="00604F7E">
            <w:pPr>
              <w:jc w:val="center"/>
              <w:rPr>
                <w:rFonts w:ascii="Times New Roman" w:hAnsi="Times New Roman" w:cs="Times New Roman"/>
                <w:sz w:val="28"/>
              </w:rPr>
            </w:pPr>
          </w:p>
          <w:p w:rsidR="00AA7B24" w:rsidRPr="00532B18" w:rsidRDefault="00AA7B24" w:rsidP="00604F7E">
            <w:pPr>
              <w:jc w:val="center"/>
              <w:rPr>
                <w:rFonts w:ascii="Times New Roman" w:hAnsi="Times New Roman" w:cs="Times New Roman"/>
                <w:sz w:val="28"/>
              </w:rPr>
            </w:pPr>
            <w:r>
              <w:rPr>
                <w:rFonts w:ascii="Times New Roman" w:hAnsi="Times New Roman" w:cs="Times New Roman"/>
                <w:sz w:val="28"/>
              </w:rPr>
              <w:t>Перелік заходів Програми</w:t>
            </w:r>
          </w:p>
        </w:tc>
        <w:tc>
          <w:tcPr>
            <w:tcW w:w="1276" w:type="dxa"/>
            <w:vMerge w:val="restart"/>
          </w:tcPr>
          <w:p w:rsidR="00AA7B24" w:rsidRDefault="00AA7B24" w:rsidP="00604F7E">
            <w:pPr>
              <w:ind w:left="-108" w:right="-108"/>
              <w:jc w:val="center"/>
              <w:rPr>
                <w:rFonts w:ascii="Times New Roman" w:hAnsi="Times New Roman" w:cs="Times New Roman"/>
                <w:sz w:val="28"/>
              </w:rPr>
            </w:pPr>
          </w:p>
          <w:p w:rsidR="00AA7B24" w:rsidRDefault="00AA7B24" w:rsidP="00604F7E">
            <w:pPr>
              <w:ind w:left="-108" w:right="-108"/>
              <w:jc w:val="center"/>
              <w:rPr>
                <w:rFonts w:ascii="Times New Roman" w:hAnsi="Times New Roman" w:cs="Times New Roman"/>
                <w:sz w:val="28"/>
              </w:rPr>
            </w:pPr>
          </w:p>
          <w:p w:rsidR="00AA7B24" w:rsidRPr="00532B18" w:rsidRDefault="00AA7B24" w:rsidP="00604F7E">
            <w:pPr>
              <w:ind w:left="-108" w:right="-108"/>
              <w:jc w:val="center"/>
              <w:rPr>
                <w:rFonts w:ascii="Times New Roman" w:hAnsi="Times New Roman" w:cs="Times New Roman"/>
                <w:sz w:val="28"/>
              </w:rPr>
            </w:pPr>
            <w:r>
              <w:rPr>
                <w:rFonts w:ascii="Times New Roman" w:hAnsi="Times New Roman" w:cs="Times New Roman"/>
                <w:sz w:val="28"/>
              </w:rPr>
              <w:t>Термін виконання заходу</w:t>
            </w:r>
          </w:p>
        </w:tc>
        <w:tc>
          <w:tcPr>
            <w:tcW w:w="2552" w:type="dxa"/>
            <w:vMerge w:val="restart"/>
          </w:tcPr>
          <w:p w:rsidR="00AA7B24" w:rsidRDefault="00AA7B24" w:rsidP="00604F7E">
            <w:pPr>
              <w:jc w:val="center"/>
              <w:rPr>
                <w:rFonts w:ascii="Times New Roman" w:hAnsi="Times New Roman" w:cs="Times New Roman"/>
                <w:sz w:val="28"/>
              </w:rPr>
            </w:pPr>
          </w:p>
          <w:p w:rsidR="00AA7B24" w:rsidRDefault="00AA7B24" w:rsidP="00604F7E">
            <w:pPr>
              <w:jc w:val="center"/>
              <w:rPr>
                <w:rFonts w:ascii="Times New Roman" w:hAnsi="Times New Roman" w:cs="Times New Roman"/>
                <w:sz w:val="28"/>
              </w:rPr>
            </w:pPr>
          </w:p>
          <w:p w:rsidR="00AA7B24" w:rsidRPr="00532B18" w:rsidRDefault="00AA7B24" w:rsidP="00604F7E">
            <w:pPr>
              <w:jc w:val="center"/>
              <w:rPr>
                <w:rFonts w:ascii="Times New Roman" w:hAnsi="Times New Roman" w:cs="Times New Roman"/>
                <w:sz w:val="28"/>
              </w:rPr>
            </w:pPr>
            <w:r>
              <w:rPr>
                <w:rFonts w:ascii="Times New Roman" w:hAnsi="Times New Roman" w:cs="Times New Roman"/>
                <w:sz w:val="28"/>
              </w:rPr>
              <w:t>Виконавці</w:t>
            </w:r>
          </w:p>
        </w:tc>
        <w:tc>
          <w:tcPr>
            <w:tcW w:w="3403" w:type="dxa"/>
            <w:gridSpan w:val="3"/>
          </w:tcPr>
          <w:p w:rsidR="00AA7B24" w:rsidRPr="003C3BAE" w:rsidRDefault="00AA7B24" w:rsidP="00604F7E">
            <w:pPr>
              <w:jc w:val="center"/>
              <w:rPr>
                <w:rFonts w:ascii="Times New Roman" w:hAnsi="Times New Roman" w:cs="Times New Roman"/>
                <w:bCs/>
                <w:sz w:val="28"/>
              </w:rPr>
            </w:pPr>
            <w:r w:rsidRPr="003C3BAE">
              <w:rPr>
                <w:rFonts w:ascii="Times New Roman" w:hAnsi="Times New Roman" w:cs="Times New Roman"/>
                <w:bCs/>
                <w:sz w:val="28"/>
              </w:rPr>
              <w:t>Обсяги та джерела</w:t>
            </w:r>
          </w:p>
          <w:p w:rsidR="00AA7B24" w:rsidRDefault="00AA7B24" w:rsidP="00604F7E">
            <w:pPr>
              <w:jc w:val="center"/>
              <w:rPr>
                <w:rFonts w:ascii="Times New Roman" w:hAnsi="Times New Roman" w:cs="Times New Roman"/>
                <w:bCs/>
                <w:sz w:val="28"/>
              </w:rPr>
            </w:pPr>
            <w:r w:rsidRPr="003C3BAE">
              <w:rPr>
                <w:rFonts w:ascii="Times New Roman" w:hAnsi="Times New Roman" w:cs="Times New Roman"/>
                <w:bCs/>
                <w:sz w:val="28"/>
              </w:rPr>
              <w:t>фінансування</w:t>
            </w:r>
          </w:p>
          <w:p w:rsidR="00AA7B24" w:rsidRPr="00532B18" w:rsidRDefault="00AA7B24" w:rsidP="00604F7E">
            <w:pPr>
              <w:jc w:val="center"/>
              <w:rPr>
                <w:rFonts w:ascii="Times New Roman" w:hAnsi="Times New Roman" w:cs="Times New Roman"/>
                <w:sz w:val="28"/>
              </w:rPr>
            </w:pPr>
            <w:r>
              <w:rPr>
                <w:rFonts w:ascii="Times New Roman" w:hAnsi="Times New Roman" w:cs="Times New Roman"/>
                <w:sz w:val="28"/>
              </w:rPr>
              <w:t>(тис. грн)</w:t>
            </w:r>
          </w:p>
        </w:tc>
      </w:tr>
      <w:tr w:rsidR="00AA7B24" w:rsidTr="00604F7E">
        <w:trPr>
          <w:trHeight w:val="480"/>
        </w:trPr>
        <w:tc>
          <w:tcPr>
            <w:tcW w:w="704" w:type="dxa"/>
            <w:vMerge/>
          </w:tcPr>
          <w:p w:rsidR="00AA7B24" w:rsidRPr="00532B18" w:rsidRDefault="00AA7B24" w:rsidP="00604F7E">
            <w:pPr>
              <w:jc w:val="center"/>
              <w:rPr>
                <w:rFonts w:ascii="Times New Roman" w:hAnsi="Times New Roman" w:cs="Times New Roman"/>
                <w:sz w:val="28"/>
              </w:rPr>
            </w:pPr>
          </w:p>
        </w:tc>
        <w:tc>
          <w:tcPr>
            <w:tcW w:w="7370" w:type="dxa"/>
            <w:vMerge/>
          </w:tcPr>
          <w:p w:rsidR="00AA7B24" w:rsidRDefault="00AA7B24" w:rsidP="00604F7E">
            <w:pPr>
              <w:jc w:val="center"/>
              <w:rPr>
                <w:rFonts w:ascii="Times New Roman" w:hAnsi="Times New Roman" w:cs="Times New Roman"/>
                <w:sz w:val="28"/>
              </w:rPr>
            </w:pPr>
          </w:p>
        </w:tc>
        <w:tc>
          <w:tcPr>
            <w:tcW w:w="1276" w:type="dxa"/>
            <w:vMerge/>
          </w:tcPr>
          <w:p w:rsidR="00AA7B24" w:rsidRDefault="00AA7B24" w:rsidP="00604F7E">
            <w:pPr>
              <w:jc w:val="center"/>
              <w:rPr>
                <w:rFonts w:ascii="Times New Roman" w:hAnsi="Times New Roman" w:cs="Times New Roman"/>
                <w:sz w:val="28"/>
              </w:rPr>
            </w:pPr>
          </w:p>
        </w:tc>
        <w:tc>
          <w:tcPr>
            <w:tcW w:w="2552" w:type="dxa"/>
            <w:vMerge/>
          </w:tcPr>
          <w:p w:rsidR="00AA7B24" w:rsidRDefault="00AA7B24" w:rsidP="00604F7E">
            <w:pPr>
              <w:jc w:val="center"/>
              <w:rPr>
                <w:rFonts w:ascii="Times New Roman" w:hAnsi="Times New Roman" w:cs="Times New Roman"/>
                <w:sz w:val="28"/>
              </w:rPr>
            </w:pPr>
          </w:p>
        </w:tc>
        <w:tc>
          <w:tcPr>
            <w:tcW w:w="1275" w:type="dxa"/>
          </w:tcPr>
          <w:p w:rsidR="00AA7B24" w:rsidRPr="00D73C04" w:rsidRDefault="00AA7B24" w:rsidP="00604F7E">
            <w:pPr>
              <w:ind w:left="-108" w:right="-108"/>
              <w:jc w:val="center"/>
              <w:rPr>
                <w:rFonts w:ascii="Times New Roman" w:hAnsi="Times New Roman" w:cs="Times New Roman"/>
                <w:bCs/>
                <w:sz w:val="28"/>
              </w:rPr>
            </w:pPr>
            <w:r w:rsidRPr="00D73C04">
              <w:rPr>
                <w:rFonts w:ascii="Times New Roman" w:hAnsi="Times New Roman" w:cs="Times New Roman"/>
                <w:bCs/>
                <w:sz w:val="28"/>
              </w:rPr>
              <w:t>Місцевий</w:t>
            </w:r>
          </w:p>
          <w:p w:rsidR="00AA7B24" w:rsidRDefault="00AA7B24" w:rsidP="00604F7E">
            <w:pPr>
              <w:ind w:left="-108" w:right="-108"/>
              <w:jc w:val="center"/>
              <w:rPr>
                <w:rFonts w:ascii="Times New Roman" w:hAnsi="Times New Roman" w:cs="Times New Roman"/>
                <w:sz w:val="28"/>
              </w:rPr>
            </w:pPr>
            <w:r w:rsidRPr="00D73C04">
              <w:rPr>
                <w:rFonts w:ascii="Times New Roman" w:hAnsi="Times New Roman" w:cs="Times New Roman"/>
                <w:bCs/>
                <w:sz w:val="28"/>
              </w:rPr>
              <w:t>бюджет</w:t>
            </w:r>
          </w:p>
        </w:tc>
        <w:tc>
          <w:tcPr>
            <w:tcW w:w="993" w:type="dxa"/>
          </w:tcPr>
          <w:p w:rsidR="00AA7B24" w:rsidRPr="00D73C04" w:rsidRDefault="00AA7B24" w:rsidP="00604F7E">
            <w:pPr>
              <w:ind w:left="-108" w:right="-107"/>
              <w:jc w:val="center"/>
              <w:rPr>
                <w:rFonts w:ascii="Times New Roman" w:hAnsi="Times New Roman" w:cs="Times New Roman"/>
                <w:bCs/>
                <w:sz w:val="28"/>
              </w:rPr>
            </w:pPr>
            <w:r w:rsidRPr="00D73C04">
              <w:rPr>
                <w:rFonts w:ascii="Times New Roman" w:hAnsi="Times New Roman" w:cs="Times New Roman"/>
                <w:bCs/>
                <w:sz w:val="28"/>
              </w:rPr>
              <w:t>Інші джерела</w:t>
            </w:r>
          </w:p>
          <w:p w:rsidR="00AA7B24" w:rsidRDefault="00AA7B24" w:rsidP="00604F7E">
            <w:pPr>
              <w:ind w:left="-108" w:right="-107"/>
              <w:jc w:val="center"/>
              <w:rPr>
                <w:rFonts w:ascii="Times New Roman" w:hAnsi="Times New Roman" w:cs="Times New Roman"/>
                <w:sz w:val="28"/>
              </w:rPr>
            </w:pPr>
            <w:r w:rsidRPr="00D73C04">
              <w:rPr>
                <w:rFonts w:ascii="Times New Roman" w:hAnsi="Times New Roman" w:cs="Times New Roman"/>
                <w:bCs/>
                <w:sz w:val="28"/>
              </w:rPr>
              <w:t>фінансування</w:t>
            </w:r>
          </w:p>
        </w:tc>
        <w:tc>
          <w:tcPr>
            <w:tcW w:w="1135" w:type="dxa"/>
          </w:tcPr>
          <w:p w:rsidR="00AA7B24" w:rsidRPr="00532B18" w:rsidRDefault="00AA7B24" w:rsidP="00604F7E">
            <w:pPr>
              <w:jc w:val="center"/>
              <w:rPr>
                <w:rFonts w:ascii="Times New Roman" w:hAnsi="Times New Roman" w:cs="Times New Roman"/>
                <w:sz w:val="28"/>
              </w:rPr>
            </w:pPr>
            <w:r>
              <w:rPr>
                <w:rFonts w:ascii="Times New Roman" w:hAnsi="Times New Roman" w:cs="Times New Roman"/>
                <w:sz w:val="28"/>
              </w:rPr>
              <w:t>Всього</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Впровадження поліцейської діяльності, орієнтованої на громаду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1E333B">
              <w:rPr>
                <w:rFonts w:ascii="Times New Roman" w:hAnsi="Times New Roman" w:cs="Times New Roman"/>
                <w:sz w:val="24"/>
                <w:szCs w:val="24"/>
              </w:rPr>
              <w:t>У  межах коштів поточного року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bookmarkStart w:id="1" w:name="_GoBack"/>
            <w:bookmarkEnd w:id="1"/>
            <w:r w:rsidRPr="00D73C04">
              <w:rPr>
                <w:rFonts w:ascii="Times New Roman" w:hAnsi="Times New Roman" w:cs="Times New Roman"/>
                <w:sz w:val="24"/>
                <w:szCs w:val="24"/>
              </w:rPr>
              <w:t>2.2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належних умов для несення служби, підвищення якості професійної підготовки, </w:t>
            </w:r>
            <w:proofErr w:type="spellStart"/>
            <w:r w:rsidRPr="00D73C04">
              <w:rPr>
                <w:rFonts w:ascii="Times New Roman" w:hAnsi="Times New Roman" w:cs="Times New Roman"/>
                <w:sz w:val="24"/>
                <w:szCs w:val="24"/>
              </w:rPr>
              <w:t>тренувально</w:t>
            </w:r>
            <w:proofErr w:type="spellEnd"/>
            <w:r w:rsidRPr="00D73C04">
              <w:rPr>
                <w:rFonts w:ascii="Times New Roman" w:hAnsi="Times New Roman" w:cs="Times New Roman"/>
                <w:sz w:val="24"/>
                <w:szCs w:val="24"/>
              </w:rPr>
              <w:t>-спортивних занять та навчань поліцейських:</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lastRenderedPageBreak/>
              <w:t>- проведення реконструкції приміщень, капітальних та поточних ремонтів адміністративних будівель, спортивних залів та споруд;</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F4397D">
              <w:rPr>
                <w:rFonts w:ascii="Times New Roman" w:hAnsi="Times New Roman" w:cs="Times New Roman"/>
                <w:sz w:val="24"/>
                <w:szCs w:val="24"/>
              </w:rPr>
              <w:t>У  межах коштів поточного року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2.5</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1E333B">
              <w:rPr>
                <w:rFonts w:ascii="Times New Roman" w:hAnsi="Times New Roman" w:cs="Times New Roman"/>
                <w:sz w:val="24"/>
                <w:szCs w:val="24"/>
              </w:rPr>
              <w:t>У  межах коштів поточного року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2.7</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1E333B">
              <w:rPr>
                <w:rFonts w:ascii="Times New Roman" w:hAnsi="Times New Roman" w:cs="Times New Roman"/>
                <w:sz w:val="24"/>
                <w:szCs w:val="24"/>
              </w:rPr>
              <w:t>У  межах коштів поточного року</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організованій злочинності</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3.1.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знешкодження та документування злочинних груп, в тому числі тих, які займаються вчинення розбійних нападів, грабежами, крадіжками, </w:t>
            </w:r>
            <w:proofErr w:type="spellStart"/>
            <w:r w:rsidRPr="00D73C04">
              <w:rPr>
                <w:rFonts w:ascii="Times New Roman" w:hAnsi="Times New Roman" w:cs="Times New Roman"/>
                <w:sz w:val="24"/>
                <w:szCs w:val="24"/>
              </w:rPr>
              <w:t>шахрайствами</w:t>
            </w:r>
            <w:proofErr w:type="spellEnd"/>
            <w:r w:rsidRPr="00D73C04">
              <w:rPr>
                <w:rFonts w:ascii="Times New Roman" w:hAnsi="Times New Roman" w:cs="Times New Roman"/>
                <w:sz w:val="24"/>
                <w:szCs w:val="24"/>
              </w:rPr>
              <w:t>, незаконним заволодінням транспортними засобами та активно впливають на криміногенну ситуацію в територіальній громаді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зброї, боєприпасів та вибухових речовин</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4.4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Боротьба з рецидивною злочинністю</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5.2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наркотиків та наркотизації населення</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заходи, направлені на виявлення і ліквідацію місць збору осіб, які зловживають наркотиками, притонів, підпільних лабораторій </w:t>
            </w:r>
            <w:r w:rsidRPr="00D73C04">
              <w:rPr>
                <w:rFonts w:ascii="Times New Roman" w:hAnsi="Times New Roman" w:cs="Times New Roman"/>
                <w:sz w:val="24"/>
                <w:szCs w:val="24"/>
              </w:rPr>
              <w:lastRenderedPageBreak/>
              <w:t>для виготовлення наркотичних засобів та психотропних речовин, забезпечити документування злочинної діяльності такого роду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6.4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торгівлі людьми</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незаконній міграції</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8.2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w:t>
            </w:r>
            <w:r w:rsidRPr="00D73C04">
              <w:rPr>
                <w:rFonts w:ascii="Times New Roman" w:hAnsi="Times New Roman" w:cs="Times New Roman"/>
                <w:sz w:val="24"/>
                <w:szCs w:val="24"/>
              </w:rPr>
              <w:lastRenderedPageBreak/>
              <w:t>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2552" w:type="dxa"/>
          </w:tcPr>
          <w:p w:rsidR="00AA7B24" w:rsidRPr="00D73C04" w:rsidRDefault="00AA7B24" w:rsidP="00604F7E">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Профілактика правопорушень</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9.5</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w:t>
            </w:r>
            <w:r w:rsidRPr="00D73C04">
              <w:rPr>
                <w:rFonts w:ascii="Times New Roman" w:hAnsi="Times New Roman" w:cs="Times New Roman"/>
                <w:sz w:val="24"/>
                <w:szCs w:val="24"/>
              </w:rPr>
              <w:lastRenderedPageBreak/>
              <w:t xml:space="preserve">протидії злочинності, охорони публічної безпеки та порядку, профілактики скоєння правопорушень: </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A022DB">
              <w:rPr>
                <w:rFonts w:ascii="Times New Roman" w:hAnsi="Times New Roman" w:cs="Times New Roman"/>
                <w:sz w:val="24"/>
                <w:szCs w:val="24"/>
              </w:rPr>
              <w:t>У  межах коштів поточного року</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Протидії злочинності серед неповнолітніх</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10.3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w:t>
            </w:r>
            <w:proofErr w:type="spellStart"/>
            <w:r w:rsidRPr="00D73C04">
              <w:rPr>
                <w:rFonts w:ascii="Times New Roman" w:hAnsi="Times New Roman" w:cs="Times New Roman"/>
                <w:sz w:val="24"/>
                <w:szCs w:val="24"/>
              </w:rPr>
              <w:t>оперативно</w:t>
            </w:r>
            <w:proofErr w:type="spellEnd"/>
            <w:r w:rsidRPr="00D73C04">
              <w:rPr>
                <w:rFonts w:ascii="Times New Roman" w:hAnsi="Times New Roman" w:cs="Times New Roman"/>
                <w:sz w:val="24"/>
                <w:szCs w:val="24"/>
              </w:rPr>
              <w:t xml:space="preserve">-профілактичного та </w:t>
            </w:r>
            <w:proofErr w:type="spellStart"/>
            <w:r w:rsidRPr="00D73C04">
              <w:rPr>
                <w:rFonts w:ascii="Times New Roman" w:hAnsi="Times New Roman" w:cs="Times New Roman"/>
                <w:sz w:val="24"/>
                <w:szCs w:val="24"/>
              </w:rPr>
              <w:t>попереджувально</w:t>
            </w:r>
            <w:proofErr w:type="spellEnd"/>
            <w:r w:rsidRPr="00D73C04">
              <w:rPr>
                <w:rFonts w:ascii="Times New Roman" w:hAnsi="Times New Roman" w:cs="Times New Roman"/>
                <w:sz w:val="24"/>
                <w:szCs w:val="24"/>
              </w:rPr>
              <w:t xml:space="preserve">-правоохоронного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A022DB">
              <w:rPr>
                <w:rFonts w:ascii="Times New Roman" w:hAnsi="Times New Roman" w:cs="Times New Roman"/>
                <w:sz w:val="24"/>
                <w:szCs w:val="24"/>
              </w:rPr>
              <w:t>У  межах коштів поточного року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10.5</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Подолання дитячої безпритульності і бездоглядності</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11.2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12.3</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276"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A7197D">
              <w:rPr>
                <w:rFonts w:ascii="Times New Roman" w:hAnsi="Times New Roman" w:cs="Times New Roman"/>
                <w:sz w:val="24"/>
                <w:szCs w:val="24"/>
              </w:rPr>
              <w:t>У  межах коштів поточного року</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w:t>
            </w:r>
            <w:proofErr w:type="spellStart"/>
            <w:r w:rsidRPr="00D73C04">
              <w:rPr>
                <w:rFonts w:ascii="Times New Roman" w:hAnsi="Times New Roman" w:cs="Times New Roman"/>
                <w:sz w:val="24"/>
                <w:szCs w:val="24"/>
              </w:rPr>
              <w:t>вулично</w:t>
            </w:r>
            <w:proofErr w:type="spellEnd"/>
            <w:r w:rsidRPr="00D73C04">
              <w:rPr>
                <w:rFonts w:ascii="Times New Roman" w:hAnsi="Times New Roman" w:cs="Times New Roman"/>
                <w:sz w:val="24"/>
                <w:szCs w:val="24"/>
              </w:rPr>
              <w:t xml:space="preserve">-шляхової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403" w:type="dxa"/>
            <w:gridSpan w:val="3"/>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r>
      <w:tr w:rsidR="00AA7B24" w:rsidRPr="00D73C04" w:rsidTr="00604F7E">
        <w:tc>
          <w:tcPr>
            <w:tcW w:w="15305" w:type="dxa"/>
            <w:gridSpan w:val="7"/>
          </w:tcPr>
          <w:p w:rsidR="00AA7B24" w:rsidRPr="00D73C04" w:rsidRDefault="00AA7B24"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Забезпечення охорони та оборони особливо важливих об'єктів</w:t>
            </w:r>
          </w:p>
          <w:p w:rsidR="00AA7B24" w:rsidRPr="00D73C04" w:rsidRDefault="00AA7B24" w:rsidP="00604F7E">
            <w:pPr>
              <w:pStyle w:val="a4"/>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регіонального та місцевого значення в особливий період</w:t>
            </w:r>
          </w:p>
        </w:tc>
      </w:tr>
      <w:tr w:rsidR="00AA7B24" w:rsidRPr="00D73C04" w:rsidTr="00604F7E">
        <w:tc>
          <w:tcPr>
            <w:tcW w:w="704" w:type="dxa"/>
          </w:tcPr>
          <w:p w:rsidR="00AA7B24" w:rsidRPr="00D73C04" w:rsidRDefault="00AA7B24" w:rsidP="00604F7E">
            <w:pPr>
              <w:jc w:val="center"/>
              <w:rPr>
                <w:rFonts w:ascii="Times New Roman" w:hAnsi="Times New Roman" w:cs="Times New Roman"/>
                <w:sz w:val="24"/>
                <w:szCs w:val="24"/>
              </w:rPr>
            </w:pPr>
            <w:r w:rsidRPr="00D73C04">
              <w:rPr>
                <w:rFonts w:ascii="Times New Roman" w:hAnsi="Times New Roman" w:cs="Times New Roman"/>
                <w:sz w:val="24"/>
                <w:szCs w:val="24"/>
              </w:rPr>
              <w:t>13.1</w:t>
            </w:r>
          </w:p>
        </w:tc>
        <w:tc>
          <w:tcPr>
            <w:tcW w:w="7370"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276" w:type="dxa"/>
          </w:tcPr>
          <w:p w:rsidR="00AA7B24" w:rsidRPr="00D73C04" w:rsidRDefault="00AA7B24" w:rsidP="00604F7E">
            <w:pPr>
              <w:jc w:val="center"/>
              <w:rPr>
                <w:rFonts w:ascii="Times New Roman" w:hAnsi="Times New Roman" w:cs="Times New Roman"/>
                <w:sz w:val="24"/>
                <w:szCs w:val="24"/>
              </w:rPr>
            </w:pPr>
            <w:r>
              <w:rPr>
                <w:rFonts w:ascii="Times New Roman" w:hAnsi="Times New Roman" w:cs="Times New Roman"/>
                <w:sz w:val="24"/>
                <w:szCs w:val="24"/>
              </w:rPr>
              <w:t>2022-2024</w:t>
            </w:r>
          </w:p>
        </w:tc>
        <w:tc>
          <w:tcPr>
            <w:tcW w:w="2552" w:type="dxa"/>
          </w:tcPr>
          <w:p w:rsidR="00AA7B24" w:rsidRPr="00D73C04" w:rsidRDefault="00AA7B24" w:rsidP="00604F7E">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Виконавчий комітет селищної ради </w:t>
            </w:r>
          </w:p>
        </w:tc>
        <w:tc>
          <w:tcPr>
            <w:tcW w:w="3403" w:type="dxa"/>
            <w:gridSpan w:val="3"/>
          </w:tcPr>
          <w:p w:rsidR="00AA7B24" w:rsidRPr="00D73C04" w:rsidRDefault="00AA7B24" w:rsidP="00604F7E">
            <w:pPr>
              <w:jc w:val="center"/>
              <w:rPr>
                <w:rFonts w:ascii="Times New Roman" w:hAnsi="Times New Roman" w:cs="Times New Roman"/>
                <w:sz w:val="24"/>
                <w:szCs w:val="24"/>
              </w:rPr>
            </w:pPr>
            <w:r w:rsidRPr="00A7197D">
              <w:rPr>
                <w:rFonts w:ascii="Times New Roman" w:hAnsi="Times New Roman" w:cs="Times New Roman"/>
                <w:sz w:val="24"/>
                <w:szCs w:val="24"/>
              </w:rPr>
              <w:t>У  межах коштів поточного року</w:t>
            </w:r>
          </w:p>
        </w:tc>
      </w:tr>
    </w:tbl>
    <w:p w:rsidR="00AA7B24" w:rsidRDefault="00AA7B24" w:rsidP="00AA7B24">
      <w:pPr>
        <w:spacing w:line="240" w:lineRule="auto"/>
        <w:jc w:val="center"/>
        <w:rPr>
          <w:rFonts w:ascii="Times New Roman" w:hAnsi="Times New Roman" w:cs="Times New Roman"/>
          <w:b/>
          <w:sz w:val="24"/>
          <w:szCs w:val="24"/>
        </w:rPr>
      </w:pPr>
    </w:p>
    <w:p w:rsidR="00AA7B24" w:rsidRPr="00342F74" w:rsidRDefault="00AA7B24" w:rsidP="00AA7B24">
      <w:pPr>
        <w:tabs>
          <w:tab w:val="left" w:pos="2925"/>
        </w:tabs>
        <w:rPr>
          <w:rFonts w:ascii="Times New Roman" w:hAnsi="Times New Roman" w:cs="Times New Roman"/>
          <w:sz w:val="24"/>
          <w:szCs w:val="24"/>
        </w:rPr>
      </w:pPr>
      <w:r>
        <w:rPr>
          <w:rFonts w:ascii="Times New Roman" w:hAnsi="Times New Roman" w:cs="Times New Roman"/>
          <w:sz w:val="24"/>
          <w:szCs w:val="24"/>
        </w:rPr>
        <w:t xml:space="preserve">                                                 Секретар селищної ради                                                                           Тетяна НЕПИЙВОДА</w:t>
      </w:r>
    </w:p>
    <w:p w:rsidR="00AA7B24" w:rsidRDefault="00AA7B24">
      <w:pPr>
        <w:sectPr w:rsidR="00AA7B24" w:rsidSect="00AA7B24">
          <w:pgSz w:w="16840" w:h="11900" w:orient="landscape" w:code="9"/>
          <w:pgMar w:top="1276" w:right="709" w:bottom="709" w:left="851" w:header="0" w:footer="6" w:gutter="0"/>
          <w:cols w:space="708"/>
          <w:noEndnote/>
          <w:docGrid w:linePitch="360"/>
        </w:sectPr>
      </w:pPr>
    </w:p>
    <w:p w:rsidR="00AA7B24" w:rsidRPr="00DC0119" w:rsidRDefault="00AA7B24" w:rsidP="00AA7B24">
      <w:pPr>
        <w:tabs>
          <w:tab w:val="left" w:pos="2100"/>
        </w:tabs>
        <w:spacing w:after="200" w:line="240" w:lineRule="auto"/>
        <w:ind w:left="-284"/>
        <w:rPr>
          <w:rFonts w:ascii="Times New Roman" w:eastAsia="Calibri" w:hAnsi="Times New Roman" w:cs="Times New Roman"/>
          <w:sz w:val="24"/>
          <w:szCs w:val="24"/>
        </w:r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604F7E">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604F7E">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604F7E">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r w:rsidRPr="00DC0119">
              <w:rPr>
                <w:rFonts w:ascii="Times New Roman" w:eastAsia="Calibri" w:hAnsi="Times New Roman" w:cs="Times New Roman"/>
                <w:b/>
                <w:sz w:val="24"/>
              </w:rPr>
              <w:t xml:space="preserve"> </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7926F5">
        <w:rPr>
          <w:rFonts w:ascii="Times New Roman" w:eastAsia="Times New Roman" w:hAnsi="Times New Roman" w:cs="Times New Roman"/>
          <w:b/>
          <w:bCs/>
          <w:color w:val="000000"/>
          <w:sz w:val="28"/>
          <w:szCs w:val="24"/>
          <w:lang w:val="ru-RU" w:eastAsia="ru-RU"/>
        </w:rPr>
        <w:t xml:space="preserve">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r>
        <w:rPr>
          <w:rFonts w:ascii="Times New Roman" w:eastAsia="Calibri" w:hAnsi="Times New Roman" w:cs="Times New Roman"/>
          <w:b/>
          <w:sz w:val="28"/>
        </w:rPr>
        <w:t xml:space="preserve"> </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604F7E">
        <w:tc>
          <w:tcPr>
            <w:tcW w:w="3585" w:type="dxa"/>
            <w:vMerge w:val="restart"/>
          </w:tcPr>
          <w:p w:rsidR="00AA7B24" w:rsidRPr="008D3AB1" w:rsidRDefault="00AA7B24" w:rsidP="00604F7E">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604F7E">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604F7E">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604F7E">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604F7E">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604F7E">
            <w:pPr>
              <w:spacing w:after="0" w:line="240" w:lineRule="auto"/>
              <w:rPr>
                <w:rFonts w:ascii="Times New Roman" w:eastAsia="Times New Roman" w:hAnsi="Times New Roman" w:cs="Times New Roman"/>
                <w:b/>
                <w:sz w:val="24"/>
                <w:szCs w:val="24"/>
              </w:rPr>
            </w:pPr>
          </w:p>
        </w:tc>
      </w:tr>
      <w:tr w:rsidR="00AA7B24" w:rsidRPr="008D3AB1" w:rsidTr="00604F7E">
        <w:trPr>
          <w:trHeight w:val="431"/>
        </w:trPr>
        <w:tc>
          <w:tcPr>
            <w:tcW w:w="3585" w:type="dxa"/>
            <w:vMerge/>
          </w:tcPr>
          <w:p w:rsidR="00AA7B24" w:rsidRPr="008D3AB1" w:rsidRDefault="00AA7B24" w:rsidP="00604F7E">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604F7E">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604F7E">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604F7E">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604F7E">
            <w:pPr>
              <w:spacing w:line="240" w:lineRule="auto"/>
              <w:rPr>
                <w:rFonts w:ascii="Times New Roman" w:eastAsia="Times New Roman" w:hAnsi="Times New Roman" w:cs="Times New Roman"/>
                <w:sz w:val="24"/>
                <w:szCs w:val="24"/>
              </w:rPr>
            </w:pPr>
          </w:p>
        </w:tc>
      </w:tr>
      <w:tr w:rsidR="00AA7B24" w:rsidRPr="008D3AB1" w:rsidTr="00604F7E">
        <w:tc>
          <w:tcPr>
            <w:tcW w:w="3585" w:type="dxa"/>
            <w:vMerge/>
          </w:tcPr>
          <w:p w:rsidR="00AA7B24" w:rsidRPr="008D3AB1" w:rsidRDefault="00AA7B24" w:rsidP="00604F7E">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604F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604F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604F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604F7E">
            <w:pPr>
              <w:spacing w:line="240" w:lineRule="auto"/>
              <w:rPr>
                <w:rFonts w:ascii="Times New Roman" w:eastAsia="Times New Roman" w:hAnsi="Times New Roman" w:cs="Times New Roman"/>
                <w:sz w:val="24"/>
                <w:szCs w:val="24"/>
              </w:rPr>
            </w:pPr>
          </w:p>
        </w:tc>
      </w:tr>
      <w:tr w:rsidR="00AA7B24" w:rsidRPr="008D3AB1" w:rsidTr="00604F7E">
        <w:trPr>
          <w:trHeight w:val="442"/>
        </w:trPr>
        <w:tc>
          <w:tcPr>
            <w:tcW w:w="3585" w:type="dxa"/>
          </w:tcPr>
          <w:p w:rsidR="00AA7B24" w:rsidRPr="008D3AB1" w:rsidRDefault="00AA7B24" w:rsidP="00604F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ресурсів усього, грн.</w:t>
            </w:r>
          </w:p>
        </w:tc>
        <w:tc>
          <w:tcPr>
            <w:tcW w:w="1201" w:type="dxa"/>
          </w:tcPr>
          <w:p w:rsidR="00AA7B24" w:rsidRPr="008D3AB1" w:rsidRDefault="00AA7B24" w:rsidP="00604F7E">
            <w:pPr>
              <w:spacing w:line="240" w:lineRule="auto"/>
              <w:rPr>
                <w:rFonts w:ascii="Times New Roman" w:eastAsia="Times New Roman" w:hAnsi="Times New Roman" w:cs="Times New Roman"/>
                <w:sz w:val="24"/>
                <w:szCs w:val="24"/>
              </w:rPr>
            </w:pPr>
          </w:p>
        </w:tc>
        <w:tc>
          <w:tcPr>
            <w:tcW w:w="1134" w:type="dxa"/>
          </w:tcPr>
          <w:p w:rsidR="00AA7B24" w:rsidRPr="008D3AB1" w:rsidRDefault="00AA7B24" w:rsidP="00604F7E">
            <w:pPr>
              <w:spacing w:line="240" w:lineRule="auto"/>
              <w:rPr>
                <w:rFonts w:ascii="Times New Roman" w:eastAsia="Times New Roman" w:hAnsi="Times New Roman" w:cs="Times New Roman"/>
                <w:sz w:val="24"/>
                <w:szCs w:val="24"/>
              </w:rPr>
            </w:pPr>
          </w:p>
        </w:tc>
        <w:tc>
          <w:tcPr>
            <w:tcW w:w="1276" w:type="dxa"/>
          </w:tcPr>
          <w:p w:rsidR="00AA7B24" w:rsidRPr="008D3AB1" w:rsidRDefault="00AA7B24" w:rsidP="00604F7E">
            <w:pPr>
              <w:spacing w:line="240" w:lineRule="auto"/>
              <w:rPr>
                <w:rFonts w:ascii="Times New Roman" w:eastAsia="Times New Roman" w:hAnsi="Times New Roman" w:cs="Times New Roman"/>
                <w:sz w:val="24"/>
                <w:szCs w:val="24"/>
              </w:rPr>
            </w:pPr>
          </w:p>
        </w:tc>
        <w:tc>
          <w:tcPr>
            <w:tcW w:w="1701" w:type="dxa"/>
            <w:shd w:val="clear" w:color="auto" w:fill="auto"/>
          </w:tcPr>
          <w:p w:rsidR="00AA7B24" w:rsidRPr="008D3AB1" w:rsidRDefault="00AA7B24" w:rsidP="00604F7E">
            <w:pPr>
              <w:spacing w:line="240" w:lineRule="auto"/>
              <w:rPr>
                <w:rFonts w:ascii="Times New Roman" w:eastAsia="Times New Roman" w:hAnsi="Times New Roman" w:cs="Times New Roman"/>
                <w:sz w:val="24"/>
                <w:szCs w:val="24"/>
              </w:rPr>
            </w:pPr>
          </w:p>
        </w:tc>
      </w:tr>
    </w:tbl>
    <w:p w:rsidR="00AA7B24" w:rsidRDefault="00AA7B24" w:rsidP="00AA7B24">
      <w:pPr>
        <w:widowControl w:val="0"/>
        <w:spacing w:after="0" w:line="240" w:lineRule="auto"/>
        <w:ind w:firstLine="567"/>
        <w:jc w:val="center"/>
        <w:rPr>
          <w:rFonts w:ascii="Times New Roman" w:eastAsia="Times New Roman" w:hAnsi="Times New Roman" w:cs="Times New Roman"/>
          <w:b/>
          <w:bCs/>
          <w:sz w:val="28"/>
          <w:szCs w:val="24"/>
          <w:lang w:val="ru-RU" w:eastAsia="ru-RU"/>
        </w:rPr>
      </w:pPr>
    </w:p>
    <w:p w:rsidR="00AA7B24" w:rsidRPr="0047192E" w:rsidRDefault="00AA7B24" w:rsidP="00AA7B24">
      <w:pPr>
        <w:widowControl w:val="0"/>
        <w:shd w:val="clear" w:color="auto" w:fill="FFFFFF"/>
        <w:spacing w:after="0" w:line="240" w:lineRule="auto"/>
        <w:ind w:firstLine="567"/>
        <w:jc w:val="center"/>
        <w:rPr>
          <w:rFonts w:ascii="Times New Roman" w:eastAsia="Times New Roman" w:hAnsi="Times New Roman" w:cs="Times New Roman"/>
          <w:sz w:val="24"/>
          <w:szCs w:val="24"/>
          <w:lang w:val="ru-RU" w:eastAsia="ru-RU"/>
        </w:rPr>
      </w:pPr>
    </w:p>
    <w:p w:rsidR="00AA7B24" w:rsidRPr="001B278D" w:rsidRDefault="00AA7B24" w:rsidP="00AA7B24">
      <w:pPr>
        <w:widowControl w:val="0"/>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AA7B24" w:rsidRPr="00DC0119" w:rsidRDefault="00AA7B24" w:rsidP="00AA7B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7B24" w:rsidRPr="00DC0119" w:rsidRDefault="00AA7B24" w:rsidP="00AA7B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w:t>
      </w:r>
      <w:r w:rsidRPr="00DC0119">
        <w:rPr>
          <w:rFonts w:ascii="Times New Roman" w:eastAsia="Times New Roman" w:hAnsi="Times New Roman" w:cs="Times New Roman"/>
          <w:bCs/>
          <w:color w:val="000000"/>
          <w:sz w:val="24"/>
          <w:szCs w:val="24"/>
          <w:lang w:eastAsia="ru-RU"/>
        </w:rPr>
        <w:t xml:space="preserve">Секретар селищної ради   </w:t>
      </w:r>
      <w:r>
        <w:rPr>
          <w:rFonts w:ascii="Times New Roman" w:eastAsia="Times New Roman" w:hAnsi="Times New Roman" w:cs="Times New Roman"/>
          <w:bCs/>
          <w:color w:val="000000"/>
          <w:sz w:val="24"/>
          <w:szCs w:val="24"/>
          <w:lang w:eastAsia="ru-RU"/>
        </w:rPr>
        <w:t xml:space="preserve">                                                 </w:t>
      </w:r>
      <w:r w:rsidRPr="00DC011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Тетяна </w:t>
      </w:r>
      <w:r w:rsidRPr="00DC0119">
        <w:rPr>
          <w:rFonts w:ascii="Times New Roman" w:eastAsia="Times New Roman" w:hAnsi="Times New Roman" w:cs="Times New Roman"/>
          <w:bCs/>
          <w:color w:val="000000"/>
          <w:sz w:val="24"/>
          <w:szCs w:val="24"/>
          <w:lang w:eastAsia="ru-RU"/>
        </w:rPr>
        <w:t>НЕПИЙВОДА </w:t>
      </w:r>
    </w:p>
    <w:p w:rsidR="00AA7B24" w:rsidRDefault="00AA7B24"/>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24"/>
    <w:rsid w:val="00AA7B24"/>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AE0A2-3330-42D7-B2C5-40FF24A2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3996</Words>
  <Characters>22783</Characters>
  <Application>Microsoft Office Word</Application>
  <DocSecurity>0</DocSecurity>
  <Lines>189</Lines>
  <Paragraphs>53</Paragraphs>
  <ScaleCrop>false</ScaleCrop>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2022-02-13T15:20:00Z</dcterms:created>
  <dcterms:modified xsi:type="dcterms:W3CDTF">2022-02-13T15:32:00Z</dcterms:modified>
</cp:coreProperties>
</file>