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D887" w14:textId="77777777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Calibri" w:eastAsia="Times New Roman" w:hAnsi="Calibri" w:cs="Times New Roman"/>
          <w:color w:val="333333"/>
          <w:bdr w:val="none" w:sz="0" w:space="0" w:color="auto" w:frame="1"/>
          <w:lang w:eastAsia="uk-UA"/>
        </w:rPr>
        <w:t>                  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                                                                           </w:t>
      </w:r>
    </w:p>
    <w:p w14:paraId="47595AAE" w14:textId="77777777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Calibri" w:eastAsia="Times New Roman" w:hAnsi="Calibri" w:cs="Times New Roman"/>
          <w:color w:val="333333"/>
          <w:bdr w:val="none" w:sz="0" w:space="0" w:color="auto" w:frame="1"/>
          <w:lang w:eastAsia="uk-UA"/>
        </w:rPr>
        <w:t>                  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                  ЗАТВЕРДЖЕНО</w:t>
      </w:r>
    </w:p>
    <w:p w14:paraId="49F8A26C" w14:textId="77777777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                                       рішення виконавчого комітету</w:t>
      </w:r>
    </w:p>
    <w:p w14:paraId="627BE193" w14:textId="45D8BD68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</w:p>
    <w:p w14:paraId="4589A429" w14:textId="4F494CDA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                                  </w:t>
      </w:r>
      <w:r w:rsidR="00086C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04.02.2022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р. № </w:t>
      </w:r>
      <w:r w:rsidR="00086C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11</w:t>
      </w:r>
      <w:bookmarkStart w:id="0" w:name="_GoBack"/>
      <w:bookmarkEnd w:id="0"/>
    </w:p>
    <w:p w14:paraId="4C6B97FA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56B23EEA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</w:p>
    <w:p w14:paraId="0F2482D5" w14:textId="0EB97945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квартирний облік при виконавчому комітеті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Брацлавської 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</w:p>
    <w:p w14:paraId="06BBE778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71ABA202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І. Загальні положення</w:t>
      </w:r>
    </w:p>
    <w:p w14:paraId="60732880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3CE5A76B" w14:textId="45122E9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1.1. Положення про квартирний облік при виконавчому комітеті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(надалі - </w:t>
      </w:r>
      <w:r w:rsidRPr="00CD4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) розроблено на підставі: </w:t>
      </w:r>
      <w:r w:rsidRPr="00CD45E0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Житлового кодексу Української РСР,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Правил обліку громадян, 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Укрпрофради</w:t>
      </w:r>
      <w:proofErr w:type="spellEnd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від 11 грудня 1984р. № 470, Порядку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ведення Єдиного державного реєстру громадян, які потребують поліпшення житлових умов, затвердженого постановою Кабінету Міністрів України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11 березня 2011 р. № 238, 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Законів України «Про місцеве самоврядування в Україні», «Про національну поліцію», «Про прокуратуру», «Про службу безпеки України», «Про соціальний і правовий захист військовослужбовців та членів їх сімей»,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катастрофи».</w:t>
      </w:r>
    </w:p>
    <w:p w14:paraId="51548372" w14:textId="1B5FF953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1.2. Дане Положення встановлює єдиний порядок зарахування на облік та ведення обліку громадян, які потребують поліпшення житлових умов 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 Облік громадян, які потребують поліпшення житлових умов,  виконавчим комітетом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  ведеться в одному напрямку - квартирний облік.</w:t>
      </w:r>
    </w:p>
    <w:p w14:paraId="32438282" w14:textId="37804E42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1.3. Підставою для взяття громадян України на квартирний облік при виконавчому комітеті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ради є:</w:t>
      </w:r>
    </w:p>
    <w:p w14:paraId="62F283C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а)  забезпеченість житловою площею нижче встановленого рівня, а саме: на кожного члена сім’ї, що проживають разом, припадає менше 6,0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(шість цілих нуль десятих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.) включно;</w:t>
      </w:r>
    </w:p>
    <w:p w14:paraId="0CB54461" w14:textId="46A7E842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б) проживання чи  реєстрація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на протязі 5 років (п’яти років).</w:t>
      </w:r>
    </w:p>
    <w:p w14:paraId="210CF8BC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Крім випадків передбачених діючим законодавством.</w:t>
      </w:r>
    </w:p>
    <w:p w14:paraId="09AF0051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1.4. Облік громадян ведеться за напрямками черговості:</w:t>
      </w:r>
    </w:p>
    <w:p w14:paraId="19ABE9DC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а) громадяни, які мають позачергове право на отримання житла;</w:t>
      </w:r>
    </w:p>
    <w:p w14:paraId="73376CD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б) громадяни, які мають першочергове право на отримання житла;</w:t>
      </w:r>
    </w:p>
    <w:p w14:paraId="30587996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в) загальна черговість громадян потребуючих поліпшення житлових умов.</w:t>
      </w:r>
    </w:p>
    <w:p w14:paraId="4D3D2990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1.5. Черговість надання жилих приміщень визначається за часом взяття на облік. </w:t>
      </w:r>
    </w:p>
    <w:p w14:paraId="3E704A63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1.6. Орган, що розглядає питання та приймає рішення про зарахування на квартирний  облік:</w:t>
      </w:r>
    </w:p>
    <w:p w14:paraId="74E27FF8" w14:textId="40344E86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а) житлов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комісія при виконавчому комітеті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  надає рекомендації виконавчому комітету;</w:t>
      </w:r>
    </w:p>
    <w:p w14:paraId="30543C4A" w14:textId="2F6C362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б) виконавчий комітет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своїм рішенням зараховує чи не зараховує заявника до квартирної черги.</w:t>
      </w:r>
    </w:p>
    <w:p w14:paraId="2A99ABA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1.7. Термін розгляду та прийняття рішень: один місяць з дня отримання необхідних документів.</w:t>
      </w:r>
    </w:p>
    <w:p w14:paraId="645A745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7D2F000E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  Особи, які можуть бути зараховані на квартирний  облік</w:t>
      </w:r>
    </w:p>
    <w:p w14:paraId="0F2204FC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2726009B" w14:textId="57BB5E2D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2.1.  На квартирний облік можуть бути зараховані особи, яким виповнилось 18 років, постійно проживають або зареєстровані на території </w:t>
      </w:r>
      <w:r w:rsidR="00424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(відповідно до  п. 1.3 Положення) при наявності однієї з наступних підстав:</w:t>
      </w:r>
    </w:p>
    <w:p w14:paraId="77F1F19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2.1.1. забезпеченість житловою площею нижче встановленого рівня - тобто у випадку, коли:</w:t>
      </w:r>
    </w:p>
    <w:p w14:paraId="17CEA319" w14:textId="4A00959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на одну особу припадає 6,0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або менше 6,0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житлової площі в квартирі (загальна площа квартири (будинку) до уваги не береться) та не менше п’яти років проживають на території </w:t>
      </w:r>
      <w:r w:rsidR="00424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6D53BD3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2.1.2. невідповідність будинку (чи квартири), де мешкає особа, санітарно-технічним вимогам, що підтверджується рішенням виконавчого комітету (п. 5 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 постановою Ради Міністрів УРСР від 26.04.1984 р. № 189);</w:t>
      </w:r>
    </w:p>
    <w:p w14:paraId="408DC2B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2.1.3. наявність тяжкої форми хронічного захворювання (згідно переліку хронічних захворювань затверджених наказом МОЗ УРСР від 08 лютого 1985 р.  № 52), у зв'язку з чим особа не може проживати в комунальній квартирі або в одній кімнаті з членами своєї сім'ї (Додаток 1 до Положення);</w:t>
      </w:r>
    </w:p>
    <w:p w14:paraId="1974A082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2.1.4. проживання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житлово-будівельних кооперативів (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пп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 «б» п. 1.3. Положення);</w:t>
      </w:r>
    </w:p>
    <w:p w14:paraId="2A3E588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2.1.5. проживання не менше п’яти років за договором найму (оренди) в будинках (квартирах), що належать громадянам на праві приватної власності;</w:t>
      </w:r>
    </w:p>
    <w:p w14:paraId="34D6B01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2.1.6. проживання у гуртожитках;</w:t>
      </w:r>
    </w:p>
    <w:p w14:paraId="2B2F6BE1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2.1.7. проживання в одній кімнаті по дві і більше сім'ї, незалежно від родинних відносин;</w:t>
      </w:r>
    </w:p>
    <w:p w14:paraId="554A6FA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2.1.8. проживання в одній кімнаті осіб різної статі старше за 9 років, крім подружжя, (розглядаються випадки, коли жиле приміщення складається більш як з однієї кімнати).</w:t>
      </w:r>
    </w:p>
    <w:p w14:paraId="23AB30F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2.2. На пільговий квартирний облік (відповідно до п. 1.4 Положення) зараховуються особи, що користуються пільгами:</w:t>
      </w:r>
    </w:p>
    <w:p w14:paraId="79833E63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2.2.1.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На позачергове отримання житла мають право:</w:t>
      </w:r>
    </w:p>
    <w:p w14:paraId="3AFD4C0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а) громадяни, житло яких внаслідок стихійного лиха стало непридатним для проживання;</w:t>
      </w:r>
    </w:p>
    <w:p w14:paraId="225BAB1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б) діти-сироти та діти, позбавлені батьківського піклування, після   завершення   терміну   перебування   у  сім'ї  опікуна  чи піклувальника,  прийомній  сім'ї, дитячому будинку сімейного типу, закладах  для  дітей-сиріт  та  дітей,  позбавлених  батьківського піклування, а також особи з їх числа у разі відсутності житла або неможливості  повернення  займаного  раніше  жилого  приміщення  в порядку, встановленому Кабінетом Міністрів України (діти-сироти та діти, позбавлені батьківського піклування, які досягли  16  років,  у  разі відсутності в таких дітей житла зараховуються на квартирний облік за  місцем  їх  походження  або  проживання до встановлення опіки,  піклування,  влаштування  в прийомні сім'ї, дитячі будинки сімейного  типу,  заклади  для  дітей-сиріт  та дітей, позбавлених батьківського  піклування,  за  заявою  опікуна  чи піклувальника, прийомних  батьків, батьків-вихователів, адміністрації закладу, де проживає  дитина, або органу опіки та піклування – ч. 1 ст. 33 Закон України «Про забезпечення організаційно-правових умов соціального захисту дітей-сиріт та дітей, позбавлених батьківського піклування»);</w:t>
      </w:r>
    </w:p>
    <w:p w14:paraId="31BFBB2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г) діти-інваліди, що не мають батьків або батьки яких позбавлені батьківських прав і проживають у державних або в інших соціальних установах, після досягнення повноліття, якщо за висновком медико-соціальної експертизи вони можуть здійснювати самообслуговування і вести самостійний спосіб життя;</w:t>
      </w:r>
    </w:p>
    <w:p w14:paraId="237B44D9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д) громадяни, незаконно засуджені і згодом реабілітовані, за неможливості повернення займаного раніше жилого приміщення;</w:t>
      </w:r>
    </w:p>
    <w:p w14:paraId="4B0CFA7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е) особи, які належать до інвалідів війни (ст. 7 Закону України «Про статус ветеранів війни, гарантії їх соціального захисту»);</w:t>
      </w:r>
    </w:p>
    <w:p w14:paraId="4BF1ABE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є) особи, на яких поширюється чинність Закону України «Про статус ветеранів війни, гарантії їх соціального захисту» (ст. 10);</w:t>
      </w:r>
    </w:p>
    <w:p w14:paraId="115D973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ж) особи, обрані на виборну посаду, коли це пов’язано з переїздом в іншу місцевість;</w:t>
      </w:r>
    </w:p>
    <w:p w14:paraId="171404F0" w14:textId="763C9585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</w:t>
      </w:r>
      <w:r w:rsidR="00CD45E0"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) особи, які 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постраждали внаслідок Чорнобильської катастрофи (категорія І, категорія ІІ та діти, які стали інвалідами внаслідок Чорнобильської катастрофи та потребують особливого догляду (</w:t>
      </w:r>
      <w:proofErr w:type="spellStart"/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абз</w:t>
      </w:r>
      <w:proofErr w:type="spellEnd"/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 1 п. 10 ч. 1 ст. 20, п. 3 ч. 1 ст. 21, п. 7 ч. 3 ст. 30 Закону України «Про статус і соціальний захист громадян, які постраждали внаслідок Чорнобильської катастрофи»));</w:t>
      </w:r>
    </w:p>
    <w:p w14:paraId="760E2375" w14:textId="14450FC2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 сім'ї,   які  мають  п'ятьох  і  більше  дітей,  та  у  разі народження у однієї жінки одночасно трьох і більше дітей (ст. 46 Житлового кодексу УРСР);</w:t>
      </w:r>
    </w:p>
    <w:p w14:paraId="17732928" w14:textId="45A54644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 працівники  протитуберкульозних  закладів  у разі виникнення професійного захворювання на туберкульоз.</w:t>
      </w:r>
    </w:p>
    <w:p w14:paraId="37FE9B81" w14:textId="4D5F87CB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ї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) інші категорії осіб, пільги, яким встановлені чинним законодавством.</w:t>
      </w:r>
    </w:p>
    <w:p w14:paraId="3DA071A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2.2.2. 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На першочергове отримання житла мають право:</w:t>
      </w:r>
    </w:p>
    <w:p w14:paraId="4F3468E2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а) інваліди Великої Вітчизняної  війни  і сім'ї воїнів (партизанів), які загинули чи пропали безвісти, і прирівняні до них у встановленому порядку особам;</w:t>
      </w:r>
    </w:p>
    <w:p w14:paraId="28A88AC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б) Героям Радянського Союзу, Героям Соціалістичної Праці, а також особам, нагородженим орденами Слави, Трудової Слави, «За службу Батьківщині у Збройних Силах СРСР» усіх трьох ступенів;</w:t>
      </w:r>
    </w:p>
    <w:p w14:paraId="64E1DF7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в) особи, які хворіють на тяжкі форми деяких хронічних захворювань, перелічених у списку захворювань, затвердженому Міністерством охорони здоров’я СРСР за погодженням з Державним комітетом СРСР по праці і соціальних питаннях та ВЦРПС:</w:t>
      </w:r>
    </w:p>
    <w:p w14:paraId="4846E83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- особи, заражені вірусом імунодефіциту людини внаслідок виконання медичних маніпуляцій;</w:t>
      </w:r>
    </w:p>
    <w:p w14:paraId="634870B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- медичні працівники, заражені вірусом імунодефіциту людини внаслідок виконання службових обов’язків;</w:t>
      </w:r>
    </w:p>
    <w:p w14:paraId="6D18B5F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г) учасники бойових дій та учасники війни;</w:t>
      </w:r>
    </w:p>
    <w:p w14:paraId="6809488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д) інваліди праці I і II груп та інваліди I і II груп з числа військовослужбовців;</w:t>
      </w:r>
    </w:p>
    <w:p w14:paraId="47312D4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е) особи, які стали інвалідами I і II груп у зв’язку з виконанням державних або громадських обов’язків, виконанням обов’язку громадянина СРСР по рятуванню життя людини, по охороні соціалістичної власності і правопорядку;</w:t>
      </w:r>
    </w:p>
    <w:p w14:paraId="44A1DCE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є) сім’ї осіб, які загинули при виконанні державних або громадських обов’язків, виконанні обов’язку громадянина СРСР по рятуванню життя людини, по охороні соціалістичної власності і правопорядку;</w:t>
      </w:r>
    </w:p>
    <w:p w14:paraId="10A42592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ж) сім’ї осіб, які загинули на виробництві внаслідок нещасного випадку;</w:t>
      </w:r>
    </w:p>
    <w:p w14:paraId="0442067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з) робітники і службовці, які тривалий час сумлінно пропрацювали у сфері виробництва;</w:t>
      </w:r>
    </w:p>
    <w:p w14:paraId="73FFC8F1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и) матері, яким присвоєно звання «Мати-героїня»;</w:t>
      </w:r>
    </w:p>
    <w:p w14:paraId="36CCB61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і) багатодітні сім’ї (які мають у своєму складі трьох і більше дітей) і одинокі матері, з урахуванням особливостей зазначених в </w:t>
      </w:r>
      <w:proofErr w:type="spellStart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абз</w:t>
      </w:r>
      <w:proofErr w:type="spellEnd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14 ч. 1 ст. 1 Закону України «Про охорону дитинства» (ст. 45 Житлового кодексу УРСР);</w:t>
      </w:r>
    </w:p>
    <w:p w14:paraId="667289F6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ї) сім’ї при народженні одразу двох або більше дітей;</w:t>
      </w:r>
    </w:p>
    <w:p w14:paraId="53239B0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й) вчителі та інші педагогічні працівники загальноосвітніх шкіл і професійно-технічних учбових закладів;</w:t>
      </w:r>
    </w:p>
    <w:p w14:paraId="17FE39C7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к) особи, які проживають у ветхих будинках, що не підлягають капітальному ремонту;</w:t>
      </w:r>
    </w:p>
    <w:p w14:paraId="0EFB348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л) інші категорії осіб, пільги, яким встановлені чинним законодавством.</w:t>
      </w:r>
    </w:p>
    <w:p w14:paraId="561BD3F9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049FCDA1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   Перелік документів необхідних для зарахування на квартирний облік</w:t>
      </w:r>
    </w:p>
    <w:p w14:paraId="01A0489F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7D0EB8E6" w14:textId="43844FC9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 Для зарахування на квартирний облік громадянам необхідно зібрати та подати до виконкому с</w:t>
      </w:r>
      <w:r w:rsidR="00424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наступні документи:</w:t>
      </w:r>
    </w:p>
    <w:p w14:paraId="38D85827" w14:textId="30E7C58F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3.1.1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. заяву встановленого зразка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(Додаток </w:t>
      </w:r>
      <w:r w:rsidR="000B14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 Положення), підписану всіма повнолітніми членами сім'ї, які зараховуються на облік.</w:t>
      </w:r>
    </w:p>
    <w:p w14:paraId="5EBA9447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3.1.2.  довідку форма № 2 про склад сім'ї та реєстрацію:</w:t>
      </w:r>
    </w:p>
    <w:p w14:paraId="36D745E7" w14:textId="3C29EF5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Довідка видається виконавчим комітетом с</w:t>
      </w:r>
      <w:r w:rsidR="00FB6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та дійсна протягом одного місяця з моменту видачі.</w:t>
      </w:r>
    </w:p>
    <w:p w14:paraId="7BA18E26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3.1.3. довідки з місця роботи осіб,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які підписали заяву про зарахування на квартирний  облік.</w:t>
      </w:r>
    </w:p>
    <w:p w14:paraId="7FD742D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В довідці повинно бути зазначено чи особа перебуває (не перебуває) на квартирному або кооперативному обліку за місцем праці.</w:t>
      </w:r>
    </w:p>
    <w:p w14:paraId="002BEF7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3.1.3.1. Якщо особа є підприємцем - подається копія свідоцтва про державну реєстрацію фізичної особи-підприємця.</w:t>
      </w:r>
    </w:p>
    <w:p w14:paraId="308EC5C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3.1.3.2. Якщо особа не працює і є пенсіонером - копія пенсійного посвідчення.</w:t>
      </w:r>
    </w:p>
    <w:p w14:paraId="7047494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3.1.3.3. Якщо особа не працює – довідки, що засвідчують факт перебування особи без постійної роботи.</w:t>
      </w:r>
    </w:p>
    <w:p w14:paraId="79D3F28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3.1.4. копії паспортів повнолітніх осіб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які зазначені в представленій довідці форми № 2 (сторінки 1, 2, 10, 11). При поданні документів особа повинна мати з собою для звірки оригінали паспортів, з яких зроблено копії.</w:t>
      </w:r>
    </w:p>
    <w:p w14:paraId="530CF47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3.1.5. акт обстеження житлових умов.</w:t>
      </w:r>
    </w:p>
    <w:p w14:paraId="330C8DEB" w14:textId="50CDA59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Для отримання акту обстеження житлових умов особа, яка бажає стати на квартирний облік, звертається до виконавчого комітету </w:t>
      </w:r>
      <w:r w:rsidR="00FB6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Брацлавської селищної 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03AD4BC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3.1.6. засвідчені копії </w:t>
      </w:r>
      <w:proofErr w:type="spellStart"/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свідоцтв</w:t>
      </w:r>
      <w:proofErr w:type="spellEnd"/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(про одруження, про розлучення, про народження дітей)</w:t>
      </w:r>
    </w:p>
    <w:p w14:paraId="2A412893" w14:textId="4E19F6C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Якщо на облік зараховується не одна особа, вона повинна надати копії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свідоцтв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(про одруження, про розлучення, про народження дітей) до виконавчого комітету, який приймає документи та засвідчує їх, при наявності відповідних оригіналів (документів).</w:t>
      </w:r>
    </w:p>
    <w:p w14:paraId="20BE5EF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3.1.7.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копія технічного паспорту та копія документу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,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 підтверджує право власності на житло (свідоцтво про право власності - якщо квартира приватизована).</w:t>
      </w:r>
    </w:p>
    <w:p w14:paraId="424E72EA" w14:textId="4B5676DF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Копії засвідчуються   безпосередньо спеціалістом апарату виконавчого комітету </w:t>
      </w:r>
      <w:r w:rsidR="00FB6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 який приймає документи, при наявності відповідних оригіналів документів.</w:t>
      </w:r>
    </w:p>
    <w:p w14:paraId="569B498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3.1.8. копію договору найму житла між власником і наймачем,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якщо особа проживає за договором найму жилого приміщення в будинках (квартирах), що належать громадянам на праві приватної власності або в будинках комунальної власності.</w:t>
      </w:r>
    </w:p>
    <w:p w14:paraId="02CCEAC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3.1.9. оригінал медичного висновку (форми №3) лікарсько-консультативної комісії (медико-соціальна експертиза)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 якщо в особи наявна тяжка форма хронічного захворювання (згідно затвердженого переліку) (Додаток 1 до Положення).</w:t>
      </w:r>
    </w:p>
    <w:p w14:paraId="0A571D39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3.1.10.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копії документів, які підтверджують право на пільги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якщо особа, яка стає на квартирний облік, має право на пільги.</w:t>
      </w:r>
    </w:p>
    <w:p w14:paraId="4B08DA2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3.2. До документів, що підтверджують право на пільги, належать такі, що засвідчують особливий статус особи (ветеран війни; герой Радянського Союзу, герой Соціалістичної праці; особа, нагороджена орденами Слави трьох ступенів; особа, яка має статус ліквідатора  аварії на ЧАЕС; особа, яка має статус учасника бойових дій, військовослужбовця; особа, заражена вірусом імунодефіциту людини внаслідок виконання медичних маніпуляцій; інвалід праці І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ІІ груп; тощо).</w:t>
      </w:r>
    </w:p>
    <w:p w14:paraId="2DA57E06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0E06666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  Подання документів</w:t>
      </w:r>
    </w:p>
    <w:p w14:paraId="7BC5360F" w14:textId="2FD77CEE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lastRenderedPageBreak/>
        <w:br/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4.1. Особа, яка бажає стати на квартирний облік подає 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виконавчого комітету 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ради заяву та визначений  у п. 3.1. Положення перелік необхідних документів.</w:t>
      </w:r>
    </w:p>
    <w:p w14:paraId="57B7E9F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5968C35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 Прийняття рішення</w:t>
      </w:r>
    </w:p>
    <w:p w14:paraId="3F49A4BB" w14:textId="77777777" w:rsidR="00C67584" w:rsidRDefault="00C67584" w:rsidP="00C6758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</w:p>
    <w:p w14:paraId="3B8D95EF" w14:textId="650300FC" w:rsidR="00CD45E0" w:rsidRPr="00CD45E0" w:rsidRDefault="00CD45E0" w:rsidP="00C6758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 Подана громадянином заява та пакет документів проходить наступні етапи:</w:t>
      </w:r>
    </w:p>
    <w:p w14:paraId="41BDD302" w14:textId="091CEB1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5.1.1. реєстрація заяви та доданого до неї пакету документів  в книзі реєстрації заяв громадян;</w:t>
      </w:r>
    </w:p>
    <w:p w14:paraId="2A54BDC2" w14:textId="7A5A2033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5.1.2. розгляд і накладення резолюції  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Брацлавським селищним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головою;</w:t>
      </w:r>
    </w:p>
    <w:p w14:paraId="100080A3" w14:textId="66ACE5F3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5.1.3.  розгляд документів житлово</w:t>
      </w:r>
      <w:r w:rsidR="005820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ю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комісією та надання висновків виконавчому комітету  для прийняття рішення</w:t>
      </w:r>
      <w:r w:rsidR="005820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</w:t>
      </w:r>
    </w:p>
    <w:p w14:paraId="7E53B9C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5.1.4. прийняття відповідного рішення на черговому засіданні виконкому сільської ради;</w:t>
      </w:r>
    </w:p>
    <w:p w14:paraId="6D0B6CA5" w14:textId="21FACB0B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5.1.5.  внесення виконавчим комітетом с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змін до журналу по  квартирному обліку  громадян, на підставі прийнятого рішення;</w:t>
      </w:r>
    </w:p>
    <w:p w14:paraId="321C7AEE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09A4D495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 Зняття з квартирного обліку</w:t>
      </w:r>
    </w:p>
    <w:p w14:paraId="137BFC9F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169724D9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  Громадяни знімаються з квартирного обліку у випадках:</w:t>
      </w:r>
    </w:p>
    <w:p w14:paraId="3F6D5E71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1" w:name="o103"/>
      <w:bookmarkEnd w:id="1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6.1.1. поліпшення житлових умов, внаслідок якого відпали підстави для надання іншого жилого приміщення;</w:t>
      </w:r>
    </w:p>
    <w:p w14:paraId="61CCE513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2" w:name="o104"/>
      <w:bookmarkEnd w:id="2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6.1.2. виїзду на постійне місце проживання до  іншого  населеного пункту;</w:t>
      </w:r>
    </w:p>
    <w:p w14:paraId="0C7CE372" w14:textId="3BBEE40A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3" w:name="o105"/>
      <w:bookmarkEnd w:id="3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6.1.3.припинення трудових відносин з  підприємством,  установою, організацією особи, яка перебуває на обліку за місцем роботи, крім випадків, передбачених законодавством Союзу РСР, Житловим кодексом УРСР, п. 29  Правил обліку громадян, які потребують поліпшення житлових умов, і надання їм жилих приміщень в Українській РСР, та  іншими  актами  законодавства Української РСР;</w:t>
      </w:r>
    </w:p>
    <w:p w14:paraId="2E2E4237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4" w:name="o106"/>
      <w:bookmarkEnd w:id="4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6.1.4. засудження  до  позбавлення  волі  на  строк  понад  шість місяців, заслання або вислання;</w:t>
      </w:r>
    </w:p>
    <w:p w14:paraId="3FAEFB7E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5" w:name="o107"/>
      <w:bookmarkEnd w:id="5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6.1.5. подання  відомостей,  що  не  відповідають дійсності,  які стали підставою  для  взяття  на  облік,  або  неправомірних   дій службових осіб при вирішенні питання про взяття на облік. </w:t>
      </w:r>
    </w:p>
    <w:p w14:paraId="36F2DD80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6" w:name="o108"/>
      <w:bookmarkEnd w:id="6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6.2. Громадяни виключаються із списків осіб,  які користуються правом першочергового або позачергового одержання  жилих приміщень,  якщо вони були необґрунтовано включені до цих списків або втратили вказане право. </w:t>
      </w:r>
    </w:p>
    <w:p w14:paraId="1E285157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6.3. Громадяни знімаються з пільгової черги у разі смерті на протязі місяця після отримання інформації про смерть особи, яка перебувала на пільговій квартирній черзі. </w:t>
      </w:r>
    </w:p>
    <w:p w14:paraId="0BC54848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6.3.1. </w:t>
      </w:r>
      <w:bookmarkStart w:id="7" w:name="o109"/>
      <w:bookmarkEnd w:id="7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Громадяни, знімаються з загальної квартирної черги у разі смерті, якщо на протязі року спадкоємці не подали заяву про переведення квартирної черги на них (ст. 1270 Цивільного кодексу України – шість місяців на прийняття спадщини, ст. 99 Кодексу адміністративного судочинства України – шість 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місяців на звернення до адміністративного суду за захистом прав від дня, коли особа дізналась про порушення своїх прав), у випадку якщо спадкоємці стояли разом з померлим на квартирній черзі. </w:t>
      </w:r>
    </w:p>
    <w:p w14:paraId="2A72A52F" w14:textId="48E881D5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6.3.2. Для виконання п. 6.3.1. Положення усі рішення щодо квартирного обліку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опобліковуються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офіційному сайті 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ради. </w:t>
      </w:r>
    </w:p>
    <w:p w14:paraId="0B37CA4E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6.4. Громадяни знімаються з пільгової квартирної черги, якщо вони тричі не здійснили перереєстрацію передбачену п. 7.1. Положення.</w:t>
      </w:r>
    </w:p>
    <w:p w14:paraId="7658B7B9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6.4.1. Громадяни знімаються з загальної квартирної черги, якщо вони на протязі п’яти років не здійснили перереєстрацію передбачену п 7.1. Положення (можливість втрати членства в громаді міста - ст. 6 Закону України «Про свободу пересування та вільний вибір місця проживання в Україні», ч. 1 ст. 43 Цивільного кодексу України,       </w:t>
      </w:r>
      <w:proofErr w:type="spellStart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пп</w:t>
      </w:r>
      <w:proofErr w:type="spellEnd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«б» п. 1.3. Положення). </w:t>
      </w:r>
    </w:p>
    <w:p w14:paraId="760CA9E3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6.5. </w:t>
      </w:r>
      <w:bookmarkStart w:id="8" w:name="o110"/>
      <w:bookmarkStart w:id="9" w:name="o111"/>
      <w:bookmarkEnd w:id="8"/>
      <w:bookmarkEnd w:id="9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зняття  з  обліку  (виключення  із  списку)  громадяни  у 15-денний строк  повідомляються  у  письмовій  формі  вказавши підстави зняття з обліку (виключення із списку). </w:t>
      </w:r>
    </w:p>
    <w:p w14:paraId="5EDE7248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16D32813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Перереєстрація</w:t>
      </w:r>
    </w:p>
    <w:p w14:paraId="3DB5144E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66D8BF0A" w14:textId="592A4942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7.1. Виконавчий комітет </w:t>
      </w:r>
      <w:r w:rsidR="00F125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щороку в період з 1 жовтня по 31 грудня проводить перереєстрацію громадян,  які  перебувають  на квартирному обліку, в ході якої перевіряються їх облікові дані.</w:t>
      </w:r>
    </w:p>
    <w:p w14:paraId="2425C02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7.2. Виявлені зміни вносяться в облікові справи громадян, книгу обліку осіб, які перебувають у черзі на одержання жилих приміщень</w:t>
      </w:r>
    </w:p>
    <w:p w14:paraId="5749194A" w14:textId="02468D86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7.3. Перереєстрація здійснюється на підставі заяв громадян (Додаток 3 до Положення), що перебувають на квартирному обліку при виконавчому комітеті </w:t>
      </w:r>
      <w:r w:rsidR="00F125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Брацлавської селищної 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2A5C2186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bookmarkStart w:id="10" w:name="o99"/>
      <w:bookmarkEnd w:id="10"/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8. Затвердження списків</w:t>
      </w:r>
    </w:p>
    <w:p w14:paraId="2B7ECBE7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3A611590" w14:textId="543BEF61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  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8.1. Після проведення перереєстрації виконавчий комітет с</w:t>
      </w:r>
      <w:r w:rsidR="00F125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здійснює моніторинг змін в облікових справах громадян та по квартирній черзі.</w:t>
      </w:r>
    </w:p>
    <w:p w14:paraId="39851B71" w14:textId="3CCFA02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8.2. У випадку, коли після моніторингу виявляються зміни, які призводять до руху квартирної черги, то виконавчий комітет с</w:t>
      </w:r>
      <w:r w:rsidR="004E77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готує списки осіб, що потребують поліпшення житлових умов на затвердження виконавчим комітетом.</w:t>
      </w:r>
    </w:p>
    <w:p w14:paraId="427A87A1" w14:textId="36EEBDAE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8.3. Формуються та затверджуються три основні списки осіб, що потребують поліпшення житлових умов відповідно до пунктів 1.4., 2.1. та 2.2. Положення:</w:t>
      </w:r>
    </w:p>
    <w:p w14:paraId="71B21390" w14:textId="35625A6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  </w:t>
      </w:r>
      <w:r w:rsidR="00C675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а) список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громадян, які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перебувають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 загальній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квартирній черзі;</w:t>
      </w:r>
    </w:p>
    <w:p w14:paraId="57A5609D" w14:textId="7FEF9F0A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б) список громадян, які мають першочергове право на отримання житла;</w:t>
      </w:r>
    </w:p>
    <w:p w14:paraId="7E78570D" w14:textId="26B532E1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в) список громадян, які мають позачергове право на отримання житла.  </w:t>
      </w:r>
    </w:p>
    <w:p w14:paraId="69B07CC4" w14:textId="5797A9ED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 8.4. Також формуються, проте не затверджуються, списки громадян за категоріями пільг.</w:t>
      </w:r>
    </w:p>
    <w:p w14:paraId="32AF4C89" w14:textId="71EF742E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  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8.5. Затверджені списки громадян, що потребують поліпшення житлових умов, підлягають оприлюдненню в засобах масової інформації, протягом 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п’ятнадцяти днів з дня затвердження, шляхом розміщення на офіційному сайті </w:t>
      </w:r>
      <w:r w:rsidR="0042500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 </w:t>
      </w:r>
    </w:p>
    <w:p w14:paraId="0A17FBB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55213E93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9. Журнали</w:t>
      </w:r>
    </w:p>
    <w:p w14:paraId="776A8117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4BE73A94" w14:textId="01425F60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9.1. Заяви громадян відносно постановки на квартирний облік при виконавчому комітеті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реєструються  виконавчим комітетом с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в Журналі (книзі) реєстрації заяв громадян про взяття на квартирний облік (Додаток 4 до Положення).</w:t>
      </w:r>
    </w:p>
    <w:p w14:paraId="00BF16E9" w14:textId="734B186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9.2. Заяви громадян на перереєстрацію в квартирній черзі при виконавчому комітеті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реєструються виконавчим комітетом с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в Журналі (книзі) перереєстрації громадян, що перебувають на квартирній черзі при виконавчому комітеті с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ради (Додаток 5 до Положення).</w:t>
      </w:r>
    </w:p>
    <w:p w14:paraId="3DDEA5A3" w14:textId="193313D6" w:rsidR="00CD45E0" w:rsidRDefault="00CD45E0" w:rsidP="00C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578CBA3A" w14:textId="4CD139D5" w:rsidR="00C67584" w:rsidRDefault="00C67584" w:rsidP="00C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14:paraId="11A47666" w14:textId="77777777" w:rsidR="00C67584" w:rsidRPr="00CD45E0" w:rsidRDefault="00C67584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</w:p>
    <w:p w14:paraId="21853283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Керуючий справами (секретар)</w:t>
      </w:r>
    </w:p>
    <w:p w14:paraId="0DEF97CC" w14:textId="32592E09" w:rsidR="00CD45E0" w:rsidRDefault="00CD45E0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виконавчого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комітету</w:t>
      </w:r>
      <w:r w:rsidR="004250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Людмила КОСТІК</w:t>
      </w:r>
    </w:p>
    <w:p w14:paraId="2247E537" w14:textId="3B312F92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8FABD8B" w14:textId="76465E9A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04A82360" w14:textId="4161BCD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5D9763D1" w14:textId="13DD3A98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91DA1C0" w14:textId="70D315F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CFFA9E8" w14:textId="2726143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7AE1F085" w14:textId="48D51228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1265B7A" w14:textId="2790341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22ADE85" w14:textId="21A78CC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3D1714F" w14:textId="04F4BF91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C65C550" w14:textId="274F6B46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CD334C6" w14:textId="3D9C4953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FB5D43D" w14:textId="6D9BEEE4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12288CA7" w14:textId="38A8A4D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8C841C4" w14:textId="758FD37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9B17A11" w14:textId="18A4AA3B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00235AED" w14:textId="6763E021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7D9A4E5E" w14:textId="23BD687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45D112B" w14:textId="71686F17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4E7AC8B4" w14:textId="57728B43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0557C6E" w14:textId="4A9361CD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131BC726" w14:textId="2BB3AFD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76D4C9B" w14:textId="2720A210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9F60BCB" w14:textId="5F2F2543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EB57639" w14:textId="02853E5B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4CB5CDC6" w14:textId="75A3FEEB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1A22F691" w14:textId="4A59E69A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75F0782F" w14:textId="0736F695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Додаток 1</w:t>
      </w:r>
    </w:p>
    <w:p w14:paraId="629E6C1F" w14:textId="6B9241D2" w:rsidR="00793B03" w:rsidRP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положення про квартирний облік</w:t>
      </w:r>
    </w:p>
    <w:p w14:paraId="01C26886" w14:textId="64F3FDF6" w:rsidR="00793B03" w:rsidRP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при виконавчому комітеті</w:t>
      </w:r>
    </w:p>
    <w:p w14:paraId="5CDFED52" w14:textId="108258A0" w:rsidR="00793B03" w:rsidRPr="00793B03" w:rsidRDefault="00793B03" w:rsidP="0079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Брацлавської селищної ради, </w:t>
      </w:r>
    </w:p>
    <w:p w14:paraId="6C53B674" w14:textId="04F29705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затвердженого рішенням виконавчого</w:t>
      </w:r>
    </w:p>
    <w:p w14:paraId="41D7E06A" w14:textId="37F2BB1B" w:rsid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комітету №____ від_____________</w:t>
      </w:r>
    </w:p>
    <w:p w14:paraId="7600CB34" w14:textId="17808646" w:rsid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38ABF2FD" w14:textId="3795994B" w:rsid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0126B3BB" w14:textId="2BB3E574" w:rsidR="00793B03" w:rsidRP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bookmarkStart w:id="11" w:name="_Hlk93924202"/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Селищному голові</w:t>
      </w:r>
    </w:p>
    <w:p w14:paraId="4D28C4DF" w14:textId="5900F4CE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</w:t>
      </w: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</w:t>
      </w:r>
    </w:p>
    <w:p w14:paraId="7D37DACE" w14:textId="62D20DE4" w:rsidR="005730B3" w:rsidRPr="00793B03" w:rsidRDefault="005730B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F6BC3D0" w14:textId="6D5F656B" w:rsidR="005730B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______________________________</w:t>
      </w:r>
    </w:p>
    <w:p w14:paraId="4896A22B" w14:textId="7491FFDE" w:rsidR="005730B3" w:rsidRDefault="005730B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011E767" w14:textId="1077F626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.__________________________</w:t>
      </w:r>
    </w:p>
    <w:p w14:paraId="62FEF08F" w14:textId="695F8EA4" w:rsidR="005730B3" w:rsidRPr="00793B03" w:rsidRDefault="005730B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bookmarkEnd w:id="11"/>
    <w:p w14:paraId="11F00A9D" w14:textId="77777777" w:rsidR="005730B3" w:rsidRPr="00793B03" w:rsidRDefault="005730B3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  <w:lang w:eastAsia="uk-UA"/>
        </w:rPr>
      </w:pPr>
    </w:p>
    <w:p w14:paraId="08CB6E2B" w14:textId="7CAB876D" w:rsidR="004D7032" w:rsidRDefault="00793B03" w:rsidP="00793B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B03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B776C56" w14:textId="22B9BB93" w:rsidR="00793B03" w:rsidRDefault="00793B0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 w:rsidRPr="00793B03">
        <w:rPr>
          <w:rFonts w:ascii="Times New Roman" w:hAnsi="Times New Roman" w:cs="Times New Roman"/>
          <w:sz w:val="28"/>
          <w:szCs w:val="28"/>
        </w:rPr>
        <w:t xml:space="preserve">       Прошу зарахувати на квартирний </w:t>
      </w:r>
      <w:r>
        <w:rPr>
          <w:rFonts w:ascii="Times New Roman" w:hAnsi="Times New Roman" w:cs="Times New Roman"/>
          <w:sz w:val="28"/>
          <w:szCs w:val="28"/>
        </w:rPr>
        <w:t>облік при виконавчому комітеті Брацлавської селищної ради для поліпшення житлових  умов</w:t>
      </w:r>
      <w:r w:rsidR="006B33F1">
        <w:rPr>
          <w:rFonts w:ascii="Times New Roman" w:hAnsi="Times New Roman" w:cs="Times New Roman"/>
          <w:sz w:val="28"/>
          <w:szCs w:val="28"/>
        </w:rPr>
        <w:t xml:space="preserve"> мене з сім</w:t>
      </w:r>
      <w:r w:rsidR="006B33F1" w:rsidRPr="006B33F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B33F1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6B33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344"/>
        <w:gridCol w:w="1869"/>
        <w:gridCol w:w="1869"/>
      </w:tblGrid>
      <w:tr w:rsidR="006B33F1" w14:paraId="4BED34E7" w14:textId="77777777" w:rsidTr="006B33F1">
        <w:tc>
          <w:tcPr>
            <w:tcW w:w="704" w:type="dxa"/>
          </w:tcPr>
          <w:p w14:paraId="6978144B" w14:textId="77777777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№</w:t>
            </w:r>
          </w:p>
          <w:p w14:paraId="411BA34D" w14:textId="11AD98B5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14:paraId="1FF1F7AA" w14:textId="77777777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Родинні</w:t>
            </w:r>
          </w:p>
          <w:p w14:paraId="5C54896D" w14:textId="2D2CA539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стосунки</w:t>
            </w:r>
          </w:p>
        </w:tc>
        <w:tc>
          <w:tcPr>
            <w:tcW w:w="3344" w:type="dxa"/>
          </w:tcPr>
          <w:p w14:paraId="32290D3D" w14:textId="3815D1DB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6B33F1">
              <w:rPr>
                <w:rFonts w:ascii="Times New Roman" w:hAnsi="Times New Roman" w:cs="Times New Roman"/>
              </w:rPr>
              <w:t>ім</w:t>
            </w:r>
            <w:proofErr w:type="spellEnd"/>
            <w:r w:rsidRPr="006B33F1">
              <w:rPr>
                <w:rFonts w:ascii="Times New Roman" w:hAnsi="Times New Roman" w:cs="Times New Roman"/>
                <w:lang w:val="en-US"/>
              </w:rPr>
              <w:t>’</w:t>
            </w:r>
            <w:r w:rsidRPr="006B33F1">
              <w:rPr>
                <w:rFonts w:ascii="Times New Roman" w:hAnsi="Times New Roman" w:cs="Times New Roman"/>
              </w:rPr>
              <w:t>я, по  батькові</w:t>
            </w:r>
          </w:p>
        </w:tc>
        <w:tc>
          <w:tcPr>
            <w:tcW w:w="1869" w:type="dxa"/>
          </w:tcPr>
          <w:p w14:paraId="6BEDB38D" w14:textId="62B05118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Число, місяць, рік народження</w:t>
            </w:r>
          </w:p>
        </w:tc>
        <w:tc>
          <w:tcPr>
            <w:tcW w:w="1869" w:type="dxa"/>
          </w:tcPr>
          <w:p w14:paraId="190E12A0" w14:textId="305D968F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Місце роботи</w:t>
            </w:r>
          </w:p>
        </w:tc>
      </w:tr>
      <w:tr w:rsidR="006B33F1" w14:paraId="1F4190BA" w14:textId="77777777" w:rsidTr="006B33F1">
        <w:tc>
          <w:tcPr>
            <w:tcW w:w="704" w:type="dxa"/>
          </w:tcPr>
          <w:p w14:paraId="66136545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102BA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3A725A4F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FFF6024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3181DF2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1" w14:paraId="252C538E" w14:textId="77777777" w:rsidTr="006B33F1">
        <w:tc>
          <w:tcPr>
            <w:tcW w:w="704" w:type="dxa"/>
          </w:tcPr>
          <w:p w14:paraId="3159F1CF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9E5B8D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02B29C1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2EDC2C8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6563B43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1" w14:paraId="170A4883" w14:textId="77777777" w:rsidTr="006B33F1">
        <w:tc>
          <w:tcPr>
            <w:tcW w:w="704" w:type="dxa"/>
          </w:tcPr>
          <w:p w14:paraId="308E3CBD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BCE371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86E5C82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CDFEE19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5BE0D1F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DE6127" w14:textId="77777777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DBDCF" w14:textId="324219A3" w:rsidR="006B33F1" w:rsidRDefault="00463BDF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 з </w:t>
      </w:r>
      <w:r w:rsidR="003A4FDD">
        <w:rPr>
          <w:rFonts w:ascii="Times New Roman" w:hAnsi="Times New Roman" w:cs="Times New Roman"/>
          <w:sz w:val="28"/>
          <w:szCs w:val="28"/>
        </w:rPr>
        <w:t>________________ р.</w:t>
      </w:r>
    </w:p>
    <w:p w14:paraId="20A782FB" w14:textId="55A1785F" w:rsidR="00B401C3" w:rsidRDefault="00E56D30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B401C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6E00DD99" w14:textId="77777777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857BC" w14:textId="1C4A6B3E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Зареєстрований (на) з _________________ р.</w:t>
      </w:r>
    </w:p>
    <w:p w14:paraId="70EFA984" w14:textId="2E93B266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 ________________________________________________________</w:t>
      </w:r>
    </w:p>
    <w:p w14:paraId="732FBD61" w14:textId="04B8AA1D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(будинок) складається з ______ кімнат, житлова площа________, з комунальними вигодами 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B62D4FB" w14:textId="66E73166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Працюю з ________ р. _______________________________________________</w:t>
      </w:r>
    </w:p>
    <w:p w14:paraId="4E5F09F8" w14:textId="266A852D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83D268" w14:textId="60759A47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Користуюсь пільгою як ______________________________________________</w:t>
      </w:r>
    </w:p>
    <w:p w14:paraId="1AAC7016" w14:textId="4224A7D9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48160A" w14:textId="0BE528D1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Зобов</w:t>
      </w:r>
      <w:r w:rsidRPr="00B401C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язуюсь щорічно, у період з 01 жовтня по 31 грудня, здійснювати перереєстрацію в квартирній черзі, а також повідомляти виконавчий комітет Брацлавської селищної ради про зміни житлових умов і склад моєї сім</w:t>
      </w:r>
      <w:r w:rsidRPr="00B401C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ї.</w:t>
      </w:r>
    </w:p>
    <w:p w14:paraId="715B8C46" w14:textId="6D1A18C7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у разі не здійснення  щорічної перереєстрації усвідомлюю про настання наслідків передбачених в розділі 6 Положення про квартирний облік при виконавчому</w:t>
      </w:r>
      <w:r w:rsidR="00760A1E">
        <w:rPr>
          <w:rFonts w:ascii="Times New Roman" w:hAnsi="Times New Roman" w:cs="Times New Roman"/>
          <w:sz w:val="28"/>
          <w:szCs w:val="28"/>
        </w:rPr>
        <w:t xml:space="preserve"> комітеті Брацлавської селищної ради. З правами та </w:t>
      </w:r>
      <w:proofErr w:type="spellStart"/>
      <w:r w:rsidR="00760A1E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760A1E" w:rsidRPr="00086C1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760A1E">
        <w:rPr>
          <w:rFonts w:ascii="Times New Roman" w:hAnsi="Times New Roman" w:cs="Times New Roman"/>
          <w:sz w:val="28"/>
          <w:szCs w:val="28"/>
        </w:rPr>
        <w:t>язками</w:t>
      </w:r>
      <w:proofErr w:type="spellEnd"/>
      <w:r w:rsidR="00760A1E">
        <w:rPr>
          <w:rFonts w:ascii="Times New Roman" w:hAnsi="Times New Roman" w:cs="Times New Roman"/>
          <w:sz w:val="28"/>
          <w:szCs w:val="28"/>
        </w:rPr>
        <w:t xml:space="preserve"> ознайомлений (а).</w:t>
      </w:r>
    </w:p>
    <w:p w14:paraId="1D356A81" w14:textId="25439308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C6E47" w14:textId="603B1A16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«____»_____________20___р.    ___________________  ____________________</w:t>
      </w:r>
    </w:p>
    <w:p w14:paraId="56649DD3" w14:textId="6D078DB4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41B5D" w14:textId="55B88F94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Підписи повнолітніх членів моєї сім</w:t>
      </w:r>
      <w:r w:rsidRPr="00760A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які зараховуються на квартирний облік:</w:t>
      </w:r>
    </w:p>
    <w:p w14:paraId="24691355" w14:textId="6E17734D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60A1E" w14:paraId="3A800F66" w14:textId="77777777" w:rsidTr="00760A1E">
        <w:tc>
          <w:tcPr>
            <w:tcW w:w="988" w:type="dxa"/>
          </w:tcPr>
          <w:p w14:paraId="496B092E" w14:textId="77777777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844748E" w14:textId="2AC9B30E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2" w:type="dxa"/>
          </w:tcPr>
          <w:p w14:paraId="2538511E" w14:textId="4262E669" w:rsidR="00760A1E" w:rsidRP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по-батькові</w:t>
            </w:r>
          </w:p>
        </w:tc>
        <w:tc>
          <w:tcPr>
            <w:tcW w:w="3115" w:type="dxa"/>
          </w:tcPr>
          <w:p w14:paraId="7C8CA417" w14:textId="2A8AAD2C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760A1E" w14:paraId="784CC82F" w14:textId="77777777" w:rsidTr="00760A1E">
        <w:tc>
          <w:tcPr>
            <w:tcW w:w="988" w:type="dxa"/>
          </w:tcPr>
          <w:p w14:paraId="5DDB9E6F" w14:textId="25223D1D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14:paraId="4D59F51F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1D7637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1E" w14:paraId="4AF68F51" w14:textId="77777777" w:rsidTr="00760A1E">
        <w:tc>
          <w:tcPr>
            <w:tcW w:w="988" w:type="dxa"/>
          </w:tcPr>
          <w:p w14:paraId="34A8B9B9" w14:textId="2D8F49FE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14:paraId="47E9B16B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B482D16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1E" w14:paraId="7344B2B6" w14:textId="77777777" w:rsidTr="00760A1E">
        <w:tc>
          <w:tcPr>
            <w:tcW w:w="988" w:type="dxa"/>
          </w:tcPr>
          <w:p w14:paraId="6FE4E6AC" w14:textId="6D16618C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14:paraId="3B7242EE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7E7469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1E" w14:paraId="2B195888" w14:textId="77777777" w:rsidTr="00760A1E">
        <w:tc>
          <w:tcPr>
            <w:tcW w:w="988" w:type="dxa"/>
          </w:tcPr>
          <w:p w14:paraId="2D88F6C4" w14:textId="0EA9349E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14:paraId="7A6F8069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9E39BA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AF3F7F" w14:textId="0C545583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13A57" w14:textId="70B7DBFD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ЗАЯВИ  ДОДАЄТЬСЯ :</w:t>
      </w:r>
    </w:p>
    <w:p w14:paraId="587F7D02" w14:textId="2DEB988F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86FD4" w14:textId="6FF6F599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38E9C3" w14:textId="526CCF5B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BB718" w14:textId="608BCFCF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02BF6" w14:textId="77936E8E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536E4" w14:textId="5917CC07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B047C" w14:textId="38E7B7A7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D5AC3" w14:textId="6A41CDF6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 р.  __________________  ______________________</w:t>
      </w:r>
    </w:p>
    <w:p w14:paraId="79874A6E" w14:textId="563F45A9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04D38" w14:textId="0D7F3B9B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E701D" w14:textId="5BBFFB53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0E381" w14:textId="45F4B776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EFD69" w14:textId="620F6A8F" w:rsidR="00760A1E" w:rsidRPr="00760A1E" w:rsidRDefault="00760A1E" w:rsidP="00760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0477CCDD" w14:textId="00749388" w:rsidR="00760A1E" w:rsidRP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32BC0E47" w14:textId="1880EA3C" w:rsidR="00760A1E" w:rsidRP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1A354688" w14:textId="7517C801" w:rsidR="00760A1E" w:rsidRP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6368F32B" w14:textId="6D1636EA" w:rsidR="00760A1E" w:rsidRPr="00760A1E" w:rsidRDefault="00760A1E" w:rsidP="00760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705F1AE1" w14:textId="134C8B8C" w:rsid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p w14:paraId="7A9223BE" w14:textId="537229F8" w:rsid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C0ED94" w14:textId="4D67227A" w:rsid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A288C0" w14:textId="7B7D9232" w:rsidR="00760A1E" w:rsidRPr="00FE0898" w:rsidRDefault="00760A1E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898">
        <w:rPr>
          <w:rFonts w:ascii="Times New Roman" w:hAnsi="Times New Roman" w:cs="Times New Roman"/>
          <w:sz w:val="28"/>
          <w:szCs w:val="28"/>
        </w:rPr>
        <w:t>А К Т</w:t>
      </w:r>
    </w:p>
    <w:p w14:paraId="1B5E7EEE" w14:textId="32DDB445" w:rsidR="00760A1E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898">
        <w:rPr>
          <w:rFonts w:ascii="Times New Roman" w:hAnsi="Times New Roman" w:cs="Times New Roman"/>
          <w:sz w:val="28"/>
          <w:szCs w:val="28"/>
        </w:rPr>
        <w:t>о</w:t>
      </w:r>
      <w:r w:rsidR="00760A1E" w:rsidRPr="00FE0898">
        <w:rPr>
          <w:rFonts w:ascii="Times New Roman" w:hAnsi="Times New Roman" w:cs="Times New Roman"/>
          <w:sz w:val="28"/>
          <w:szCs w:val="28"/>
        </w:rPr>
        <w:t>бстеження житлових умов заявника</w:t>
      </w:r>
    </w:p>
    <w:p w14:paraId="7E5980D2" w14:textId="6D17A2C1" w:rsidR="00FE0898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20___ року</w:t>
      </w:r>
    </w:p>
    <w:p w14:paraId="3ECBC86A" w14:textId="2AD45F8E" w:rsidR="00FE0898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628448" w14:textId="0194D34E" w:rsidR="00FE0898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7AF8C1" w14:textId="0D0EA887" w:rsidR="00FE0898" w:rsidRDefault="00FE089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</w:t>
      </w:r>
    </w:p>
    <w:p w14:paraId="0663F9E5" w14:textId="3F81697B" w:rsidR="00FE0898" w:rsidRDefault="00FE089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B87B28" w14:textId="41EF7C14" w:rsidR="00FE0898" w:rsidRDefault="00FE089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в складі: ____________________________________________________</w:t>
      </w:r>
    </w:p>
    <w:p w14:paraId="1B77E6D5" w14:textId="00E8B065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9C3C857" w14:textId="6F8AE076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перевірці житлових умов на місці встановила:</w:t>
      </w:r>
    </w:p>
    <w:p w14:paraId="61B88D17" w14:textId="09CD4579" w:rsidR="00FE0898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Житлова площа (кількість кімнат, їх площа, підсобні приміщення тощо)</w:t>
      </w:r>
    </w:p>
    <w:p w14:paraId="22EED9FF" w14:textId="35C951EF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758FC65" w14:textId="0F909BCE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Будинок належить на праві особистої власності гр._____________________</w:t>
      </w:r>
    </w:p>
    <w:p w14:paraId="39B5E090" w14:textId="705E2623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E9FA42" w14:textId="7205BFB8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Коротка характеристика будинку та жилої  площі (будинок з цегли, дерев</w:t>
      </w:r>
      <w:r w:rsidRPr="00945D3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аварійний; кімната суха, світла, ізольована, прохідна, сира, тощо)</w:t>
      </w:r>
    </w:p>
    <w:p w14:paraId="6198DB38" w14:textId="0F8A3579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4322E69" w14:textId="14D5485E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Благоустрій будинку або даної квартири: водопостачання (централізоване, водопровід), каналізація, опалення (центральне, пічне)</w:t>
      </w:r>
      <w:r w:rsidR="003406D8">
        <w:rPr>
          <w:rFonts w:ascii="Times New Roman" w:hAnsi="Times New Roman" w:cs="Times New Roman"/>
          <w:sz w:val="28"/>
          <w:szCs w:val="28"/>
        </w:rPr>
        <w:t>, ванна тощо ________</w:t>
      </w:r>
    </w:p>
    <w:p w14:paraId="5545EA48" w14:textId="6A0C83F4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D2F24EB" w14:textId="6464DA44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кого відкрито особові рахунки: __________________________________</w:t>
      </w:r>
    </w:p>
    <w:p w14:paraId="0C1650ED" w14:textId="78E9EE01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15C8783" w14:textId="02D55D76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Хто проживає на даній житловій площі:</w:t>
      </w:r>
    </w:p>
    <w:p w14:paraId="4E6F24C0" w14:textId="18E1AC07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3406D8" w14:paraId="1E3A0782" w14:textId="77777777" w:rsidTr="003406D8">
        <w:tc>
          <w:tcPr>
            <w:tcW w:w="704" w:type="dxa"/>
          </w:tcPr>
          <w:p w14:paraId="707CEF8F" w14:textId="77777777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A779AB" w14:textId="7D6EEB19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75F35F4C" w14:textId="2FE4DB8E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4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1557" w:type="dxa"/>
          </w:tcPr>
          <w:p w14:paraId="149BE012" w14:textId="23EE6C68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558" w:type="dxa"/>
          </w:tcPr>
          <w:p w14:paraId="3AEFD6F3" w14:textId="77E0DBB2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Родинні відносини</w:t>
            </w:r>
          </w:p>
        </w:tc>
        <w:tc>
          <w:tcPr>
            <w:tcW w:w="1558" w:type="dxa"/>
          </w:tcPr>
          <w:p w14:paraId="1E15FBE6" w14:textId="21D63BCB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З якого часу проживає в населеному пункті</w:t>
            </w:r>
          </w:p>
        </w:tc>
        <w:tc>
          <w:tcPr>
            <w:tcW w:w="1558" w:type="dxa"/>
          </w:tcPr>
          <w:p w14:paraId="4C6D754E" w14:textId="62D26327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Місце роботи, посада</w:t>
            </w:r>
          </w:p>
        </w:tc>
      </w:tr>
      <w:tr w:rsidR="003406D8" w14:paraId="0832B5A6" w14:textId="77777777" w:rsidTr="003406D8">
        <w:tc>
          <w:tcPr>
            <w:tcW w:w="704" w:type="dxa"/>
          </w:tcPr>
          <w:p w14:paraId="333EB55C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C04791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7686418A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8D505C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3508B67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400A7D0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D8" w14:paraId="69F0179E" w14:textId="77777777" w:rsidTr="003406D8">
        <w:tc>
          <w:tcPr>
            <w:tcW w:w="704" w:type="dxa"/>
          </w:tcPr>
          <w:p w14:paraId="1C6F680A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F70D17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8BE13CE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F0AA7C4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6D2F38E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5D6510C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913D98" w14:textId="49CC9D6D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C04CAB" w14:textId="1953B60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Додаткові відомості про заявника, його сім</w:t>
      </w:r>
      <w:r w:rsidRPr="003406D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__________________________</w:t>
      </w:r>
    </w:p>
    <w:p w14:paraId="470E6AE4" w14:textId="3B7C0B15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1EFDC" w14:textId="7F566DBB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BCAD86" w14:textId="0CF3BD61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чи пропозиції комісії: </w:t>
      </w:r>
    </w:p>
    <w:p w14:paraId="7DB4E5EF" w14:textId="0EE2416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4EED5" w14:textId="26D26C8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996EBF" w14:textId="263A8615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368E4D" w14:textId="516C5737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 голови комісії: _________________   _____________________________</w:t>
      </w:r>
    </w:p>
    <w:p w14:paraId="445ACB8C" w14:textId="6A3F8948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827DAD" w14:textId="16DDF3FA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 членів комісії: _________________   _____________________________</w:t>
      </w:r>
    </w:p>
    <w:p w14:paraId="5BE57737" w14:textId="1E52BA2A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6BC9813" w14:textId="472DB2ED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   _____________________________</w:t>
      </w:r>
    </w:p>
    <w:p w14:paraId="3F360FE1" w14:textId="26EA27C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005E9F9" w14:textId="0C38368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   _____________________________</w:t>
      </w:r>
    </w:p>
    <w:p w14:paraId="63900306" w14:textId="26D0E94E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30CEF" w14:textId="1F63FE20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18C82C" w14:textId="03C422D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875CF" w14:textId="264C3D6C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D2D0D" w14:textId="21163D3E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382E1D" w14:textId="1F4E106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D77791" w14:textId="3512A1BC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D37BA5" w14:textId="1A3B345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52FD49" w14:textId="46CBCF0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15260" w14:textId="6051EDC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B3738" w14:textId="29222FF8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9701A8" w14:textId="7F274539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78895" w14:textId="705F6CC1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DC23E6" w14:textId="7359E4BA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A899EC" w14:textId="1125D15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DDECCB" w14:textId="46D22C4B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A1F87" w14:textId="21982F3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5770FF" w14:textId="4396CCB0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3764EA" w14:textId="67272AD7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A35F08" w14:textId="6A81A97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4E57B4" w14:textId="57874D56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1F2DC2" w14:textId="22B8E071" w:rsidR="003406D8" w:rsidRPr="00760A1E" w:rsidRDefault="003406D8" w:rsidP="00340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Hlk93924567"/>
      <w:r w:rsidRPr="00760A1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D2B3043" w14:textId="77777777" w:rsidR="003406D8" w:rsidRPr="00760A1E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0CE74A71" w14:textId="77777777" w:rsidR="003406D8" w:rsidRPr="00760A1E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201F8B33" w14:textId="77777777" w:rsidR="003406D8" w:rsidRPr="00760A1E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752BD534" w14:textId="77777777" w:rsidR="003406D8" w:rsidRPr="00760A1E" w:rsidRDefault="003406D8" w:rsidP="00340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2D9F1624" w14:textId="77777777" w:rsidR="003406D8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bookmarkEnd w:id="12"/>
    <w:p w14:paraId="4B212C6F" w14:textId="77777777" w:rsidR="003406D8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7FDF7" w14:textId="77777777" w:rsidR="003406D8" w:rsidRPr="00793B03" w:rsidRDefault="003406D8" w:rsidP="00340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Селищному голові</w:t>
      </w:r>
    </w:p>
    <w:p w14:paraId="1B86CC6B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</w:t>
      </w: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</w:t>
      </w:r>
    </w:p>
    <w:p w14:paraId="1D5CD6A0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0DA282FB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______________________________</w:t>
      </w:r>
    </w:p>
    <w:p w14:paraId="2E879C45" w14:textId="77777777" w:rsidR="003406D8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382C8AD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.__________________________</w:t>
      </w:r>
    </w:p>
    <w:p w14:paraId="6B5964DE" w14:textId="77777777" w:rsidR="003406D8" w:rsidRPr="00793B03" w:rsidRDefault="003406D8" w:rsidP="0034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EE9A680" w14:textId="5F7F988D" w:rsidR="003406D8" w:rsidRDefault="003406D8" w:rsidP="00340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0C3576" w14:textId="186BBA59" w:rsidR="003406D8" w:rsidRDefault="003406D8" w:rsidP="00340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D8B0EF" w14:textId="4AD8BB78" w:rsidR="003406D8" w:rsidRDefault="003406D8" w:rsidP="00340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819A7" w:rsidRPr="006819A7">
        <w:rPr>
          <w:rFonts w:ascii="Times New Roman" w:hAnsi="Times New Roman" w:cs="Times New Roman"/>
          <w:b/>
          <w:bCs/>
          <w:sz w:val="28"/>
          <w:szCs w:val="28"/>
        </w:rPr>
        <w:t>АЯВА</w:t>
      </w:r>
    </w:p>
    <w:p w14:paraId="779CD8CF" w14:textId="573684D1" w:rsidR="006819A7" w:rsidRDefault="006819A7" w:rsidP="00340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923D6F" w14:textId="78D135FD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здійснити перереєстрацію моїх облікових даних в реєстрі осіб на поліпшення житлових умов, які перебувають на квартирному  обліку при виконавчому комітеті Брацлавської селищної ради.</w:t>
      </w:r>
    </w:p>
    <w:p w14:paraId="0D111FA7" w14:textId="64F7FD24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B7461E" w14:textId="6AFD7053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ЗАЯВИ  ДОДАЄТЬСЯ:</w:t>
      </w:r>
    </w:p>
    <w:p w14:paraId="17CB187D" w14:textId="65774275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3D748C" w14:textId="6FACE3DE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AEA0A7" w14:textId="0455FAD1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83D6B9" w14:textId="69D17D40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BEFECE" w14:textId="4E41F6A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0725B" w14:textId="4D4FF96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1FD749" w14:textId="3092D074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3D02E" w14:textId="2966269D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E42DD3" w14:textId="22BEDADC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DEF048" w14:textId="4685EBCF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20____ р.   _____________ _____________________</w:t>
      </w:r>
    </w:p>
    <w:p w14:paraId="1AB4410A" w14:textId="102FD223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D305B" w14:textId="4A54C9E8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D2A19F" w14:textId="788F3084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453D67" w14:textId="03515F3B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BF007F" w14:textId="3182EC78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68A65" w14:textId="23E7ED28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1CE4F" w14:textId="75D457B5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59EA1" w14:textId="1A138BA3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0BD82" w14:textId="1AD32781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F3C55" w14:textId="44DA52C2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98200" w14:textId="27639864" w:rsidR="006819A7" w:rsidRPr="00760A1E" w:rsidRDefault="006819A7" w:rsidP="00681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76CED1B" w14:textId="77777777" w:rsidR="006819A7" w:rsidRPr="00760A1E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48D0D3A3" w14:textId="77777777" w:rsidR="006819A7" w:rsidRPr="00760A1E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0E540237" w14:textId="77777777" w:rsidR="006819A7" w:rsidRPr="00760A1E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47E59DF8" w14:textId="77777777" w:rsidR="006819A7" w:rsidRPr="00760A1E" w:rsidRDefault="006819A7" w:rsidP="00681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4EEA1074" w14:textId="32D9EDCD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p w14:paraId="6D849129" w14:textId="11C1BADF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AC2EB" w14:textId="13849D45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92291F" w14:textId="691636BC" w:rsidR="006819A7" w:rsidRPr="006819A7" w:rsidRDefault="006819A7" w:rsidP="00681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143EBC7E" w14:textId="5B95BEF2" w:rsidR="006819A7" w:rsidRPr="006819A7" w:rsidRDefault="006819A7" w:rsidP="00681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реєстрації заяв громадян про взяття на квартирний облік</w:t>
      </w:r>
    </w:p>
    <w:p w14:paraId="1ACB1FC9" w14:textId="7BD323E4" w:rsidR="006819A7" w:rsidRPr="006819A7" w:rsidRDefault="006819A7" w:rsidP="00681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при виконавчому комітеті Брацлавської селищної ради</w:t>
      </w:r>
    </w:p>
    <w:p w14:paraId="0ABA2E02" w14:textId="7FF5529E" w:rsidR="006819A7" w:rsidRDefault="006819A7" w:rsidP="006819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6F7522" w14:textId="0081CC21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Розпочатий ________________ 20___ р.</w:t>
      </w:r>
    </w:p>
    <w:p w14:paraId="0E80C6CA" w14:textId="06A74B3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Закінчений ________________ 20 ___ р.</w:t>
      </w:r>
    </w:p>
    <w:p w14:paraId="5AFD56AB" w14:textId="43F2C83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669"/>
        <w:gridCol w:w="2127"/>
        <w:gridCol w:w="1559"/>
        <w:gridCol w:w="1844"/>
        <w:gridCol w:w="1552"/>
      </w:tblGrid>
      <w:tr w:rsidR="006819A7" w14:paraId="28CF1A1D" w14:textId="77777777" w:rsidTr="009E367D">
        <w:tc>
          <w:tcPr>
            <w:tcW w:w="594" w:type="dxa"/>
          </w:tcPr>
          <w:p w14:paraId="0EA90203" w14:textId="77777777" w:rsidR="006819A7" w:rsidRPr="009E367D" w:rsidRDefault="009E367D" w:rsidP="0068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35C553" w14:textId="042C1A49" w:rsidR="009E367D" w:rsidRPr="009E367D" w:rsidRDefault="009E367D" w:rsidP="0068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9" w:type="dxa"/>
          </w:tcPr>
          <w:p w14:paraId="6CDFB8BF" w14:textId="77523D03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Дата надходження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 і доданих до неї документів</w:t>
            </w:r>
          </w:p>
        </w:tc>
        <w:tc>
          <w:tcPr>
            <w:tcW w:w="2127" w:type="dxa"/>
          </w:tcPr>
          <w:p w14:paraId="5DBF6F0C" w14:textId="232255AF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9E3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по-батькові заявника</w:t>
            </w:r>
          </w:p>
        </w:tc>
        <w:tc>
          <w:tcPr>
            <w:tcW w:w="1559" w:type="dxa"/>
          </w:tcPr>
          <w:p w14:paraId="64B10F54" w14:textId="77777777" w:rsidR="006819A7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  <w:p w14:paraId="1704B96D" w14:textId="1E133A43" w:rsid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</w:p>
          <w:p w14:paraId="1BA1BBBE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/реєстрації</w:t>
            </w:r>
          </w:p>
          <w:p w14:paraId="1413FC59" w14:textId="69863BD5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</w:p>
        </w:tc>
        <w:tc>
          <w:tcPr>
            <w:tcW w:w="1844" w:type="dxa"/>
          </w:tcPr>
          <w:p w14:paraId="5DC4A5C4" w14:textId="071D6763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Зміст, дата і номер рішення виконкому</w:t>
            </w:r>
          </w:p>
        </w:tc>
        <w:tc>
          <w:tcPr>
            <w:tcW w:w="1552" w:type="dxa"/>
          </w:tcPr>
          <w:p w14:paraId="5C183C53" w14:textId="446C52DC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і номер листа заявникові</w:t>
            </w:r>
          </w:p>
        </w:tc>
      </w:tr>
      <w:tr w:rsidR="006819A7" w14:paraId="68148403" w14:textId="77777777" w:rsidTr="009E367D">
        <w:tc>
          <w:tcPr>
            <w:tcW w:w="594" w:type="dxa"/>
          </w:tcPr>
          <w:p w14:paraId="2C299BD5" w14:textId="0AB398C4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14:paraId="534C174A" w14:textId="5F2C164C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92654B7" w14:textId="39604723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E8CBA5C" w14:textId="3D95E846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14:paraId="37D63902" w14:textId="3AFCA81C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14:paraId="3055D68C" w14:textId="09CA1C7B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9A7" w14:paraId="5005E5AE" w14:textId="77777777" w:rsidTr="009E367D">
        <w:tc>
          <w:tcPr>
            <w:tcW w:w="594" w:type="dxa"/>
          </w:tcPr>
          <w:p w14:paraId="7619480B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2EDCFD9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84B896E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E4136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CC868F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2F6EFDA8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73E5380C" w14:textId="77777777" w:rsidTr="009E367D">
        <w:tc>
          <w:tcPr>
            <w:tcW w:w="594" w:type="dxa"/>
          </w:tcPr>
          <w:p w14:paraId="0D492146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98E44D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F3876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9D7293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01413F4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3F246FE3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7644306B" w14:textId="77777777" w:rsidTr="009E367D">
        <w:tc>
          <w:tcPr>
            <w:tcW w:w="594" w:type="dxa"/>
          </w:tcPr>
          <w:p w14:paraId="3BA40ED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1FD9DF91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627D8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76018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7246F7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0BD49AD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235B8F3F" w14:textId="77777777" w:rsidTr="009E367D">
        <w:tc>
          <w:tcPr>
            <w:tcW w:w="594" w:type="dxa"/>
          </w:tcPr>
          <w:p w14:paraId="310279AD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7029E9D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8BD2CA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225C7B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4E42D75D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54CEE36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1489F3A2" w14:textId="77777777" w:rsidTr="009E367D">
        <w:tc>
          <w:tcPr>
            <w:tcW w:w="594" w:type="dxa"/>
          </w:tcPr>
          <w:p w14:paraId="0A9320A8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9588C6C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0FD85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EB319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8D91E6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3C6F4A8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F7EDF9" w14:textId="7C12DD6B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C54901" w14:textId="7D8EA45E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44B7D6" w14:textId="3B4D792A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2E13BB" w14:textId="50B7ADBF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156CC" w14:textId="2FBBA4DB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B029BE" w14:textId="1D3E431B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A1178E" w14:textId="57119DFE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E6F968" w14:textId="0CFAE659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639676" w14:textId="578FF433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981F5E" w14:textId="0EF846FF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C8630D" w14:textId="538CCF53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A88AE" w14:textId="355A59C5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2BD3F" w14:textId="4392FC31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E1C9A0" w14:textId="0900F990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72B54D" w14:textId="1CA1EFFD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808C6A" w14:textId="5D976744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6194B7" w14:textId="7E92F15D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7C73BE" w14:textId="77777777" w:rsidR="009E367D" w:rsidRPr="00760A1E" w:rsidRDefault="009E367D" w:rsidP="009E36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710B8D" w14:textId="77777777" w:rsidR="009E367D" w:rsidRPr="00760A1E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11D4FDA9" w14:textId="77777777" w:rsidR="009E367D" w:rsidRPr="00760A1E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33140347" w14:textId="77777777" w:rsidR="009E367D" w:rsidRPr="00760A1E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21CE8E31" w14:textId="77777777" w:rsidR="009E367D" w:rsidRPr="00760A1E" w:rsidRDefault="009E367D" w:rsidP="009E36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0C31A7A6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p w14:paraId="67F94778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37C153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007B39" w14:textId="77777777" w:rsidR="009E367D" w:rsidRPr="006819A7" w:rsidRDefault="009E367D" w:rsidP="009E3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34840D07" w14:textId="6645C2E2" w:rsidR="009E367D" w:rsidRPr="006819A7" w:rsidRDefault="009E367D" w:rsidP="009E3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</w:t>
      </w:r>
      <w:r w:rsidRPr="006819A7">
        <w:rPr>
          <w:rFonts w:ascii="Times New Roman" w:hAnsi="Times New Roman" w:cs="Times New Roman"/>
          <w:b/>
          <w:bCs/>
          <w:sz w:val="28"/>
          <w:szCs w:val="28"/>
        </w:rPr>
        <w:t>реєстрації  громадян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що перебувають </w:t>
      </w:r>
      <w:r w:rsidRPr="006819A7">
        <w:rPr>
          <w:rFonts w:ascii="Times New Roman" w:hAnsi="Times New Roman" w:cs="Times New Roman"/>
          <w:b/>
          <w:bCs/>
          <w:sz w:val="28"/>
          <w:szCs w:val="28"/>
        </w:rPr>
        <w:t xml:space="preserve"> на квартирн</w:t>
      </w:r>
      <w:r>
        <w:rPr>
          <w:rFonts w:ascii="Times New Roman" w:hAnsi="Times New Roman" w:cs="Times New Roman"/>
          <w:b/>
          <w:bCs/>
          <w:sz w:val="28"/>
          <w:szCs w:val="28"/>
        </w:rPr>
        <w:t>ій черзі</w:t>
      </w:r>
    </w:p>
    <w:p w14:paraId="48F49EC8" w14:textId="77777777" w:rsidR="009E367D" w:rsidRPr="006819A7" w:rsidRDefault="009E367D" w:rsidP="009E3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при виконавчому комітеті Брацлавської селищної ради</w:t>
      </w:r>
    </w:p>
    <w:p w14:paraId="6B7C454E" w14:textId="77777777" w:rsidR="009E367D" w:rsidRDefault="009E367D" w:rsidP="009E3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7BBBB2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Розпочатий ________________ 20___ р.</w:t>
      </w:r>
    </w:p>
    <w:p w14:paraId="3ADC66F8" w14:textId="1D524EA4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Закінчений ________________ 20 ___ р.</w:t>
      </w:r>
    </w:p>
    <w:p w14:paraId="799FAAB0" w14:textId="7D641C38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351"/>
        <w:gridCol w:w="1869"/>
        <w:gridCol w:w="1869"/>
      </w:tblGrid>
      <w:tr w:rsidR="009E367D" w14:paraId="18CD0C82" w14:textId="77777777" w:rsidTr="002601F6">
        <w:tc>
          <w:tcPr>
            <w:tcW w:w="562" w:type="dxa"/>
          </w:tcPr>
          <w:p w14:paraId="171C20F3" w14:textId="77777777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86F407A" w14:textId="25D32DC9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694" w:type="dxa"/>
          </w:tcPr>
          <w:p w14:paraId="1F094A09" w14:textId="65091347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надходження  заяви і доданих до неї </w:t>
            </w:r>
            <w:r w:rsidR="002601F6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</w:p>
        </w:tc>
        <w:tc>
          <w:tcPr>
            <w:tcW w:w="2351" w:type="dxa"/>
          </w:tcPr>
          <w:p w14:paraId="4269FA36" w14:textId="364377B0" w:rsidR="009E367D" w:rsidRPr="002601F6" w:rsidRDefault="002601F6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60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по-батькові заявника</w:t>
            </w:r>
          </w:p>
        </w:tc>
        <w:tc>
          <w:tcPr>
            <w:tcW w:w="1869" w:type="dxa"/>
          </w:tcPr>
          <w:p w14:paraId="76B0B345" w14:textId="42E33CC5" w:rsidR="009E367D" w:rsidRPr="009E367D" w:rsidRDefault="002601F6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1112C8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проживання/ реєстрації заявника</w:t>
            </w:r>
          </w:p>
        </w:tc>
        <w:tc>
          <w:tcPr>
            <w:tcW w:w="1869" w:type="dxa"/>
          </w:tcPr>
          <w:p w14:paraId="73DA4D1B" w14:textId="3B3047B8" w:rsidR="009E367D" w:rsidRPr="009E367D" w:rsidRDefault="001112C8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Зміст, дата і номер рішення виконкому (у випадку зміни облікових даних)</w:t>
            </w:r>
          </w:p>
        </w:tc>
      </w:tr>
      <w:tr w:rsidR="009E367D" w14:paraId="06FB47E5" w14:textId="77777777" w:rsidTr="002601F6">
        <w:tc>
          <w:tcPr>
            <w:tcW w:w="562" w:type="dxa"/>
          </w:tcPr>
          <w:p w14:paraId="0D6588E8" w14:textId="463C1E95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B41F02B" w14:textId="0B6E1193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14:paraId="7BA76AD3" w14:textId="18A4E6E8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60BA0C3F" w14:textId="093B1618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5C74C6CB" w14:textId="3ACB58F5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67D" w14:paraId="0270C5A6" w14:textId="77777777" w:rsidTr="002601F6">
        <w:tc>
          <w:tcPr>
            <w:tcW w:w="562" w:type="dxa"/>
          </w:tcPr>
          <w:p w14:paraId="7101D01D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D99E404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43CD547B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72EC33B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8049264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7D" w14:paraId="1B255405" w14:textId="77777777" w:rsidTr="002601F6">
        <w:tc>
          <w:tcPr>
            <w:tcW w:w="562" w:type="dxa"/>
          </w:tcPr>
          <w:p w14:paraId="3B5B1113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FAAE058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496D63AA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495467B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DBD885D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7D" w14:paraId="5058EA03" w14:textId="77777777" w:rsidTr="002601F6">
        <w:tc>
          <w:tcPr>
            <w:tcW w:w="562" w:type="dxa"/>
          </w:tcPr>
          <w:p w14:paraId="0214FD97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A513F0D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19ECD495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DA4101A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A0A8339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7D" w14:paraId="12F604FB" w14:textId="77777777" w:rsidTr="002601F6">
        <w:tc>
          <w:tcPr>
            <w:tcW w:w="562" w:type="dxa"/>
          </w:tcPr>
          <w:p w14:paraId="7E1659CA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7F9F62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4D1235F6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EAD0385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E6CE765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9B7AF8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6700A0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428886" w14:textId="77777777" w:rsidR="009E367D" w:rsidRPr="006819A7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367D" w:rsidRPr="0068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32"/>
    <w:rsid w:val="00086C1B"/>
    <w:rsid w:val="000B142B"/>
    <w:rsid w:val="001112C8"/>
    <w:rsid w:val="002601F6"/>
    <w:rsid w:val="003406D8"/>
    <w:rsid w:val="003A4FDD"/>
    <w:rsid w:val="0042471C"/>
    <w:rsid w:val="00425004"/>
    <w:rsid w:val="00463BDF"/>
    <w:rsid w:val="004D7032"/>
    <w:rsid w:val="004E77D6"/>
    <w:rsid w:val="005730B3"/>
    <w:rsid w:val="00582034"/>
    <w:rsid w:val="006819A7"/>
    <w:rsid w:val="006B33F1"/>
    <w:rsid w:val="00760A1E"/>
    <w:rsid w:val="00793B03"/>
    <w:rsid w:val="00945D30"/>
    <w:rsid w:val="009E367D"/>
    <w:rsid w:val="00B401C3"/>
    <w:rsid w:val="00C67584"/>
    <w:rsid w:val="00CD45E0"/>
    <w:rsid w:val="00E56D30"/>
    <w:rsid w:val="00F125B7"/>
    <w:rsid w:val="00FB6BCF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162C"/>
  <w15:chartTrackingRefBased/>
  <w15:docId w15:val="{5686338A-E153-4226-8324-AD13715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35C7-E77D-43B8-A588-6751D507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17522</Words>
  <Characters>9989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11</cp:revision>
  <cp:lastPrinted>2022-02-08T06:30:00Z</cp:lastPrinted>
  <dcterms:created xsi:type="dcterms:W3CDTF">2022-01-11T06:43:00Z</dcterms:created>
  <dcterms:modified xsi:type="dcterms:W3CDTF">2022-02-08T06:31:00Z</dcterms:modified>
</cp:coreProperties>
</file>