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1923B" w14:textId="77777777" w:rsidR="00F578E5" w:rsidRDefault="007C02B7" w:rsidP="008F1EB7">
      <w:pPr>
        <w:tabs>
          <w:tab w:val="left" w:pos="7291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580D0D">
        <w:rPr>
          <w:rFonts w:ascii="Times New Roman" w:hAnsi="Times New Roman"/>
          <w:b/>
          <w:color w:val="002060"/>
          <w:sz w:val="28"/>
          <w:szCs w:val="28"/>
          <w:lang w:val="uk-UA"/>
        </w:rPr>
        <w:t xml:space="preserve"> </w:t>
      </w:r>
      <w:r w:rsidR="00AB5D92">
        <w:rPr>
          <w:rFonts w:ascii="Journal" w:hAnsi="Journal"/>
          <w:b/>
          <w:bCs/>
          <w:noProof/>
          <w:color w:val="365F91"/>
          <w:sz w:val="28"/>
          <w:szCs w:val="28"/>
        </w:rPr>
        <w:object w:dxaOrig="1440" w:dyaOrig="1440" w14:anchorId="5A40D4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30.9pt;margin-top:6.6pt;width:33.75pt;height:47.35pt;z-index:251660288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9" DrawAspect="Content" ObjectID="_1833531439" r:id="rId9"/>
        </w:object>
      </w:r>
    </w:p>
    <w:p w14:paraId="1563C1F2" w14:textId="77777777" w:rsidR="00080A1F" w:rsidRDefault="00080A1F" w:rsidP="00F578E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F141298" w14:textId="77777777" w:rsidR="00080A1F" w:rsidRDefault="00080A1F" w:rsidP="00F578E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301A151B" w14:textId="77777777" w:rsidR="00080A1F" w:rsidRDefault="00080A1F" w:rsidP="00F578E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3A87603" w14:textId="2D04034D" w:rsidR="00F578E5" w:rsidRDefault="00482EDA" w:rsidP="00F578E5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</w:p>
    <w:p w14:paraId="20C43CB0" w14:textId="39AC7738" w:rsidR="001C51DA" w:rsidRPr="0016008F" w:rsidRDefault="001C51DA" w:rsidP="001C51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008F">
        <w:rPr>
          <w:rFonts w:ascii="Times New Roman" w:hAnsi="Times New Roman"/>
          <w:b/>
          <w:sz w:val="28"/>
          <w:szCs w:val="28"/>
        </w:rPr>
        <w:t>БРАЦЛАВСЬКА СЕЛИЩНА РАДА</w:t>
      </w:r>
    </w:p>
    <w:p w14:paraId="2358FF7C" w14:textId="12AA90C5" w:rsidR="001C51DA" w:rsidRPr="00FA4BD6" w:rsidRDefault="001C51DA" w:rsidP="001C51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6008F">
        <w:rPr>
          <w:rFonts w:ascii="Times New Roman" w:hAnsi="Times New Roman"/>
          <w:b/>
          <w:sz w:val="28"/>
          <w:szCs w:val="28"/>
        </w:rPr>
        <w:t>ВИКОНАВЧИЙ КОМІТЕТ</w:t>
      </w:r>
      <w:r w:rsidR="00FA4BD6">
        <w:rPr>
          <w:rFonts w:ascii="Times New Roman" w:hAnsi="Times New Roman"/>
          <w:b/>
          <w:sz w:val="28"/>
          <w:szCs w:val="28"/>
          <w:lang w:val="uk-UA"/>
        </w:rPr>
        <w:t xml:space="preserve">                      </w:t>
      </w:r>
    </w:p>
    <w:p w14:paraId="284DFFD4" w14:textId="77777777" w:rsidR="001C51DA" w:rsidRPr="0016008F" w:rsidRDefault="001C51DA" w:rsidP="001C51DA">
      <w:pPr>
        <w:jc w:val="center"/>
        <w:rPr>
          <w:rFonts w:ascii="Times New Roman" w:hAnsi="Times New Roman"/>
          <w:b/>
          <w:sz w:val="28"/>
          <w:szCs w:val="28"/>
        </w:rPr>
      </w:pPr>
      <w:r w:rsidRPr="0016008F">
        <w:rPr>
          <w:rFonts w:ascii="Times New Roman" w:hAnsi="Times New Roman"/>
          <w:b/>
          <w:sz w:val="28"/>
          <w:szCs w:val="28"/>
        </w:rPr>
        <w:t>РІШЕННЯ</w:t>
      </w:r>
    </w:p>
    <w:p w14:paraId="535C424E" w14:textId="506F18F2" w:rsidR="001C51DA" w:rsidRDefault="00DD060C" w:rsidP="001C51DA">
      <w:pPr>
        <w:tabs>
          <w:tab w:val="left" w:pos="595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25 лютого </w:t>
      </w:r>
      <w:r w:rsidR="001C51DA" w:rsidRPr="00482F4A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="001C51DA" w:rsidRPr="00482F4A">
        <w:rPr>
          <w:rFonts w:ascii="Times New Roman" w:hAnsi="Times New Roman"/>
          <w:sz w:val="28"/>
          <w:szCs w:val="28"/>
        </w:rPr>
        <w:t xml:space="preserve"> року       </w:t>
      </w:r>
      <w:r w:rsidR="001C51DA" w:rsidRPr="00482F4A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16008F">
        <w:rPr>
          <w:rFonts w:ascii="Times New Roman" w:hAnsi="Times New Roman"/>
          <w:sz w:val="28"/>
          <w:szCs w:val="28"/>
          <w:lang w:val="uk-UA"/>
        </w:rPr>
        <w:t>с</w:t>
      </w:r>
      <w:r w:rsidR="00A31D30">
        <w:rPr>
          <w:rFonts w:ascii="Times New Roman" w:hAnsi="Times New Roman"/>
          <w:sz w:val="28"/>
          <w:szCs w:val="28"/>
          <w:lang w:val="uk-UA"/>
        </w:rPr>
        <w:t>елище</w:t>
      </w:r>
      <w:r w:rsidR="0016008F">
        <w:rPr>
          <w:rFonts w:ascii="Times New Roman" w:hAnsi="Times New Roman"/>
          <w:sz w:val="28"/>
          <w:szCs w:val="28"/>
          <w:lang w:val="uk-UA"/>
        </w:rPr>
        <w:t xml:space="preserve"> Брацлав</w:t>
      </w:r>
      <w:r w:rsidR="001C51DA" w:rsidRPr="00482F4A">
        <w:rPr>
          <w:rFonts w:ascii="Times New Roman" w:hAnsi="Times New Roman"/>
          <w:sz w:val="28"/>
          <w:szCs w:val="28"/>
        </w:rPr>
        <w:t xml:space="preserve">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17</w:t>
      </w:r>
    </w:p>
    <w:p w14:paraId="15687F75" w14:textId="77777777" w:rsidR="009375C8" w:rsidRPr="0016008F" w:rsidRDefault="009375C8" w:rsidP="001C51DA">
      <w:pPr>
        <w:tabs>
          <w:tab w:val="left" w:pos="595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14:paraId="64EE6C2A" w14:textId="77777777" w:rsidR="00D74B65" w:rsidRPr="006E4DF1" w:rsidRDefault="002E4FA9" w:rsidP="00CD32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E4FA9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B227B6">
        <w:rPr>
          <w:rFonts w:ascii="Times New Roman" w:hAnsi="Times New Roman"/>
          <w:b/>
          <w:sz w:val="28"/>
          <w:szCs w:val="28"/>
          <w:lang w:val="uk-UA"/>
        </w:rPr>
        <w:t xml:space="preserve">стан виконання </w:t>
      </w:r>
      <w:r w:rsidR="008003D9">
        <w:rPr>
          <w:rFonts w:ascii="Times New Roman" w:hAnsi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/>
          <w:b/>
          <w:sz w:val="28"/>
          <w:szCs w:val="28"/>
          <w:lang w:val="uk-UA"/>
        </w:rPr>
        <w:t>юджет</w:t>
      </w:r>
      <w:r w:rsidR="00B227B6">
        <w:rPr>
          <w:rFonts w:ascii="Times New Roman" w:hAnsi="Times New Roman"/>
          <w:b/>
          <w:sz w:val="28"/>
          <w:szCs w:val="28"/>
          <w:lang w:val="uk-UA"/>
        </w:rPr>
        <w:t>у</w:t>
      </w:r>
    </w:p>
    <w:p w14:paraId="29B87E19" w14:textId="77777777" w:rsidR="00B21648" w:rsidRDefault="001C51DA" w:rsidP="002E4FA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Брацлавської селищної</w:t>
      </w:r>
    </w:p>
    <w:p w14:paraId="25CA3BB5" w14:textId="77777777" w:rsidR="007838D3" w:rsidRDefault="00B21648" w:rsidP="002E4FA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територіальної громади</w:t>
      </w:r>
    </w:p>
    <w:p w14:paraId="5A615230" w14:textId="60A552B3" w:rsidR="002E4FA9" w:rsidRDefault="005E1B91" w:rsidP="002E4FA9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8003D9">
        <w:rPr>
          <w:rFonts w:ascii="Times New Roman" w:hAnsi="Times New Roman"/>
          <w:b/>
          <w:sz w:val="28"/>
          <w:szCs w:val="28"/>
          <w:lang w:val="uk-UA"/>
        </w:rPr>
        <w:t>а</w:t>
      </w:r>
      <w:r w:rsidR="00780682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7838D3">
        <w:rPr>
          <w:rFonts w:ascii="Times New Roman" w:hAnsi="Times New Roman"/>
          <w:b/>
          <w:sz w:val="28"/>
          <w:szCs w:val="28"/>
          <w:lang w:val="uk-UA"/>
        </w:rPr>
        <w:t>2</w:t>
      </w:r>
      <w:r w:rsidR="007B081B">
        <w:rPr>
          <w:rFonts w:ascii="Times New Roman" w:hAnsi="Times New Roman"/>
          <w:b/>
          <w:sz w:val="28"/>
          <w:szCs w:val="28"/>
          <w:lang w:val="uk-UA"/>
        </w:rPr>
        <w:t>0</w:t>
      </w:r>
      <w:r w:rsidR="00394FB9">
        <w:rPr>
          <w:rFonts w:ascii="Times New Roman" w:hAnsi="Times New Roman"/>
          <w:b/>
          <w:sz w:val="28"/>
          <w:szCs w:val="28"/>
          <w:lang w:val="uk-UA"/>
        </w:rPr>
        <w:t>2</w:t>
      </w:r>
      <w:r w:rsidR="00780682">
        <w:rPr>
          <w:rFonts w:ascii="Times New Roman" w:hAnsi="Times New Roman"/>
          <w:b/>
          <w:sz w:val="28"/>
          <w:szCs w:val="28"/>
          <w:lang w:val="uk-UA"/>
        </w:rPr>
        <w:t>5</w:t>
      </w:r>
      <w:r w:rsidR="002E4FA9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C16C4E">
        <w:rPr>
          <w:rFonts w:ascii="Times New Roman" w:hAnsi="Times New Roman"/>
          <w:b/>
          <w:sz w:val="28"/>
          <w:szCs w:val="28"/>
          <w:lang w:val="uk-UA"/>
        </w:rPr>
        <w:t>ік</w:t>
      </w:r>
    </w:p>
    <w:p w14:paraId="629AE78F" w14:textId="77777777" w:rsidR="00482EDA" w:rsidRDefault="00482EDA" w:rsidP="00E5115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016004" w14:textId="77777777" w:rsidR="00C92745" w:rsidRDefault="00C92745" w:rsidP="00E51152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83F364" w14:textId="7278087C" w:rsidR="005C301E" w:rsidRDefault="001C51DA" w:rsidP="005C301E">
      <w:pPr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Заслухавши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звіт начальника фінансового</w:t>
      </w:r>
      <w:r>
        <w:rPr>
          <w:rFonts w:ascii="Times New Roman" w:hAnsi="Times New Roman"/>
          <w:sz w:val="28"/>
          <w:szCs w:val="28"/>
          <w:lang w:val="uk-UA"/>
        </w:rPr>
        <w:t xml:space="preserve"> відділу Брацлав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ської</w:t>
      </w:r>
      <w:r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5B660D">
        <w:rPr>
          <w:rFonts w:ascii="Times New Roman" w:hAnsi="Times New Roman"/>
          <w:sz w:val="28"/>
          <w:szCs w:val="28"/>
          <w:lang w:val="uk-UA"/>
        </w:rPr>
        <w:t>Петрової Т.В.</w:t>
      </w:r>
      <w:r w:rsidR="00D879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про хід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>
        <w:rPr>
          <w:rFonts w:ascii="Times New Roman" w:hAnsi="Times New Roman"/>
          <w:sz w:val="28"/>
          <w:szCs w:val="28"/>
          <w:lang w:val="uk-UA"/>
        </w:rPr>
        <w:t>Брацлав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ської</w:t>
      </w:r>
      <w:r>
        <w:rPr>
          <w:rFonts w:ascii="Times New Roman" w:hAnsi="Times New Roman"/>
          <w:sz w:val="28"/>
          <w:szCs w:val="28"/>
          <w:lang w:val="uk-UA"/>
        </w:rPr>
        <w:t xml:space="preserve"> селищної</w:t>
      </w:r>
      <w:r w:rsidR="000952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>громади за</w:t>
      </w:r>
      <w:r w:rsidR="007806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C02B7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80682">
        <w:rPr>
          <w:rFonts w:ascii="Times New Roman" w:hAnsi="Times New Roman"/>
          <w:sz w:val="28"/>
          <w:szCs w:val="28"/>
          <w:lang w:val="uk-UA"/>
        </w:rPr>
        <w:t>5</w:t>
      </w:r>
      <w:r w:rsidR="001A35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C16C4E">
        <w:rPr>
          <w:rFonts w:ascii="Times New Roman" w:hAnsi="Times New Roman"/>
          <w:sz w:val="28"/>
          <w:szCs w:val="28"/>
          <w:lang w:val="uk-UA"/>
        </w:rPr>
        <w:t>ік</w:t>
      </w:r>
      <w:r w:rsidR="002F16A4" w:rsidRPr="00D74B65">
        <w:rPr>
          <w:rFonts w:ascii="Times New Roman" w:hAnsi="Times New Roman"/>
          <w:sz w:val="28"/>
          <w:szCs w:val="28"/>
          <w:lang w:val="uk-UA"/>
        </w:rPr>
        <w:t xml:space="preserve">, встановлено, що </w:t>
      </w:r>
      <w:r w:rsidR="005C301E">
        <w:rPr>
          <w:rFonts w:ascii="Times New Roman" w:hAnsi="Times New Roman"/>
          <w:sz w:val="28"/>
          <w:szCs w:val="28"/>
          <w:lang w:val="uk-UA"/>
        </w:rPr>
        <w:t>д</w:t>
      </w:r>
      <w:r w:rsidR="005C301E" w:rsidRPr="007312FA">
        <w:rPr>
          <w:rFonts w:ascii="Times New Roman" w:hAnsi="Times New Roman"/>
          <w:sz w:val="28"/>
          <w:szCs w:val="28"/>
          <w:lang w:val="uk-UA"/>
        </w:rPr>
        <w:t xml:space="preserve">охідна частина загального фонду бюджету територіальної громади (з урахуванням трансфертів з державного та інших бюджетів) за 2025 рік виконана в сумі </w:t>
      </w:r>
      <w:r w:rsidR="005C301E" w:rsidRPr="007312FA">
        <w:rPr>
          <w:rFonts w:ascii="Times New Roman" w:hAnsi="Times New Roman"/>
          <w:sz w:val="28"/>
          <w:szCs w:val="28"/>
          <w:u w:val="single"/>
          <w:lang w:val="uk-UA"/>
        </w:rPr>
        <w:t>97 942 654 грн</w:t>
      </w:r>
      <w:r w:rsidR="005C301E" w:rsidRPr="007312FA">
        <w:rPr>
          <w:rFonts w:ascii="Times New Roman" w:hAnsi="Times New Roman"/>
          <w:sz w:val="28"/>
          <w:szCs w:val="28"/>
          <w:lang w:val="uk-UA"/>
        </w:rPr>
        <w:t xml:space="preserve">.  при  планових призначеннях (без урахуванням змін) на 2025 рік в сумі </w:t>
      </w:r>
      <w:r w:rsidR="005C301E" w:rsidRPr="007312F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  <w:r w:rsidR="005C301E" w:rsidRPr="007312FA">
        <w:rPr>
          <w:rFonts w:ascii="Times New Roman" w:hAnsi="Times New Roman"/>
          <w:bCs/>
          <w:color w:val="000000"/>
          <w:sz w:val="28"/>
          <w:szCs w:val="28"/>
          <w:u w:val="single"/>
          <w:lang w:val="uk-UA"/>
        </w:rPr>
        <w:t>75 511 249грн</w:t>
      </w:r>
      <w:r w:rsidR="005C301E" w:rsidRPr="007312F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., </w:t>
      </w:r>
      <w:r w:rsidR="005C301E" w:rsidRPr="007312FA">
        <w:rPr>
          <w:rFonts w:ascii="Times New Roman" w:hAnsi="Times New Roman"/>
          <w:sz w:val="28"/>
          <w:szCs w:val="28"/>
          <w:lang w:val="uk-UA"/>
        </w:rPr>
        <w:t xml:space="preserve">що на </w:t>
      </w:r>
      <w:r w:rsidR="005C301E" w:rsidRPr="007312FA">
        <w:rPr>
          <w:rFonts w:ascii="Times New Roman" w:hAnsi="Times New Roman"/>
          <w:b/>
          <w:bCs/>
          <w:sz w:val="28"/>
          <w:szCs w:val="28"/>
          <w:lang w:val="uk-UA"/>
        </w:rPr>
        <w:t>22 431 405</w:t>
      </w:r>
      <w:r w:rsidR="005C301E" w:rsidRPr="007312FA">
        <w:rPr>
          <w:rFonts w:ascii="Times New Roman" w:hAnsi="Times New Roman"/>
          <w:sz w:val="28"/>
          <w:szCs w:val="28"/>
          <w:lang w:val="uk-UA"/>
        </w:rPr>
        <w:t xml:space="preserve"> грн. більше або виконано на 103,36%.</w:t>
      </w:r>
      <w:r w:rsidR="005C301E">
        <w:rPr>
          <w:rFonts w:ascii="Times New Roman" w:hAnsi="Times New Roman"/>
          <w:sz w:val="28"/>
          <w:szCs w:val="28"/>
          <w:lang w:val="uk-UA"/>
        </w:rPr>
        <w:t xml:space="preserve"> Дохідна частина загального фонду бюджету без урахування трансферів</w:t>
      </w:r>
      <w:r w:rsidR="005C301E" w:rsidRPr="00D74B65">
        <w:rPr>
          <w:rFonts w:ascii="Times New Roman" w:hAnsi="Times New Roman"/>
          <w:sz w:val="28"/>
          <w:szCs w:val="28"/>
          <w:lang w:val="uk-UA"/>
        </w:rPr>
        <w:t xml:space="preserve"> виконана в </w:t>
      </w:r>
      <w:r w:rsidR="005C301E" w:rsidRPr="00197B21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5C301E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val="uk-UA"/>
        </w:rPr>
        <w:t>60 571 869</w:t>
      </w:r>
      <w:r w:rsidR="005C301E" w:rsidRPr="00197B21">
        <w:rPr>
          <w:rFonts w:ascii="Times New Roman" w:hAnsi="Times New Roman"/>
          <w:sz w:val="28"/>
          <w:szCs w:val="28"/>
          <w:u w:val="single"/>
          <w:lang w:val="uk-UA"/>
        </w:rPr>
        <w:t>грн.</w:t>
      </w:r>
      <w:r w:rsidR="005C301E" w:rsidRPr="00D74B65">
        <w:rPr>
          <w:rFonts w:ascii="Times New Roman" w:hAnsi="Times New Roman"/>
          <w:sz w:val="28"/>
          <w:szCs w:val="28"/>
          <w:lang w:val="uk-UA"/>
        </w:rPr>
        <w:t xml:space="preserve"> при планових</w:t>
      </w:r>
      <w:r w:rsidR="005C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301E" w:rsidRPr="00D74B65">
        <w:rPr>
          <w:rFonts w:ascii="Times New Roman" w:hAnsi="Times New Roman"/>
          <w:sz w:val="28"/>
          <w:szCs w:val="28"/>
          <w:lang w:val="uk-UA"/>
        </w:rPr>
        <w:t>призначеннях</w:t>
      </w:r>
      <w:r w:rsidR="005C301E">
        <w:rPr>
          <w:rFonts w:ascii="Times New Roman" w:hAnsi="Times New Roman"/>
          <w:sz w:val="28"/>
          <w:szCs w:val="28"/>
          <w:lang w:val="uk-UA"/>
        </w:rPr>
        <w:t xml:space="preserve"> (без урахуванням змін)</w:t>
      </w:r>
      <w:r w:rsidR="005C301E" w:rsidRPr="00D74B65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5C301E">
        <w:rPr>
          <w:rFonts w:ascii="Times New Roman" w:hAnsi="Times New Roman"/>
          <w:sz w:val="28"/>
          <w:szCs w:val="28"/>
          <w:lang w:val="uk-UA"/>
        </w:rPr>
        <w:t>2025 рік</w:t>
      </w:r>
      <w:r w:rsidR="005C301E" w:rsidRPr="00D74B65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5C301E" w:rsidRPr="00E10902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5C301E" w:rsidRPr="00A4076A">
        <w:rPr>
          <w:rFonts w:ascii="Times New Roman" w:hAnsi="Times New Roman"/>
          <w:bCs/>
          <w:color w:val="000000"/>
          <w:sz w:val="28"/>
          <w:szCs w:val="28"/>
          <w:u w:val="single"/>
          <w:lang w:val="uk-UA"/>
        </w:rPr>
        <w:t>49 350 925</w:t>
      </w:r>
      <w:r w:rsidR="005C301E" w:rsidRPr="00E10902">
        <w:rPr>
          <w:rFonts w:ascii="Times New Roman" w:hAnsi="Times New Roman"/>
          <w:b/>
          <w:bCs/>
          <w:color w:val="000000"/>
          <w:sz w:val="14"/>
          <w:szCs w:val="14"/>
          <w:lang w:val="uk-UA"/>
        </w:rPr>
        <w:t xml:space="preserve"> </w:t>
      </w:r>
      <w:r w:rsidR="005C301E" w:rsidRPr="00E10902">
        <w:rPr>
          <w:rFonts w:ascii="Times New Roman" w:hAnsi="Times New Roman"/>
          <w:sz w:val="28"/>
          <w:szCs w:val="28"/>
          <w:lang w:val="uk-UA"/>
        </w:rPr>
        <w:t>грн.,</w:t>
      </w:r>
      <w:r w:rsidR="005C301E" w:rsidRPr="00D74B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301E">
        <w:rPr>
          <w:rFonts w:ascii="Times New Roman" w:hAnsi="Times New Roman"/>
          <w:sz w:val="28"/>
          <w:szCs w:val="28"/>
          <w:lang w:val="uk-UA"/>
        </w:rPr>
        <w:t xml:space="preserve">що на </w:t>
      </w:r>
      <w:r w:rsidR="005C301E" w:rsidRPr="007312FA">
        <w:rPr>
          <w:rFonts w:ascii="Times New Roman" w:hAnsi="Times New Roman"/>
          <w:b/>
          <w:bCs/>
          <w:sz w:val="28"/>
          <w:szCs w:val="28"/>
          <w:lang w:val="uk-UA"/>
        </w:rPr>
        <w:t>11 220 944</w:t>
      </w:r>
      <w:r w:rsidR="005C301E">
        <w:rPr>
          <w:rFonts w:ascii="Times New Roman" w:hAnsi="Times New Roman"/>
          <w:sz w:val="28"/>
          <w:szCs w:val="28"/>
          <w:lang w:val="uk-UA"/>
        </w:rPr>
        <w:t xml:space="preserve"> грн. більше</w:t>
      </w:r>
      <w:r w:rsidR="005C301E" w:rsidRPr="00D74B65">
        <w:rPr>
          <w:rFonts w:ascii="Times New Roman" w:hAnsi="Times New Roman"/>
          <w:sz w:val="28"/>
          <w:szCs w:val="28"/>
          <w:lang w:val="uk-UA"/>
        </w:rPr>
        <w:t xml:space="preserve"> або виконано на </w:t>
      </w:r>
      <w:r w:rsidR="005C301E">
        <w:rPr>
          <w:rFonts w:ascii="Times New Roman" w:hAnsi="Times New Roman"/>
          <w:sz w:val="28"/>
          <w:szCs w:val="28"/>
          <w:lang w:val="uk-UA"/>
        </w:rPr>
        <w:t>106,4</w:t>
      </w:r>
      <w:r w:rsidR="005C301E" w:rsidRPr="00D74B65">
        <w:rPr>
          <w:rFonts w:ascii="Times New Roman" w:hAnsi="Times New Roman"/>
          <w:sz w:val="28"/>
          <w:szCs w:val="28"/>
          <w:lang w:val="uk-UA"/>
        </w:rPr>
        <w:t>%.</w:t>
      </w:r>
      <w:r w:rsidR="005C301E">
        <w:rPr>
          <w:rFonts w:ascii="Times New Roman" w:hAnsi="Times New Roman"/>
          <w:sz w:val="28"/>
          <w:szCs w:val="28"/>
          <w:lang w:val="uk-UA"/>
        </w:rPr>
        <w:t xml:space="preserve"> Порівняно з надходженнями за відповідний період 2024 року </w:t>
      </w:r>
    </w:p>
    <w:p w14:paraId="2A1D3153" w14:textId="77777777" w:rsidR="005C301E" w:rsidRDefault="005C301E" w:rsidP="005C301E">
      <w:pPr>
        <w:tabs>
          <w:tab w:val="left" w:pos="567"/>
          <w:tab w:val="left" w:pos="709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(51 352 593 грн.) отримано більше на 9 219 276 грн., або виконано на 117,95%.</w:t>
      </w:r>
    </w:p>
    <w:p w14:paraId="3CFA0981" w14:textId="77777777" w:rsidR="005C301E" w:rsidRPr="00A05ECC" w:rsidRDefault="005C301E" w:rsidP="005C301E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Бюджетоутворюючим податком у складі  доходів загального фонду (без урахування трансферів) залишається податок та збір на доходи фізичних осіб, який надійшов до бюджету в 2025 році в сумі 38 584 857 грн., або 63,7% від </w:t>
      </w:r>
      <w:r w:rsidRPr="00A05ECC">
        <w:rPr>
          <w:rFonts w:ascii="Times New Roman" w:hAnsi="Times New Roman"/>
          <w:sz w:val="28"/>
          <w:szCs w:val="28"/>
          <w:lang w:val="uk-UA"/>
        </w:rPr>
        <w:t>обсягу</w:t>
      </w:r>
      <w:r>
        <w:rPr>
          <w:rFonts w:ascii="Times New Roman" w:hAnsi="Times New Roman"/>
          <w:sz w:val="28"/>
          <w:szCs w:val="28"/>
          <w:lang w:val="uk-UA"/>
        </w:rPr>
        <w:t xml:space="preserve"> надходжень загального фонду (без урахування міжбюджетних трансферів)</w:t>
      </w:r>
      <w:r w:rsidRPr="00A05ECC">
        <w:rPr>
          <w:rFonts w:ascii="Times New Roman" w:hAnsi="Times New Roman"/>
          <w:sz w:val="28"/>
          <w:szCs w:val="28"/>
          <w:lang w:val="uk-UA"/>
        </w:rPr>
        <w:t>. Порівняно з минулим роком</w:t>
      </w:r>
      <w:r>
        <w:rPr>
          <w:rFonts w:ascii="Times New Roman" w:hAnsi="Times New Roman"/>
          <w:sz w:val="28"/>
          <w:szCs w:val="28"/>
          <w:lang w:val="uk-UA"/>
        </w:rPr>
        <w:t xml:space="preserve"> (33 640 643 грн.)</w:t>
      </w:r>
      <w:r w:rsidRPr="00A05EC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надходження зросли</w:t>
      </w:r>
      <w:r w:rsidRPr="00A05ECC">
        <w:rPr>
          <w:rFonts w:ascii="Times New Roman" w:hAnsi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/>
          <w:sz w:val="28"/>
          <w:szCs w:val="28"/>
          <w:lang w:val="uk-UA"/>
        </w:rPr>
        <w:t xml:space="preserve"> 4 944 214 </w:t>
      </w:r>
      <w:r w:rsidRPr="00A05ECC">
        <w:rPr>
          <w:rFonts w:ascii="Times New Roman" w:hAnsi="Times New Roman"/>
          <w:sz w:val="28"/>
          <w:szCs w:val="28"/>
          <w:lang w:val="uk-UA"/>
        </w:rPr>
        <w:t>грн.</w:t>
      </w:r>
      <w:r>
        <w:rPr>
          <w:rFonts w:ascii="Times New Roman" w:hAnsi="Times New Roman"/>
          <w:sz w:val="28"/>
          <w:szCs w:val="28"/>
          <w:lang w:val="uk-UA"/>
        </w:rPr>
        <w:t>, або 14,70%.</w:t>
      </w:r>
    </w:p>
    <w:p w14:paraId="5F4B7739" w14:textId="77777777" w:rsidR="005C301E" w:rsidRDefault="005C301E" w:rsidP="005C301E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05ECC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3C8F">
        <w:rPr>
          <w:rFonts w:ascii="Times New Roman" w:hAnsi="Times New Roman"/>
          <w:sz w:val="28"/>
          <w:szCs w:val="28"/>
          <w:lang w:val="uk-UA"/>
        </w:rPr>
        <w:t>Значним джерелом</w:t>
      </w:r>
      <w:r w:rsidRPr="00A05ECC">
        <w:rPr>
          <w:rFonts w:ascii="Times New Roman" w:hAnsi="Times New Roman"/>
          <w:sz w:val="28"/>
          <w:szCs w:val="28"/>
          <w:lang w:val="uk-UA"/>
        </w:rPr>
        <w:t xml:space="preserve"> надходжень є місцеві податки і збори, які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Pr="00A05ECC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A05ECC">
        <w:rPr>
          <w:rFonts w:ascii="Times New Roman" w:hAnsi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ік</w:t>
      </w:r>
      <w:r w:rsidRPr="00A05ECC">
        <w:rPr>
          <w:rFonts w:ascii="Times New Roman" w:hAnsi="Times New Roman"/>
          <w:sz w:val="28"/>
          <w:szCs w:val="28"/>
          <w:lang w:val="uk-UA"/>
        </w:rPr>
        <w:t xml:space="preserve"> надійшли до бюджету громади в сумі </w:t>
      </w:r>
      <w:r>
        <w:rPr>
          <w:rFonts w:ascii="Times New Roman" w:hAnsi="Times New Roman"/>
          <w:sz w:val="28"/>
          <w:szCs w:val="28"/>
          <w:lang w:val="uk-UA"/>
        </w:rPr>
        <w:t xml:space="preserve">17 842 301 </w:t>
      </w:r>
      <w:r w:rsidRPr="00A05ECC">
        <w:rPr>
          <w:rFonts w:ascii="Times New Roman" w:hAnsi="Times New Roman"/>
          <w:sz w:val="28"/>
          <w:szCs w:val="28"/>
          <w:lang w:val="uk-UA"/>
        </w:rPr>
        <w:t xml:space="preserve">грн.,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A05ECC">
        <w:rPr>
          <w:rFonts w:ascii="Times New Roman" w:hAnsi="Times New Roman"/>
          <w:sz w:val="28"/>
          <w:szCs w:val="28"/>
          <w:lang w:val="uk-UA"/>
        </w:rPr>
        <w:t xml:space="preserve"> склали </w:t>
      </w:r>
      <w:r>
        <w:rPr>
          <w:rFonts w:ascii="Times New Roman" w:hAnsi="Times New Roman"/>
          <w:sz w:val="28"/>
          <w:szCs w:val="28"/>
          <w:lang w:val="uk-UA"/>
        </w:rPr>
        <w:t xml:space="preserve">29,46% </w:t>
      </w:r>
      <w:r w:rsidRPr="00A05ECC">
        <w:rPr>
          <w:rFonts w:ascii="Times New Roman" w:hAnsi="Times New Roman"/>
          <w:sz w:val="28"/>
          <w:szCs w:val="28"/>
          <w:lang w:val="uk-UA"/>
        </w:rPr>
        <w:t>від обсягу надходже</w:t>
      </w:r>
      <w:r>
        <w:rPr>
          <w:rFonts w:ascii="Times New Roman" w:hAnsi="Times New Roman"/>
          <w:sz w:val="28"/>
          <w:szCs w:val="28"/>
          <w:lang w:val="uk-UA"/>
        </w:rPr>
        <w:t xml:space="preserve">нь до загального фонду (без урахування міжбюджетних  трансферів). </w:t>
      </w:r>
      <w:r w:rsidRPr="00A4076A">
        <w:rPr>
          <w:rFonts w:ascii="Times New Roman" w:hAnsi="Times New Roman"/>
          <w:sz w:val="28"/>
          <w:szCs w:val="28"/>
          <w:lang w:val="uk-UA"/>
        </w:rPr>
        <w:t>Порівняно з минулим роком (</w:t>
      </w:r>
      <w:r>
        <w:rPr>
          <w:rFonts w:ascii="Times New Roman" w:hAnsi="Times New Roman"/>
          <w:sz w:val="28"/>
          <w:szCs w:val="28"/>
          <w:lang w:val="uk-UA"/>
        </w:rPr>
        <w:t>13 803 626</w:t>
      </w:r>
      <w:r w:rsidRPr="00A4076A">
        <w:rPr>
          <w:rFonts w:ascii="Times New Roman" w:hAnsi="Times New Roman"/>
          <w:sz w:val="28"/>
          <w:szCs w:val="28"/>
          <w:lang w:val="uk-UA"/>
        </w:rPr>
        <w:t xml:space="preserve"> грн.) надходження зросли на 4</w:t>
      </w:r>
      <w:r>
        <w:rPr>
          <w:rFonts w:ascii="Times New Roman" w:hAnsi="Times New Roman"/>
          <w:sz w:val="28"/>
          <w:szCs w:val="28"/>
          <w:lang w:val="uk-UA"/>
        </w:rPr>
        <w:t> 038 675</w:t>
      </w:r>
      <w:r w:rsidRPr="00A4076A">
        <w:rPr>
          <w:rFonts w:ascii="Times New Roman" w:hAnsi="Times New Roman"/>
          <w:sz w:val="28"/>
          <w:szCs w:val="28"/>
          <w:lang w:val="uk-UA"/>
        </w:rPr>
        <w:t xml:space="preserve"> грн., або </w:t>
      </w:r>
      <w:r>
        <w:rPr>
          <w:rFonts w:ascii="Times New Roman" w:hAnsi="Times New Roman"/>
          <w:sz w:val="28"/>
          <w:szCs w:val="28"/>
          <w:lang w:val="uk-UA"/>
        </w:rPr>
        <w:t>29,26</w:t>
      </w:r>
      <w:r w:rsidRPr="00A4076A">
        <w:rPr>
          <w:rFonts w:ascii="Times New Roman" w:hAnsi="Times New Roman"/>
          <w:sz w:val="28"/>
          <w:szCs w:val="28"/>
          <w:lang w:val="uk-UA"/>
        </w:rPr>
        <w:t>%.</w:t>
      </w:r>
    </w:p>
    <w:p w14:paraId="6D29ABFB" w14:textId="77777777" w:rsidR="005C301E" w:rsidRDefault="005C301E" w:rsidP="005C301E">
      <w:pPr>
        <w:pStyle w:val="a4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Доходи від власної та підприємницької діяльності склали 98 137грн.,в т.ч. інші надходження за</w:t>
      </w:r>
      <w:r w:rsidRPr="00197B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2025 рік 98 137</w:t>
      </w:r>
      <w:r w:rsidRPr="00916F08">
        <w:rPr>
          <w:rFonts w:ascii="Times New Roman" w:hAnsi="Times New Roman"/>
          <w:sz w:val="28"/>
          <w:szCs w:val="28"/>
          <w:lang w:val="uk-UA"/>
        </w:rPr>
        <w:t>грн.</w:t>
      </w:r>
    </w:p>
    <w:p w14:paraId="72B7BA0F" w14:textId="77777777" w:rsidR="005C301E" w:rsidRPr="00564BB2" w:rsidRDefault="005C301E" w:rsidP="005C301E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69D7A6" w14:textId="77777777" w:rsidR="005C301E" w:rsidRPr="00DD524C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Надходження від рентної плати за спеціальне використання інших природних ресурсів у звітному періоді склали в обсязі 532 285 грн, або 0,88%  обсягу  доходів загального фонду (без урахування міжбюджетних трансферів).Порівняно з надходженнями за 2024 рік відбувся спад росту  на 39 583 грн та  виконання становить 93,08</w:t>
      </w:r>
      <w:r w:rsidRPr="00030D06">
        <w:rPr>
          <w:rFonts w:ascii="Times New Roman" w:hAnsi="Times New Roman"/>
          <w:sz w:val="28"/>
          <w:szCs w:val="28"/>
          <w:lang w:val="uk-UA"/>
        </w:rPr>
        <w:t>%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082BB12" w14:textId="77777777" w:rsidR="005C301E" w:rsidRPr="00562ECC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E27B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Надходження від внутрішніх податків на товари та послуги (акцизного податку на пальне, з реалізації роздрібної торгівлі підакцизних товарів) за 2025 рік складають 2 625 068грн., або 4,33% від обсягу надходжень загального фонду (без урахування міжбюджетних трансферів)</w:t>
      </w:r>
      <w:r w:rsidRPr="00D7280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Темп росту порівняно з надходженнями за 2024 рік </w:t>
      </w:r>
      <w:bookmarkStart w:id="0" w:name="_Hlk191643598"/>
      <w:r>
        <w:rPr>
          <w:rFonts w:ascii="Times New Roman" w:hAnsi="Times New Roman"/>
          <w:sz w:val="28"/>
          <w:szCs w:val="28"/>
          <w:lang w:val="uk-UA"/>
        </w:rPr>
        <w:t xml:space="preserve">збільшився на  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162 740 </w:t>
      </w:r>
      <w:r w:rsidRPr="00EC5FB9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rFonts w:ascii="Times New Roman" w:hAnsi="Times New Roman"/>
          <w:sz w:val="28"/>
          <w:szCs w:val="28"/>
          <w:lang w:val="uk-UA"/>
        </w:rPr>
        <w:t>рн., та становить 106,61</w:t>
      </w:r>
      <w:r w:rsidRPr="00030D06">
        <w:rPr>
          <w:rFonts w:ascii="Times New Roman" w:hAnsi="Times New Roman"/>
          <w:sz w:val="28"/>
          <w:szCs w:val="28"/>
          <w:lang w:val="uk-UA"/>
        </w:rPr>
        <w:t>%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24F6B1F" w14:textId="77777777" w:rsidR="005C301E" w:rsidRDefault="005C301E" w:rsidP="005C301E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Плата за надання адміністративних послуг у 2025 році надійшла в обсязі </w:t>
      </w:r>
    </w:p>
    <w:p w14:paraId="5BCD45F9" w14:textId="77777777" w:rsidR="005C301E" w:rsidRDefault="005C301E" w:rsidP="005C301E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784 461 грн., та складає 1,3% обсягу доходів загального фонду (без урахування міжбюджетних трансферів).</w:t>
      </w:r>
      <w:r w:rsidRPr="00D95DE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Темп росту порівняно з надходженнями за  2024 рік збільшився на 42 369 грн., та становить 105,71%.  </w:t>
      </w:r>
    </w:p>
    <w:p w14:paraId="6D0246C2" w14:textId="77777777" w:rsidR="005C301E" w:rsidRDefault="005C301E" w:rsidP="005C301E">
      <w:pPr>
        <w:pStyle w:val="a4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Податок на прибуток підприємств надійшов за 2025 рік в сумі  1020грн.</w:t>
      </w:r>
    </w:p>
    <w:p w14:paraId="0B61707F" w14:textId="77777777" w:rsidR="005C301E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Розмір державного мита сплаченого до бюджету громади за 2025 рік склав 650грн.</w:t>
      </w:r>
    </w:p>
    <w:p w14:paraId="342580E5" w14:textId="77777777" w:rsidR="005C301E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Надходження  до бюджету від орендної плати за користування водними об’єктами, що надаються у користування на умовах оренди місцевими радами  за</w:t>
      </w:r>
      <w:r w:rsidRPr="00197B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2025 рік склали 2 102 грн.</w:t>
      </w:r>
    </w:p>
    <w:p w14:paraId="1DCE92FB" w14:textId="77777777" w:rsidR="005C301E" w:rsidRDefault="005C301E" w:rsidP="005C301E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Інші неподаткові надходження складають 81 321грн.</w:t>
      </w:r>
    </w:p>
    <w:p w14:paraId="18E96D18" w14:textId="77777777" w:rsidR="005C301E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14:paraId="4E0AF740" w14:textId="77777777" w:rsidR="005C301E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За</w:t>
      </w:r>
      <w:r w:rsidRPr="00197B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2025 рік отримано офіційні трансферти до загального фонду бюджету Брацлавської селищної територіальної громади в сумі 37 370 784</w:t>
      </w:r>
      <w:r w:rsidRPr="00197B21">
        <w:rPr>
          <w:rFonts w:ascii="Times New Roman" w:hAnsi="Times New Roman"/>
          <w:sz w:val="28"/>
          <w:szCs w:val="28"/>
        </w:rPr>
        <w:t xml:space="preserve"> </w:t>
      </w:r>
      <w:r w:rsidRPr="00197B21">
        <w:rPr>
          <w:rFonts w:ascii="Times New Roman" w:hAnsi="Times New Roman"/>
          <w:sz w:val="28"/>
          <w:szCs w:val="28"/>
          <w:lang w:val="uk-UA"/>
        </w:rPr>
        <w:t>грн</w:t>
      </w:r>
      <w:r>
        <w:rPr>
          <w:rFonts w:ascii="Times New Roman" w:hAnsi="Times New Roman"/>
          <w:sz w:val="28"/>
          <w:szCs w:val="28"/>
          <w:lang w:val="uk-UA"/>
        </w:rPr>
        <w:t>., в т. ч.:</w:t>
      </w:r>
    </w:p>
    <w:p w14:paraId="15BC41AC" w14:textId="77777777" w:rsidR="005C301E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C81B49"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  <w:lang w:val="uk-UA"/>
        </w:rPr>
        <w:t xml:space="preserve">базової дотації – 11 224 100 </w:t>
      </w:r>
      <w:r w:rsidRPr="00C059B7">
        <w:rPr>
          <w:rFonts w:ascii="Times New Roman" w:hAnsi="Times New Roman"/>
          <w:sz w:val="28"/>
          <w:szCs w:val="28"/>
          <w:lang w:val="uk-UA"/>
        </w:rPr>
        <w:t>грн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C059B7">
        <w:rPr>
          <w:rFonts w:ascii="Times New Roman" w:hAnsi="Times New Roman"/>
          <w:sz w:val="28"/>
          <w:szCs w:val="28"/>
          <w:lang w:val="uk-UA"/>
        </w:rPr>
        <w:t>;</w:t>
      </w:r>
    </w:p>
    <w:p w14:paraId="72301AC7" w14:textId="77777777" w:rsidR="005C301E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субвенції з державного бюджету місцевим бюджетам в сумі – 26 023 826грн.:</w:t>
      </w:r>
    </w:p>
    <w:p w14:paraId="3A804672" w14:textId="77777777" w:rsidR="005C301E" w:rsidRDefault="005C301E" w:rsidP="005C301E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С</w:t>
      </w:r>
      <w:r w:rsidRPr="001817B7">
        <w:rPr>
          <w:rFonts w:ascii="Times New Roman" w:hAnsi="Times New Roman"/>
          <w:i/>
          <w:iCs/>
          <w:sz w:val="28"/>
          <w:szCs w:val="28"/>
          <w:lang w:val="uk-UA"/>
        </w:rPr>
        <w:t>убвенція з державного бюджету місцевим бюджетам на забезпечення харчуванням учнів початкових класів закладів загальної середньої освіти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– 479 400грн., з яких повернуто до державного бюджету 205 334грн.</w:t>
      </w:r>
    </w:p>
    <w:p w14:paraId="661B4A85" w14:textId="77777777" w:rsidR="005C301E" w:rsidRDefault="005C301E" w:rsidP="005C301E">
      <w:pPr>
        <w:pStyle w:val="a4"/>
        <w:ind w:left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962AD3">
        <w:rPr>
          <w:rFonts w:ascii="Times New Roman" w:hAnsi="Times New Roman"/>
          <w:i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i/>
          <w:sz w:val="28"/>
          <w:szCs w:val="28"/>
          <w:lang w:val="uk-UA"/>
        </w:rPr>
        <w:t>О</w:t>
      </w:r>
      <w:r w:rsidRPr="00962AD3">
        <w:rPr>
          <w:rFonts w:ascii="Times New Roman" w:hAnsi="Times New Roman"/>
          <w:i/>
          <w:sz w:val="28"/>
          <w:szCs w:val="28"/>
          <w:lang w:val="uk-UA"/>
        </w:rPr>
        <w:t xml:space="preserve">світня субвенція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з державного бюджету місцевим бюджетам </w:t>
      </w:r>
      <w:r w:rsidRPr="00962AD3">
        <w:rPr>
          <w:rFonts w:ascii="Times New Roman" w:hAnsi="Times New Roman"/>
          <w:i/>
          <w:sz w:val="28"/>
          <w:szCs w:val="28"/>
          <w:lang w:val="uk-UA"/>
        </w:rPr>
        <w:t>–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22 497 300 грн.;</w:t>
      </w:r>
    </w:p>
    <w:p w14:paraId="4006B89E" w14:textId="77777777" w:rsidR="005C301E" w:rsidRDefault="005C301E" w:rsidP="005C301E">
      <w:pPr>
        <w:pStyle w:val="a4"/>
        <w:ind w:left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- </w:t>
      </w:r>
      <w:r w:rsidRPr="002174ED">
        <w:rPr>
          <w:rFonts w:ascii="Times New Roman" w:hAnsi="Times New Roman"/>
          <w:i/>
          <w:sz w:val="28"/>
          <w:szCs w:val="28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28 000грн.;</w:t>
      </w:r>
    </w:p>
    <w:p w14:paraId="5CE5593E" w14:textId="77777777" w:rsidR="005C301E" w:rsidRDefault="005C301E" w:rsidP="005C301E">
      <w:pPr>
        <w:pStyle w:val="a4"/>
        <w:ind w:left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-</w:t>
      </w:r>
      <w:r w:rsidRPr="002174ED">
        <w:rPr>
          <w:lang w:val="uk-UA"/>
        </w:rPr>
        <w:t xml:space="preserve"> </w:t>
      </w:r>
      <w:r w:rsidRPr="002174ED">
        <w:rPr>
          <w:rFonts w:ascii="Times New Roman" w:hAnsi="Times New Roman"/>
          <w:i/>
          <w:sz w:val="28"/>
          <w:szCs w:val="28"/>
          <w:lang w:val="uk-UA"/>
        </w:rPr>
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- 507 200грн.,з яких було повернуто до державного бюджету 9 455грн.;</w:t>
      </w:r>
    </w:p>
    <w:p w14:paraId="659D832D" w14:textId="77777777" w:rsidR="005C301E" w:rsidRDefault="005C301E" w:rsidP="005C301E">
      <w:pPr>
        <w:pStyle w:val="a4"/>
        <w:ind w:left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- </w:t>
      </w:r>
      <w:r w:rsidRPr="002174ED">
        <w:rPr>
          <w:rFonts w:ascii="Times New Roman" w:hAnsi="Times New Roman"/>
          <w:i/>
          <w:sz w:val="28"/>
          <w:szCs w:val="28"/>
          <w:lang w:val="uk-UA"/>
        </w:rPr>
        <w:t>Субвенція з державного бюджету місцевим бюджетам на здійснення доплат педагогічним працівникам закладів загальної середньої освіти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2 979 800грн., з яких було повернуто до державного бюджету 253 084грн.</w:t>
      </w:r>
    </w:p>
    <w:p w14:paraId="66BE4583" w14:textId="77777777" w:rsidR="005C301E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субвенції з місцевих бюджетів іншим місцевим бюджетам – 122 858 грн., в т. ч.:</w:t>
      </w:r>
    </w:p>
    <w:p w14:paraId="2C7DAF92" w14:textId="77777777" w:rsidR="005C301E" w:rsidRDefault="005C301E" w:rsidP="005C301E">
      <w:pPr>
        <w:pStyle w:val="a4"/>
        <w:ind w:left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C96820">
        <w:rPr>
          <w:rFonts w:ascii="Times New Roman" w:hAnsi="Times New Roman"/>
          <w:i/>
          <w:sz w:val="28"/>
          <w:szCs w:val="28"/>
          <w:lang w:val="uk-UA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 w:rsidRPr="00E23A2E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i/>
          <w:sz w:val="28"/>
          <w:szCs w:val="28"/>
          <w:lang w:val="uk-UA"/>
        </w:rPr>
        <w:t>122 858</w:t>
      </w:r>
      <w:r w:rsidRPr="00E23A2E">
        <w:rPr>
          <w:rFonts w:ascii="Times New Roman" w:hAnsi="Times New Roman"/>
          <w:i/>
          <w:sz w:val="28"/>
          <w:szCs w:val="28"/>
          <w:lang w:val="uk-UA"/>
        </w:rPr>
        <w:t xml:space="preserve"> грн</w:t>
      </w:r>
      <w:r>
        <w:rPr>
          <w:rFonts w:ascii="Times New Roman" w:hAnsi="Times New Roman"/>
          <w:i/>
          <w:sz w:val="28"/>
          <w:szCs w:val="28"/>
          <w:lang w:val="uk-UA"/>
        </w:rPr>
        <w:t>.;</w:t>
      </w:r>
    </w:p>
    <w:p w14:paraId="6CC54CFA" w14:textId="77777777" w:rsidR="005C301E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2703F6" w14:textId="77777777" w:rsidR="005C301E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</w:t>
      </w:r>
      <w:r w:rsidRPr="009E60C1">
        <w:rPr>
          <w:rFonts w:ascii="Times New Roman" w:hAnsi="Times New Roman"/>
          <w:sz w:val="28"/>
          <w:szCs w:val="28"/>
          <w:lang w:val="uk-UA"/>
        </w:rPr>
        <w:t>Дохідна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0C1">
        <w:rPr>
          <w:rFonts w:ascii="Times New Roman" w:hAnsi="Times New Roman"/>
          <w:sz w:val="28"/>
          <w:szCs w:val="28"/>
          <w:lang w:val="uk-UA"/>
        </w:rPr>
        <w:t>частина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0C1">
        <w:rPr>
          <w:rFonts w:ascii="Times New Roman" w:hAnsi="Times New Roman"/>
          <w:sz w:val="28"/>
          <w:szCs w:val="28"/>
          <w:lang w:val="uk-UA"/>
        </w:rPr>
        <w:t xml:space="preserve">спеціального фонду </w:t>
      </w:r>
      <w:r>
        <w:rPr>
          <w:rFonts w:ascii="Times New Roman" w:hAnsi="Times New Roman"/>
          <w:sz w:val="28"/>
          <w:szCs w:val="28"/>
          <w:lang w:val="uk-UA"/>
        </w:rPr>
        <w:t>за</w:t>
      </w:r>
      <w:r w:rsidRPr="00197B2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2025 рік </w:t>
      </w:r>
      <w:r w:rsidRPr="009E60C1">
        <w:rPr>
          <w:rFonts w:ascii="Times New Roman" w:hAnsi="Times New Roman"/>
          <w:sz w:val="28"/>
          <w:szCs w:val="28"/>
          <w:lang w:val="uk-UA"/>
        </w:rPr>
        <w:t xml:space="preserve">виконана в сумі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4 131 286 </w:t>
      </w:r>
      <w:r w:rsidRPr="00197B21">
        <w:rPr>
          <w:rFonts w:ascii="Times New Roman" w:hAnsi="Times New Roman"/>
          <w:sz w:val="28"/>
          <w:szCs w:val="28"/>
          <w:u w:val="single"/>
          <w:lang w:val="uk-UA"/>
        </w:rPr>
        <w:t xml:space="preserve"> грн.,</w:t>
      </w:r>
      <w:r w:rsidRPr="00197B21">
        <w:rPr>
          <w:rFonts w:ascii="Times New Roman" w:hAnsi="Times New Roman"/>
          <w:sz w:val="28"/>
          <w:szCs w:val="28"/>
          <w:lang w:val="uk-UA"/>
        </w:rPr>
        <w:t xml:space="preserve"> в</w:t>
      </w:r>
      <w:r w:rsidRPr="009E60C1">
        <w:rPr>
          <w:rFonts w:ascii="Times New Roman" w:hAnsi="Times New Roman"/>
          <w:sz w:val="28"/>
          <w:szCs w:val="28"/>
          <w:lang w:val="uk-UA"/>
        </w:rPr>
        <w:t xml:space="preserve"> 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E60C1">
        <w:rPr>
          <w:rFonts w:ascii="Times New Roman" w:hAnsi="Times New Roman"/>
          <w:sz w:val="28"/>
          <w:szCs w:val="28"/>
          <w:lang w:val="uk-UA"/>
        </w:rPr>
        <w:t xml:space="preserve">ч. </w:t>
      </w:r>
      <w:r>
        <w:rPr>
          <w:rFonts w:ascii="Times New Roman" w:hAnsi="Times New Roman"/>
          <w:sz w:val="28"/>
          <w:szCs w:val="28"/>
          <w:lang w:val="uk-UA"/>
        </w:rPr>
        <w:t>доходи спеціального фонду (без урахування трансферів)</w:t>
      </w:r>
      <w:r w:rsidRPr="009E60C1">
        <w:rPr>
          <w:rFonts w:ascii="Times New Roman" w:hAnsi="Times New Roman"/>
          <w:sz w:val="28"/>
          <w:szCs w:val="28"/>
          <w:lang w:val="uk-UA"/>
        </w:rPr>
        <w:t xml:space="preserve"> в сумі</w:t>
      </w:r>
      <w:r>
        <w:rPr>
          <w:rFonts w:ascii="Times New Roman" w:hAnsi="Times New Roman"/>
          <w:sz w:val="28"/>
          <w:szCs w:val="28"/>
          <w:lang w:val="uk-UA"/>
        </w:rPr>
        <w:t xml:space="preserve"> 4 108 586 </w:t>
      </w:r>
      <w:r w:rsidRPr="009E60C1">
        <w:rPr>
          <w:rFonts w:ascii="Times New Roman" w:hAnsi="Times New Roman"/>
          <w:sz w:val="28"/>
          <w:szCs w:val="28"/>
          <w:lang w:val="uk-UA"/>
        </w:rPr>
        <w:t>грн</w:t>
      </w:r>
      <w:r>
        <w:rPr>
          <w:rFonts w:ascii="Times New Roman" w:hAnsi="Times New Roman"/>
          <w:sz w:val="28"/>
          <w:szCs w:val="28"/>
          <w:lang w:val="uk-UA"/>
        </w:rPr>
        <w:t xml:space="preserve">.,  екологічний податок – 12 153 грн., 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 – 22 150 грн., кошти від продажу земельних ділянок несільськогосподарського призначення – 110 750 грн., кошти від викупу земельних ділянок </w:t>
      </w:r>
      <w:r w:rsidRPr="00794E15">
        <w:rPr>
          <w:rFonts w:ascii="Times New Roman" w:hAnsi="Times New Roman"/>
          <w:sz w:val="28"/>
          <w:szCs w:val="28"/>
          <w:lang w:val="uk-UA"/>
        </w:rPr>
        <w:t>сільськогосподарського призначення</w:t>
      </w:r>
      <w:r>
        <w:rPr>
          <w:rFonts w:ascii="Times New Roman" w:hAnsi="Times New Roman"/>
          <w:sz w:val="28"/>
          <w:szCs w:val="28"/>
          <w:lang w:val="uk-UA"/>
        </w:rPr>
        <w:t xml:space="preserve"> – 1 563 941 грн.</w:t>
      </w:r>
    </w:p>
    <w:p w14:paraId="3BCFD8FF" w14:textId="77777777" w:rsidR="005C301E" w:rsidRDefault="005C301E" w:rsidP="005C301E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Власні надходження бюджетних установ складають 2 399 590грн., в тому числі благодійні внески, гранти та дарунки – 813 013грн.,надходження що отримують </w:t>
      </w:r>
      <w:r w:rsidRPr="00C3059D">
        <w:rPr>
          <w:rFonts w:ascii="Times New Roman" w:hAnsi="Times New Roman"/>
          <w:sz w:val="28"/>
          <w:szCs w:val="28"/>
          <w:lang w:val="uk-UA"/>
        </w:rPr>
        <w:t>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</w:t>
      </w:r>
      <w:r>
        <w:rPr>
          <w:rFonts w:ascii="Times New Roman" w:hAnsi="Times New Roman"/>
          <w:sz w:val="28"/>
          <w:szCs w:val="28"/>
          <w:lang w:val="uk-UA"/>
        </w:rPr>
        <w:t xml:space="preserve"> – 634 861грн.</w:t>
      </w:r>
    </w:p>
    <w:p w14:paraId="2FC4864E" w14:textId="77777777" w:rsidR="005C301E" w:rsidRPr="00C3059D" w:rsidRDefault="005C301E" w:rsidP="005C301E">
      <w:p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5B6659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</w:t>
      </w:r>
      <w:r w:rsidRPr="002F42F8">
        <w:rPr>
          <w:rFonts w:ascii="Times New Roman" w:hAnsi="Times New Roman"/>
          <w:sz w:val="28"/>
          <w:szCs w:val="28"/>
          <w:lang w:val="uk-UA"/>
        </w:rPr>
        <w:t>Видатки загального та спеціального фонду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1DA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>
        <w:rPr>
          <w:rFonts w:ascii="Times New Roman" w:hAnsi="Times New Roman"/>
          <w:sz w:val="28"/>
          <w:szCs w:val="28"/>
          <w:lang w:val="uk-UA"/>
        </w:rPr>
        <w:t>Брацлав</w:t>
      </w:r>
      <w:r w:rsidRPr="001C51DA">
        <w:rPr>
          <w:rFonts w:ascii="Times New Roman" w:hAnsi="Times New Roman"/>
          <w:sz w:val="28"/>
          <w:szCs w:val="28"/>
          <w:lang w:val="uk-UA"/>
        </w:rPr>
        <w:t>ської</w:t>
      </w:r>
      <w:r>
        <w:rPr>
          <w:rFonts w:ascii="Times New Roman" w:hAnsi="Times New Roman"/>
          <w:sz w:val="28"/>
          <w:szCs w:val="28"/>
          <w:lang w:val="uk-UA"/>
        </w:rPr>
        <w:t xml:space="preserve"> селищної </w:t>
      </w:r>
      <w:r w:rsidRPr="001C51DA">
        <w:rPr>
          <w:rFonts w:ascii="Times New Roman" w:hAnsi="Times New Roman"/>
          <w:sz w:val="28"/>
          <w:szCs w:val="28"/>
          <w:lang w:val="uk-UA"/>
        </w:rPr>
        <w:t>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51DA">
        <w:rPr>
          <w:rFonts w:ascii="Times New Roman" w:hAnsi="Times New Roman"/>
          <w:sz w:val="28"/>
          <w:szCs w:val="28"/>
          <w:lang w:val="uk-UA"/>
        </w:rPr>
        <w:t>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Pr="006D3F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2025 рік </w:t>
      </w:r>
      <w:r w:rsidRPr="001C51DA">
        <w:rPr>
          <w:rFonts w:ascii="Times New Roman" w:hAnsi="Times New Roman"/>
          <w:sz w:val="28"/>
          <w:szCs w:val="28"/>
          <w:lang w:val="uk-UA"/>
        </w:rPr>
        <w:t>склали</w:t>
      </w:r>
      <w:r>
        <w:rPr>
          <w:rFonts w:ascii="Times New Roman" w:hAnsi="Times New Roman"/>
          <w:sz w:val="28"/>
          <w:szCs w:val="28"/>
          <w:lang w:val="uk-UA"/>
        </w:rPr>
        <w:t xml:space="preserve"> 103 983 128 </w:t>
      </w:r>
      <w:r w:rsidRPr="00A16832">
        <w:rPr>
          <w:rFonts w:ascii="Times New Roman" w:hAnsi="Times New Roman"/>
          <w:sz w:val="28"/>
          <w:szCs w:val="28"/>
          <w:lang w:val="uk-UA"/>
        </w:rPr>
        <w:t>грн., з них :</w:t>
      </w:r>
      <w:r w:rsidRPr="00A168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A16832">
        <w:rPr>
          <w:rFonts w:ascii="Times New Roman" w:hAnsi="Times New Roman"/>
          <w:b/>
          <w:i/>
          <w:sz w:val="28"/>
          <w:szCs w:val="28"/>
          <w:lang w:val="uk-UA"/>
        </w:rPr>
        <w:t>загального фонду бюджету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93 998 296 грн.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, що становить </w:t>
      </w:r>
      <w:r>
        <w:rPr>
          <w:rFonts w:ascii="Times New Roman" w:hAnsi="Times New Roman"/>
          <w:sz w:val="28"/>
          <w:szCs w:val="28"/>
          <w:lang w:val="uk-UA"/>
        </w:rPr>
        <w:t xml:space="preserve">98,99% 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 від уточненого планового показника відповідного періоду ;</w:t>
      </w:r>
      <w:r w:rsidRPr="00A16832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Pr="00A16832">
        <w:rPr>
          <w:rFonts w:ascii="Times New Roman" w:hAnsi="Times New Roman"/>
          <w:b/>
          <w:i/>
          <w:sz w:val="28"/>
          <w:szCs w:val="28"/>
          <w:lang w:val="uk-UA"/>
        </w:rPr>
        <w:t>спеціального  фонду бюджету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sz w:val="28"/>
          <w:szCs w:val="28"/>
          <w:lang w:val="uk-UA"/>
        </w:rPr>
        <w:t xml:space="preserve"> 9 984 832 грн., що становить 94,92</w:t>
      </w:r>
      <w:r w:rsidRPr="009375C8">
        <w:rPr>
          <w:rFonts w:ascii="Times New Roman" w:hAnsi="Times New Roman"/>
          <w:sz w:val="28"/>
          <w:szCs w:val="28"/>
          <w:lang w:val="uk-UA"/>
        </w:rPr>
        <w:t>%  від уточненого планового показника відповідного періоду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16125BF" w14:textId="77777777" w:rsidR="005C301E" w:rsidRPr="00A16832" w:rsidRDefault="005C301E" w:rsidP="005C301E">
      <w:p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A16832">
        <w:rPr>
          <w:rFonts w:ascii="Times New Roman" w:hAnsi="Times New Roman"/>
          <w:sz w:val="28"/>
          <w:szCs w:val="28"/>
          <w:lang w:val="uk-UA"/>
        </w:rPr>
        <w:t xml:space="preserve">     За економічною класифікацією касові видатки (загального та спеціального фонду ) розподілились на :</w:t>
      </w:r>
    </w:p>
    <w:p w14:paraId="26F1C7D6" w14:textId="77777777" w:rsidR="005C301E" w:rsidRPr="00A16832" w:rsidRDefault="005C301E" w:rsidP="005C301E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16832">
        <w:rPr>
          <w:rFonts w:ascii="Times New Roman" w:hAnsi="Times New Roman"/>
          <w:sz w:val="28"/>
          <w:szCs w:val="28"/>
          <w:lang w:val="uk-UA"/>
        </w:rPr>
        <w:t xml:space="preserve">заробітна плата з нарахуваннями  всіх установ </w:t>
      </w:r>
      <w:r w:rsidRPr="00A16832">
        <w:rPr>
          <w:rFonts w:ascii="Times New Roman" w:hAnsi="Times New Roman"/>
          <w:i/>
          <w:sz w:val="28"/>
          <w:szCs w:val="28"/>
          <w:lang w:val="uk-UA"/>
        </w:rPr>
        <w:t xml:space="preserve">( загальноосвітні </w:t>
      </w:r>
    </w:p>
    <w:p w14:paraId="248C201B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 w:rsidRPr="00A16832">
        <w:rPr>
          <w:rFonts w:ascii="Times New Roman" w:hAnsi="Times New Roman"/>
          <w:i/>
          <w:sz w:val="28"/>
          <w:szCs w:val="28"/>
          <w:lang w:val="uk-UA"/>
        </w:rPr>
        <w:t xml:space="preserve">заклади , дошкільні заклади , заклади культури , бібліотеки , державне управління , установи 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соціального </w:t>
      </w:r>
      <w:r w:rsidRPr="00A16832">
        <w:rPr>
          <w:rFonts w:ascii="Times New Roman" w:hAnsi="Times New Roman"/>
          <w:i/>
          <w:sz w:val="28"/>
          <w:szCs w:val="28"/>
          <w:lang w:val="uk-UA"/>
        </w:rPr>
        <w:t>захисту , тощо)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>66 309 221 грн. (в тому числі: 65 814 021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/>
          <w:sz w:val="28"/>
          <w:szCs w:val="28"/>
          <w:lang w:val="uk-UA"/>
        </w:rPr>
        <w:t xml:space="preserve"> та – 495 200 грн. спеціального фонду) </w:t>
      </w:r>
      <w:r w:rsidRPr="009042A5"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9B4A82">
        <w:rPr>
          <w:rFonts w:ascii="Times New Roman" w:hAnsi="Times New Roman"/>
          <w:sz w:val="28"/>
          <w:szCs w:val="28"/>
          <w:lang w:val="uk-UA"/>
        </w:rPr>
        <w:t>63,77</w:t>
      </w:r>
      <w:r>
        <w:rPr>
          <w:rFonts w:ascii="Times New Roman" w:hAnsi="Times New Roman"/>
          <w:sz w:val="28"/>
          <w:szCs w:val="28"/>
          <w:lang w:val="uk-UA"/>
        </w:rPr>
        <w:t xml:space="preserve"> %</w:t>
      </w:r>
      <w:r w:rsidRPr="009042A5">
        <w:rPr>
          <w:rFonts w:ascii="Times New Roman" w:hAnsi="Times New Roman"/>
          <w:sz w:val="28"/>
          <w:szCs w:val="28"/>
          <w:lang w:val="uk-UA"/>
        </w:rPr>
        <w:t xml:space="preserve"> від загального обсягу </w:t>
      </w:r>
      <w:r>
        <w:rPr>
          <w:rFonts w:ascii="Times New Roman" w:hAnsi="Times New Roman"/>
          <w:sz w:val="28"/>
          <w:szCs w:val="28"/>
          <w:lang w:val="uk-UA"/>
        </w:rPr>
        <w:t>видатків бюджету громади</w:t>
      </w:r>
      <w:r w:rsidRPr="00A16832">
        <w:rPr>
          <w:rFonts w:ascii="Times New Roman" w:hAnsi="Times New Roman"/>
          <w:sz w:val="28"/>
          <w:szCs w:val="28"/>
          <w:lang w:val="uk-UA"/>
        </w:rPr>
        <w:t>;</w:t>
      </w:r>
    </w:p>
    <w:p w14:paraId="2EB86A9A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- предмети, матеріали, обладнання та інвентар -</w:t>
      </w:r>
      <w:r>
        <w:rPr>
          <w:rFonts w:ascii="Times New Roman" w:hAnsi="Times New Roman"/>
          <w:sz w:val="28"/>
          <w:szCs w:val="28"/>
          <w:lang w:val="uk-UA"/>
        </w:rPr>
        <w:t xml:space="preserve">  3 174 514 грн. (в тому числі: 3 020 475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/>
          <w:sz w:val="28"/>
          <w:szCs w:val="28"/>
          <w:lang w:val="uk-UA"/>
        </w:rPr>
        <w:t xml:space="preserve"> та – 154 039 грн. спеціального фонду)</w:t>
      </w:r>
      <w:r w:rsidRPr="00927443">
        <w:t xml:space="preserve"> </w:t>
      </w:r>
      <w:r w:rsidRPr="00927443">
        <w:rPr>
          <w:rFonts w:ascii="Times New Roman" w:hAnsi="Times New Roman"/>
          <w:sz w:val="28"/>
          <w:szCs w:val="28"/>
          <w:lang w:val="uk-UA"/>
        </w:rPr>
        <w:t xml:space="preserve">або </w:t>
      </w:r>
      <w:r>
        <w:rPr>
          <w:rFonts w:ascii="Times New Roman" w:hAnsi="Times New Roman"/>
          <w:sz w:val="28"/>
          <w:szCs w:val="28"/>
          <w:lang w:val="uk-UA"/>
        </w:rPr>
        <w:t>3,05</w:t>
      </w:r>
      <w:r w:rsidRPr="00927443">
        <w:rPr>
          <w:rFonts w:ascii="Times New Roman" w:hAnsi="Times New Roman"/>
          <w:sz w:val="28"/>
          <w:szCs w:val="28"/>
          <w:lang w:val="uk-UA"/>
        </w:rPr>
        <w:t xml:space="preserve"> % від загального обсягу видатків бюджету громади</w:t>
      </w:r>
      <w:r>
        <w:rPr>
          <w:rFonts w:ascii="Times New Roman" w:hAnsi="Times New Roman"/>
          <w:sz w:val="28"/>
          <w:szCs w:val="28"/>
          <w:lang w:val="uk-UA"/>
        </w:rPr>
        <w:t>;                                                                                                                                           -  медикаменти  та перев’язувальні матеріали – 20 287 грн. (в тому числі: 20 287 грн. загального фонду);</w:t>
      </w:r>
    </w:p>
    <w:p w14:paraId="73DE51A9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продукти харчування –  3 033 325 </w:t>
      </w:r>
      <w:r w:rsidRPr="00B43FC3">
        <w:rPr>
          <w:rFonts w:ascii="Times New Roman" w:hAnsi="Times New Roman"/>
          <w:sz w:val="28"/>
          <w:szCs w:val="28"/>
          <w:lang w:val="uk-UA"/>
        </w:rPr>
        <w:t>грн.(</w:t>
      </w:r>
      <w:r>
        <w:rPr>
          <w:rFonts w:ascii="Times New Roman" w:hAnsi="Times New Roman"/>
          <w:sz w:val="28"/>
          <w:szCs w:val="28"/>
          <w:lang w:val="uk-UA"/>
        </w:rPr>
        <w:t>в тому числі: загального фонду – 1 615 190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/>
          <w:sz w:val="28"/>
          <w:szCs w:val="28"/>
          <w:lang w:val="uk-UA"/>
        </w:rPr>
        <w:t xml:space="preserve">, спеціального фонду –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1 418 135 </w:t>
      </w:r>
      <w:r w:rsidRPr="00E1106C">
        <w:rPr>
          <w:rFonts w:ascii="Times New Roman" w:hAnsi="Times New Roman"/>
          <w:color w:val="000000" w:themeColor="text1"/>
          <w:sz w:val="28"/>
          <w:szCs w:val="28"/>
          <w:lang w:val="uk-UA"/>
        </w:rPr>
        <w:t>грн.),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39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42A5"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927443">
        <w:rPr>
          <w:rFonts w:ascii="Times New Roman" w:hAnsi="Times New Roman"/>
          <w:sz w:val="28"/>
          <w:szCs w:val="28"/>
          <w:lang w:val="uk-UA"/>
        </w:rPr>
        <w:t>2,92</w:t>
      </w:r>
      <w:r>
        <w:rPr>
          <w:rFonts w:ascii="Times New Roman" w:hAnsi="Times New Roman"/>
          <w:sz w:val="28"/>
          <w:szCs w:val="28"/>
          <w:lang w:val="uk-UA"/>
        </w:rPr>
        <w:t xml:space="preserve"> %</w:t>
      </w:r>
      <w:r w:rsidRPr="009042A5">
        <w:rPr>
          <w:rFonts w:ascii="Times New Roman" w:hAnsi="Times New Roman"/>
          <w:sz w:val="28"/>
          <w:szCs w:val="28"/>
          <w:lang w:val="uk-UA"/>
        </w:rPr>
        <w:t xml:space="preserve"> від загального обсягу </w:t>
      </w:r>
      <w:r>
        <w:rPr>
          <w:rFonts w:ascii="Times New Roman" w:hAnsi="Times New Roman"/>
          <w:sz w:val="28"/>
          <w:szCs w:val="28"/>
          <w:lang w:val="uk-UA"/>
        </w:rPr>
        <w:t>видатків бюджету громади</w:t>
      </w:r>
      <w:r w:rsidRPr="00A16832">
        <w:rPr>
          <w:rFonts w:ascii="Times New Roman" w:hAnsi="Times New Roman"/>
          <w:sz w:val="28"/>
          <w:szCs w:val="28"/>
          <w:lang w:val="uk-UA"/>
        </w:rPr>
        <w:t>;</w:t>
      </w:r>
    </w:p>
    <w:p w14:paraId="32EFB7AE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оплата послуг (крім комунальних) – 2 320 475 грн.(в тому числі : загального фонду – 2 265 245грн., спеціального фонду – 55 230грн.)</w:t>
      </w:r>
      <w:r w:rsidRPr="00610E8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42A5">
        <w:rPr>
          <w:rFonts w:ascii="Times New Roman" w:hAnsi="Times New Roman"/>
          <w:sz w:val="28"/>
          <w:szCs w:val="28"/>
          <w:lang w:val="uk-UA"/>
        </w:rPr>
        <w:t xml:space="preserve">або </w:t>
      </w:r>
      <w:r>
        <w:rPr>
          <w:rFonts w:ascii="Times New Roman" w:hAnsi="Times New Roman"/>
          <w:sz w:val="28"/>
          <w:szCs w:val="28"/>
          <w:lang w:val="uk-UA"/>
        </w:rPr>
        <w:t xml:space="preserve">2,23% </w:t>
      </w:r>
      <w:r w:rsidRPr="009042A5">
        <w:rPr>
          <w:rFonts w:ascii="Times New Roman" w:hAnsi="Times New Roman"/>
          <w:sz w:val="28"/>
          <w:szCs w:val="28"/>
          <w:lang w:val="uk-UA"/>
        </w:rPr>
        <w:t xml:space="preserve"> від загального обсягу </w:t>
      </w:r>
      <w:r>
        <w:rPr>
          <w:rFonts w:ascii="Times New Roman" w:hAnsi="Times New Roman"/>
          <w:sz w:val="28"/>
          <w:szCs w:val="28"/>
          <w:lang w:val="uk-UA"/>
        </w:rPr>
        <w:t>видатків бюджету громади</w:t>
      </w:r>
      <w:r w:rsidRPr="00A16832">
        <w:rPr>
          <w:rFonts w:ascii="Times New Roman" w:hAnsi="Times New Roman"/>
          <w:sz w:val="28"/>
          <w:szCs w:val="28"/>
          <w:lang w:val="uk-UA"/>
        </w:rPr>
        <w:t>;</w:t>
      </w:r>
    </w:p>
    <w:p w14:paraId="31666EA5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видатки на відрядження – 89 869грн. (в тому числі: 89 869 грн. загального фонду);</w:t>
      </w:r>
    </w:p>
    <w:p w14:paraId="41AF8104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-  комунальні послуги та енергоносії – 4 206 099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/>
          <w:sz w:val="28"/>
          <w:szCs w:val="28"/>
          <w:lang w:val="uk-UA"/>
        </w:rPr>
        <w:t xml:space="preserve">, (в тому числі: загального фонду – 4 152 515 грн., спеціального фонду – 53 584 </w:t>
      </w:r>
      <w:r w:rsidRPr="00E1106C">
        <w:rPr>
          <w:rFonts w:ascii="Times New Roman" w:hAnsi="Times New Roman"/>
          <w:sz w:val="28"/>
          <w:szCs w:val="28"/>
          <w:lang w:val="uk-UA"/>
        </w:rPr>
        <w:t>грн</w:t>
      </w:r>
      <w:r>
        <w:rPr>
          <w:rFonts w:ascii="Times New Roman" w:hAnsi="Times New Roman"/>
          <w:sz w:val="28"/>
          <w:szCs w:val="28"/>
          <w:lang w:val="uk-UA"/>
        </w:rPr>
        <w:t xml:space="preserve">.,) </w:t>
      </w:r>
      <w:r w:rsidRPr="004F39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42A5"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927443">
        <w:rPr>
          <w:rFonts w:ascii="Times New Roman" w:hAnsi="Times New Roman"/>
          <w:sz w:val="28"/>
          <w:szCs w:val="28"/>
          <w:lang w:val="uk-UA"/>
        </w:rPr>
        <w:t>4,04</w:t>
      </w:r>
      <w:r>
        <w:rPr>
          <w:rFonts w:ascii="Times New Roman" w:hAnsi="Times New Roman"/>
          <w:sz w:val="28"/>
          <w:szCs w:val="28"/>
          <w:lang w:val="uk-UA"/>
        </w:rPr>
        <w:t xml:space="preserve">% </w:t>
      </w:r>
      <w:r w:rsidRPr="009042A5">
        <w:rPr>
          <w:rFonts w:ascii="Times New Roman" w:hAnsi="Times New Roman"/>
          <w:sz w:val="28"/>
          <w:szCs w:val="28"/>
          <w:lang w:val="uk-UA"/>
        </w:rPr>
        <w:t xml:space="preserve"> від загального обсягу </w:t>
      </w:r>
      <w:r>
        <w:rPr>
          <w:rFonts w:ascii="Times New Roman" w:hAnsi="Times New Roman"/>
          <w:sz w:val="28"/>
          <w:szCs w:val="28"/>
          <w:lang w:val="uk-UA"/>
        </w:rPr>
        <w:t>видатків бюджету громади</w:t>
      </w:r>
      <w:r w:rsidRPr="00A16832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610E8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-  інші виплати населенню – 1 525 301</w:t>
      </w:r>
      <w:r w:rsidRPr="00A16832">
        <w:rPr>
          <w:rFonts w:ascii="Times New Roman" w:hAnsi="Times New Roman"/>
          <w:sz w:val="28"/>
          <w:szCs w:val="28"/>
          <w:lang w:val="uk-UA"/>
        </w:rPr>
        <w:t>грн.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4F39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27443">
        <w:rPr>
          <w:rFonts w:ascii="Times New Roman" w:hAnsi="Times New Roman"/>
          <w:sz w:val="28"/>
          <w:szCs w:val="28"/>
          <w:lang w:val="uk-UA"/>
        </w:rPr>
        <w:t>або 1,</w:t>
      </w:r>
      <w:r>
        <w:rPr>
          <w:rFonts w:ascii="Times New Roman" w:hAnsi="Times New Roman"/>
          <w:sz w:val="28"/>
          <w:szCs w:val="28"/>
          <w:lang w:val="uk-UA"/>
        </w:rPr>
        <w:t>47%</w:t>
      </w:r>
      <w:r w:rsidRPr="009042A5">
        <w:rPr>
          <w:rFonts w:ascii="Times New Roman" w:hAnsi="Times New Roman"/>
          <w:sz w:val="28"/>
          <w:szCs w:val="28"/>
          <w:lang w:val="uk-UA"/>
        </w:rPr>
        <w:t xml:space="preserve"> від загального обсягу </w:t>
      </w:r>
      <w:r>
        <w:rPr>
          <w:rFonts w:ascii="Times New Roman" w:hAnsi="Times New Roman"/>
          <w:sz w:val="28"/>
          <w:szCs w:val="28"/>
          <w:lang w:val="uk-UA"/>
        </w:rPr>
        <w:t>видатків бюджету громади</w:t>
      </w:r>
      <w:r w:rsidRPr="00A16832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F53E77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о</w:t>
      </w:r>
      <w:r w:rsidRPr="0056749A">
        <w:rPr>
          <w:rFonts w:ascii="Times New Roman" w:hAnsi="Times New Roman"/>
          <w:sz w:val="28"/>
          <w:szCs w:val="28"/>
          <w:lang w:val="uk-UA"/>
        </w:rPr>
        <w:t>кремі заходи по реалізації державних (регіональних) програм, не віднесені до заходів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– 18 850 грн.</w:t>
      </w:r>
      <w:r w:rsidRPr="00610E8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(в тому числі: 18 850 грн. загального фонду);</w:t>
      </w:r>
    </w:p>
    <w:p w14:paraId="4F69FDB2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інші поточні видатки – 197 438грн.</w:t>
      </w:r>
      <w:r w:rsidRPr="005674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(в тому числі: 197 438 грн. загального фонду);</w:t>
      </w:r>
    </w:p>
    <w:p w14:paraId="303684C9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 </w:t>
      </w:r>
      <w:r w:rsidRPr="00A16832">
        <w:rPr>
          <w:rFonts w:ascii="Times New Roman" w:hAnsi="Times New Roman"/>
          <w:sz w:val="28"/>
          <w:szCs w:val="28"/>
          <w:lang w:val="uk-UA"/>
        </w:rPr>
        <w:t>субсидії та поточні трансферти підприємствам (установам)</w:t>
      </w:r>
      <w:r>
        <w:rPr>
          <w:rFonts w:ascii="Times New Roman" w:hAnsi="Times New Roman"/>
          <w:sz w:val="28"/>
          <w:szCs w:val="28"/>
          <w:lang w:val="uk-UA"/>
        </w:rPr>
        <w:t xml:space="preserve"> – 14 251 525 </w:t>
      </w:r>
      <w:r w:rsidRPr="00047641">
        <w:rPr>
          <w:rFonts w:ascii="Times New Roman" w:hAnsi="Times New Roman"/>
          <w:sz w:val="28"/>
          <w:szCs w:val="28"/>
          <w:lang w:val="uk-UA"/>
        </w:rPr>
        <w:t xml:space="preserve">грн., </w:t>
      </w:r>
      <w:r w:rsidRPr="008733C9">
        <w:rPr>
          <w:rFonts w:ascii="Times New Roman" w:hAnsi="Times New Roman"/>
          <w:sz w:val="28"/>
          <w:szCs w:val="28"/>
          <w:lang w:val="uk-UA"/>
        </w:rPr>
        <w:t xml:space="preserve">(Брацлавський ККП –  5 379 675грн.,  КНП «ПМСД Брацлавської селищної ради» - 3 851 009 грн., </w:t>
      </w:r>
      <w:bookmarkStart w:id="1" w:name="_Hlk156894341"/>
      <w:r w:rsidRPr="008733C9">
        <w:rPr>
          <w:rFonts w:ascii="Times New Roman" w:hAnsi="Times New Roman"/>
          <w:sz w:val="28"/>
          <w:szCs w:val="28"/>
          <w:lang w:val="uk-UA"/>
        </w:rPr>
        <w:t xml:space="preserve">Брацлавська ТМПК </w:t>
      </w:r>
      <w:bookmarkEnd w:id="1"/>
      <w:r w:rsidRPr="008733C9">
        <w:rPr>
          <w:rFonts w:ascii="Times New Roman" w:hAnsi="Times New Roman"/>
          <w:sz w:val="28"/>
          <w:szCs w:val="28"/>
          <w:lang w:val="uk-UA"/>
        </w:rPr>
        <w:t xml:space="preserve">– 3 211 521 грн., </w:t>
      </w:r>
      <w:r w:rsidRPr="0056749A">
        <w:rPr>
          <w:rFonts w:ascii="Times New Roman" w:hAnsi="Times New Roman"/>
          <w:sz w:val="28"/>
          <w:szCs w:val="28"/>
          <w:lang w:val="uk-UA"/>
        </w:rPr>
        <w:t>Медичний центр Брацлавської селищної ради – 1 809 319 грн.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4948F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або </w:t>
      </w:r>
      <w:r w:rsidRPr="00927443">
        <w:rPr>
          <w:rFonts w:ascii="Times New Roman" w:hAnsi="Times New Roman"/>
          <w:sz w:val="28"/>
          <w:szCs w:val="28"/>
          <w:lang w:val="uk-UA"/>
        </w:rPr>
        <w:t>13,</w:t>
      </w:r>
      <w:r>
        <w:rPr>
          <w:rFonts w:ascii="Times New Roman" w:hAnsi="Times New Roman"/>
          <w:sz w:val="28"/>
          <w:szCs w:val="28"/>
          <w:lang w:val="uk-UA"/>
        </w:rPr>
        <w:t>71%</w:t>
      </w:r>
      <w:r w:rsidRPr="009042A5">
        <w:rPr>
          <w:rFonts w:ascii="Times New Roman" w:hAnsi="Times New Roman"/>
          <w:sz w:val="28"/>
          <w:szCs w:val="28"/>
          <w:lang w:val="uk-UA"/>
        </w:rPr>
        <w:t xml:space="preserve"> від загального обсягу </w:t>
      </w:r>
      <w:r>
        <w:rPr>
          <w:rFonts w:ascii="Times New Roman" w:hAnsi="Times New Roman"/>
          <w:sz w:val="28"/>
          <w:szCs w:val="28"/>
          <w:lang w:val="uk-UA"/>
        </w:rPr>
        <w:t>видатків бюджету громади</w:t>
      </w:r>
      <w:r w:rsidRPr="00A16832">
        <w:rPr>
          <w:rFonts w:ascii="Times New Roman" w:hAnsi="Times New Roman"/>
          <w:sz w:val="28"/>
          <w:szCs w:val="28"/>
          <w:lang w:val="uk-UA"/>
        </w:rPr>
        <w:t>;</w:t>
      </w:r>
    </w:p>
    <w:p w14:paraId="3690D4CF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д</w:t>
      </w:r>
      <w:r w:rsidRPr="00590EB1">
        <w:rPr>
          <w:rFonts w:ascii="Times New Roman" w:hAnsi="Times New Roman"/>
          <w:sz w:val="28"/>
          <w:szCs w:val="28"/>
          <w:lang w:val="uk-UA"/>
        </w:rPr>
        <w:t>ослідження і розробки, окремі заходи розвитку по реалізації державних (регіональних) програм</w:t>
      </w:r>
      <w:r>
        <w:rPr>
          <w:rFonts w:ascii="Times New Roman" w:hAnsi="Times New Roman"/>
          <w:sz w:val="28"/>
          <w:szCs w:val="28"/>
          <w:lang w:val="uk-UA"/>
        </w:rPr>
        <w:t xml:space="preserve"> – 207 500грн.;</w:t>
      </w:r>
    </w:p>
    <w:p w14:paraId="6D40CF1B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</w:t>
      </w:r>
      <w:r w:rsidRPr="00590EB1">
        <w:rPr>
          <w:rFonts w:ascii="Times New Roman" w:hAnsi="Times New Roman"/>
          <w:sz w:val="28"/>
          <w:szCs w:val="28"/>
          <w:lang w:val="uk-UA"/>
        </w:rPr>
        <w:t>ридбання обладнання і предметів довгострокового користування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-4 481 523грн.,</w:t>
      </w:r>
      <w:r w:rsidRPr="00590EB1">
        <w:t xml:space="preserve"> </w:t>
      </w:r>
      <w:r w:rsidRPr="00590EB1">
        <w:rPr>
          <w:rFonts w:ascii="Times New Roman" w:hAnsi="Times New Roman"/>
          <w:sz w:val="28"/>
          <w:szCs w:val="28"/>
          <w:lang w:val="uk-UA"/>
        </w:rPr>
        <w:t xml:space="preserve">або </w:t>
      </w:r>
      <w:r>
        <w:rPr>
          <w:rFonts w:ascii="Times New Roman" w:hAnsi="Times New Roman"/>
          <w:sz w:val="28"/>
          <w:szCs w:val="28"/>
          <w:lang w:val="uk-UA"/>
        </w:rPr>
        <w:t>4,31</w:t>
      </w:r>
      <w:r w:rsidRPr="00590EB1">
        <w:rPr>
          <w:rFonts w:ascii="Times New Roman" w:hAnsi="Times New Roman"/>
          <w:sz w:val="28"/>
          <w:szCs w:val="28"/>
          <w:lang w:val="uk-UA"/>
        </w:rPr>
        <w:t>% від загального обсягу видатків бюджету громади;</w:t>
      </w:r>
    </w:p>
    <w:p w14:paraId="6A562AB4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к</w:t>
      </w:r>
      <w:r w:rsidRPr="00590EB1">
        <w:rPr>
          <w:rFonts w:ascii="Times New Roman" w:hAnsi="Times New Roman"/>
          <w:sz w:val="28"/>
          <w:szCs w:val="28"/>
          <w:lang w:val="uk-UA"/>
        </w:rPr>
        <w:t>апітальне будівництво (придбання) інших об'єктів</w:t>
      </w:r>
      <w:r>
        <w:rPr>
          <w:rFonts w:ascii="Times New Roman" w:hAnsi="Times New Roman"/>
          <w:sz w:val="28"/>
          <w:szCs w:val="28"/>
          <w:lang w:val="uk-UA"/>
        </w:rPr>
        <w:t xml:space="preserve"> -1 518 618грн.,</w:t>
      </w:r>
      <w:r w:rsidRPr="00590EB1">
        <w:rPr>
          <w:rFonts w:ascii="Times New Roman" w:hAnsi="Times New Roman"/>
          <w:sz w:val="28"/>
          <w:szCs w:val="28"/>
          <w:lang w:val="uk-UA"/>
        </w:rPr>
        <w:t xml:space="preserve"> або </w:t>
      </w:r>
      <w:r>
        <w:rPr>
          <w:rFonts w:ascii="Times New Roman" w:hAnsi="Times New Roman"/>
          <w:sz w:val="28"/>
          <w:szCs w:val="28"/>
          <w:lang w:val="uk-UA"/>
        </w:rPr>
        <w:t>1,46</w:t>
      </w:r>
      <w:r w:rsidRPr="00590EB1">
        <w:rPr>
          <w:rFonts w:ascii="Times New Roman" w:hAnsi="Times New Roman"/>
          <w:sz w:val="28"/>
          <w:szCs w:val="28"/>
          <w:lang w:val="uk-UA"/>
        </w:rPr>
        <w:t>% від загального обсягу видатків бюджету громади;</w:t>
      </w:r>
    </w:p>
    <w:p w14:paraId="06B12AD0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- поточні трансфери органам державного управління інших рівнів – 1 027 573 грн. </w:t>
      </w:r>
      <w:r w:rsidRPr="005708FF">
        <w:rPr>
          <w:rFonts w:ascii="Times New Roman" w:hAnsi="Times New Roman"/>
          <w:iCs/>
          <w:sz w:val="28"/>
          <w:szCs w:val="28"/>
          <w:lang w:val="uk-UA"/>
        </w:rPr>
        <w:t>( КУ «Центр надання соціальних послуг» Погребищенської міської ради – 103 535грн.,КУ «Центр надання соціальних послуг» Томашпільської селищної ради – 99 340грн.,КУ «Тульчинський інклюзивно-ресурсний центр» Тульчинської міської ради Вінницької області – 5 850грн.,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КЗ «Спортивний ліцей» - 5 000грн.,Крищинецький ліцей – 11 160грн.,</w:t>
      </w:r>
      <w:r w:rsidRPr="005708FF">
        <w:rPr>
          <w:rFonts w:ascii="Times New Roman" w:hAnsi="Times New Roman"/>
          <w:iCs/>
          <w:sz w:val="28"/>
          <w:szCs w:val="28"/>
          <w:lang w:val="uk-UA"/>
        </w:rPr>
        <w:t xml:space="preserve"> Тульчинський районний відділ поліції – 129 688грн., В/ч 2718 - 200 000грн., В/ч 4648 – 200 000грн.,</w:t>
      </w:r>
      <w:r w:rsidRPr="005708FF">
        <w:rPr>
          <w:rFonts w:ascii="Times New Roman" w:hAnsi="Times New Roman"/>
          <w:sz w:val="28"/>
          <w:szCs w:val="28"/>
          <w:lang w:val="uk-UA"/>
        </w:rPr>
        <w:t>Тульчинський районний відділ служби безпеки України у Вінницькій області – 200 000грн.,</w:t>
      </w:r>
      <w:r>
        <w:rPr>
          <w:rFonts w:ascii="Times New Roman" w:hAnsi="Times New Roman"/>
          <w:sz w:val="28"/>
          <w:szCs w:val="28"/>
          <w:lang w:val="uk-UA"/>
        </w:rPr>
        <w:t xml:space="preserve"> УДКСУ у Немирівському районі- 23 000грн.,Тульчинська ДПІ - 50 000грн. )                                         </w:t>
      </w:r>
      <w:r w:rsidRPr="00610E80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55C424DC" w14:textId="77777777" w:rsidR="005C301E" w:rsidRDefault="005C301E" w:rsidP="005C301E">
      <w:pPr>
        <w:tabs>
          <w:tab w:val="left" w:pos="284"/>
        </w:tabs>
        <w:ind w:left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 капітальні</w:t>
      </w:r>
      <w:r w:rsidRPr="006065B2">
        <w:rPr>
          <w:rFonts w:ascii="Times New Roman" w:hAnsi="Times New Roman"/>
          <w:sz w:val="28"/>
          <w:szCs w:val="28"/>
          <w:lang w:val="uk-UA"/>
        </w:rPr>
        <w:t xml:space="preserve"> трансферти </w:t>
      </w:r>
      <w:r>
        <w:rPr>
          <w:rFonts w:ascii="Times New Roman" w:hAnsi="Times New Roman"/>
          <w:sz w:val="28"/>
          <w:szCs w:val="28"/>
          <w:lang w:val="uk-UA"/>
        </w:rPr>
        <w:t>органам державного управління інших рівнів 1 601 000</w:t>
      </w:r>
      <w:r w:rsidRPr="00A168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1E4E">
        <w:rPr>
          <w:rFonts w:ascii="Times New Roman" w:hAnsi="Times New Roman"/>
          <w:sz w:val="28"/>
          <w:szCs w:val="28"/>
          <w:lang w:val="uk-UA"/>
        </w:rPr>
        <w:t>грн</w:t>
      </w:r>
      <w:r w:rsidRPr="005708FF">
        <w:rPr>
          <w:rFonts w:ascii="Times New Roman" w:hAnsi="Times New Roman"/>
          <w:sz w:val="28"/>
          <w:szCs w:val="28"/>
          <w:lang w:val="uk-UA"/>
        </w:rPr>
        <w:t>., а саме: Тульчинська</w:t>
      </w:r>
      <w:r>
        <w:rPr>
          <w:rFonts w:ascii="Times New Roman" w:hAnsi="Times New Roman"/>
          <w:sz w:val="28"/>
          <w:szCs w:val="28"/>
          <w:lang w:val="uk-UA"/>
        </w:rPr>
        <w:t xml:space="preserve"> ДПІ – 80 000грн.,В/ч 3028 – 100 000грн., В/ч1619 – 100 000грн., Субвенція на співфінансування інвестиційних проєктів – 1 321 000грн.                                                                                                       </w:t>
      </w:r>
    </w:p>
    <w:p w14:paraId="49B3F826" w14:textId="7C2E5E60" w:rsidR="005C301E" w:rsidRPr="005C301E" w:rsidRDefault="005C301E" w:rsidP="005C301E">
      <w:pPr>
        <w:tabs>
          <w:tab w:val="left" w:pos="284"/>
        </w:tabs>
        <w:rPr>
          <w:rFonts w:ascii="Times New Roman" w:hAnsi="Times New Roman"/>
          <w:sz w:val="28"/>
          <w:szCs w:val="28"/>
          <w:lang w:val="uk-UA"/>
        </w:rPr>
      </w:pPr>
      <w:r w:rsidRPr="00A27BEF"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Кредиторська</w:t>
      </w:r>
      <w:r>
        <w:rPr>
          <w:rFonts w:ascii="Times New Roman" w:hAnsi="Times New Roman"/>
          <w:sz w:val="28"/>
          <w:szCs w:val="28"/>
          <w:lang w:val="uk-UA"/>
        </w:rPr>
        <w:t xml:space="preserve"> заборгованість по загальному та спеціальному фонду бюджету Брацлавської </w:t>
      </w:r>
      <w:r w:rsidRPr="00D46DAB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 на кінець звітного </w:t>
      </w:r>
      <w:r w:rsidRPr="009A5309">
        <w:rPr>
          <w:rFonts w:ascii="Times New Roman" w:hAnsi="Times New Roman"/>
          <w:sz w:val="28"/>
          <w:szCs w:val="28"/>
          <w:lang w:val="uk-UA"/>
        </w:rPr>
        <w:t xml:space="preserve">періоду </w:t>
      </w:r>
      <w:r w:rsidRPr="00E25CB6">
        <w:rPr>
          <w:rFonts w:ascii="Times New Roman" w:hAnsi="Times New Roman"/>
          <w:sz w:val="28"/>
          <w:szCs w:val="28"/>
          <w:lang w:val="uk-UA"/>
        </w:rPr>
        <w:t>за даними казначейської звітності відсутня.</w:t>
      </w:r>
    </w:p>
    <w:p w14:paraId="53E0C939" w14:textId="7BE258EB" w:rsidR="001B746F" w:rsidRDefault="00540136" w:rsidP="005C301E">
      <w:pPr>
        <w:tabs>
          <w:tab w:val="left" w:pos="567"/>
          <w:tab w:val="left" w:pos="709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A41C41" w:rsidRPr="00D74B65">
        <w:rPr>
          <w:rFonts w:ascii="Times New Roman" w:hAnsi="Times New Roman"/>
          <w:sz w:val="28"/>
          <w:szCs w:val="28"/>
          <w:lang w:val="uk-UA"/>
        </w:rPr>
        <w:t>ст.</w:t>
      </w:r>
      <w:r w:rsidR="009D5347" w:rsidRPr="00D74B65">
        <w:rPr>
          <w:rFonts w:ascii="Times New Roman" w:hAnsi="Times New Roman"/>
          <w:sz w:val="28"/>
          <w:szCs w:val="28"/>
          <w:lang w:val="uk-UA"/>
        </w:rPr>
        <w:t xml:space="preserve"> 80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Бюджетного кодексу України, розглянувши проект рішення </w:t>
      </w:r>
      <w:r w:rsidR="00496568">
        <w:rPr>
          <w:rFonts w:ascii="Times New Roman" w:hAnsi="Times New Roman"/>
          <w:sz w:val="28"/>
          <w:szCs w:val="28"/>
          <w:lang w:val="uk-UA"/>
        </w:rPr>
        <w:t>селищн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ої ради «Про </w:t>
      </w:r>
      <w:r w:rsidR="009A6EFE" w:rsidRPr="00D74B65">
        <w:rPr>
          <w:rFonts w:ascii="Times New Roman" w:hAnsi="Times New Roman"/>
          <w:sz w:val="28"/>
          <w:szCs w:val="28"/>
          <w:lang w:val="uk-UA"/>
        </w:rPr>
        <w:t>стан 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03D9" w:rsidRPr="00D74B65">
        <w:rPr>
          <w:rFonts w:ascii="Times New Roman" w:hAnsi="Times New Roman"/>
          <w:sz w:val="28"/>
          <w:szCs w:val="28"/>
          <w:lang w:val="uk-UA"/>
        </w:rPr>
        <w:t>бюджет</w:t>
      </w:r>
      <w:r w:rsidR="009A6EFE" w:rsidRPr="00D74B65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Брацлавської селищної</w:t>
      </w:r>
      <w:r w:rsidR="00995D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C14" w:rsidRPr="00D74B65">
        <w:rPr>
          <w:rFonts w:ascii="Times New Roman" w:hAnsi="Times New Roman"/>
          <w:sz w:val="28"/>
          <w:szCs w:val="28"/>
          <w:lang w:val="uk-UA"/>
        </w:rPr>
        <w:t>територіальної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2C14" w:rsidRPr="00303466">
        <w:rPr>
          <w:rFonts w:ascii="Times New Roman" w:hAnsi="Times New Roman"/>
          <w:sz w:val="28"/>
          <w:szCs w:val="28"/>
          <w:lang w:val="uk-UA"/>
        </w:rPr>
        <w:t>громади</w:t>
      </w:r>
      <w:r w:rsidRPr="00303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A6EFE" w:rsidRPr="00303466">
        <w:rPr>
          <w:rFonts w:ascii="Times New Roman" w:hAnsi="Times New Roman"/>
          <w:sz w:val="28"/>
          <w:szCs w:val="28"/>
          <w:lang w:val="uk-UA"/>
        </w:rPr>
        <w:t>з</w:t>
      </w:r>
      <w:r w:rsidR="008003D9" w:rsidRPr="00303466">
        <w:rPr>
          <w:rFonts w:ascii="Times New Roman" w:hAnsi="Times New Roman"/>
          <w:sz w:val="28"/>
          <w:szCs w:val="28"/>
          <w:lang w:val="uk-UA"/>
        </w:rPr>
        <w:t>а</w:t>
      </w:r>
      <w:r w:rsidRPr="00303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CC2" w:rsidRPr="00303466">
        <w:rPr>
          <w:rFonts w:ascii="Times New Roman" w:hAnsi="Times New Roman"/>
          <w:sz w:val="28"/>
          <w:szCs w:val="28"/>
          <w:lang w:val="uk-UA"/>
        </w:rPr>
        <w:t>202</w:t>
      </w:r>
      <w:r w:rsidR="00C906A3">
        <w:rPr>
          <w:rFonts w:ascii="Times New Roman" w:hAnsi="Times New Roman"/>
          <w:sz w:val="28"/>
          <w:szCs w:val="28"/>
          <w:lang w:val="uk-UA"/>
        </w:rPr>
        <w:t>5</w:t>
      </w:r>
      <w:r w:rsidR="001A3586" w:rsidRPr="0030346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CB7410" w:rsidRPr="00303466">
        <w:rPr>
          <w:rFonts w:ascii="Times New Roman" w:hAnsi="Times New Roman"/>
          <w:sz w:val="28"/>
          <w:szCs w:val="28"/>
          <w:lang w:val="uk-UA"/>
        </w:rPr>
        <w:t>і</w:t>
      </w:r>
      <w:r w:rsidR="001A3586" w:rsidRPr="00303466">
        <w:rPr>
          <w:rFonts w:ascii="Times New Roman" w:hAnsi="Times New Roman"/>
          <w:sz w:val="28"/>
          <w:szCs w:val="28"/>
          <w:lang w:val="uk-UA"/>
        </w:rPr>
        <w:t>к</w:t>
      </w:r>
      <w:r w:rsidR="00D7657B" w:rsidRPr="00303466">
        <w:rPr>
          <w:rFonts w:ascii="Times New Roman" w:hAnsi="Times New Roman"/>
          <w:sz w:val="28"/>
          <w:szCs w:val="28"/>
          <w:lang w:val="uk-UA"/>
        </w:rPr>
        <w:t>»</w:t>
      </w:r>
      <w:r w:rsidR="006E3909" w:rsidRPr="00303466">
        <w:rPr>
          <w:rFonts w:ascii="Times New Roman" w:hAnsi="Times New Roman"/>
          <w:sz w:val="28"/>
          <w:szCs w:val="28"/>
          <w:lang w:val="uk-UA"/>
        </w:rPr>
        <w:t>,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 керуючись підпунктом 1 пункту «а» статті 28, пунктом 1 частини другої статті 52 Закону</w:t>
      </w:r>
      <w:r w:rsidR="00D53D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>України «Про місцеве</w:t>
      </w:r>
      <w:r w:rsidR="007F26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самоврядування в Україні», </w:t>
      </w:r>
      <w:r w:rsidR="006E3909" w:rsidRPr="00E51152">
        <w:rPr>
          <w:rFonts w:ascii="Times New Roman" w:hAnsi="Times New Roman"/>
          <w:sz w:val="28"/>
          <w:szCs w:val="28"/>
        </w:rPr>
        <w:t> </w:t>
      </w:r>
      <w:r w:rsidR="00853E1A">
        <w:rPr>
          <w:rFonts w:ascii="Times New Roman" w:hAnsi="Times New Roman"/>
          <w:sz w:val="28"/>
          <w:szCs w:val="28"/>
          <w:lang w:val="uk-UA"/>
        </w:rPr>
        <w:t>виконавчий комітет</w:t>
      </w:r>
      <w:r w:rsidR="007F2608">
        <w:rPr>
          <w:rFonts w:ascii="Times New Roman" w:hAnsi="Times New Roman"/>
          <w:sz w:val="28"/>
          <w:szCs w:val="28"/>
          <w:lang w:val="uk-UA"/>
        </w:rPr>
        <w:t xml:space="preserve"> селищно</w:t>
      </w:r>
      <w:r w:rsidR="006E3909" w:rsidRPr="00D74B65">
        <w:rPr>
          <w:rFonts w:ascii="Times New Roman" w:hAnsi="Times New Roman"/>
          <w:sz w:val="28"/>
          <w:szCs w:val="28"/>
          <w:lang w:val="uk-UA"/>
        </w:rPr>
        <w:t xml:space="preserve">ї ради </w:t>
      </w:r>
      <w:r w:rsidR="006E3909" w:rsidRPr="00D74B65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14:paraId="71946439" w14:textId="77777777" w:rsidR="00FF293B" w:rsidRPr="00D74B65" w:rsidRDefault="00FF293B" w:rsidP="001B746F">
      <w:pPr>
        <w:pStyle w:val="a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CA4C158" w14:textId="3C332337" w:rsidR="004E3EF0" w:rsidRPr="00A31D30" w:rsidRDefault="00B227B6" w:rsidP="004E3EF0">
      <w:pPr>
        <w:pStyle w:val="a4"/>
        <w:numPr>
          <w:ilvl w:val="0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52">
        <w:rPr>
          <w:rFonts w:ascii="Times New Roman" w:hAnsi="Times New Roman"/>
          <w:sz w:val="28"/>
          <w:szCs w:val="28"/>
          <w:lang w:val="uk-UA"/>
        </w:rPr>
        <w:t xml:space="preserve">Звіт фінансового </w:t>
      </w:r>
      <w:r w:rsidR="007F2608">
        <w:rPr>
          <w:rFonts w:ascii="Times New Roman" w:hAnsi="Times New Roman"/>
          <w:sz w:val="28"/>
          <w:szCs w:val="28"/>
          <w:lang w:val="uk-UA"/>
        </w:rPr>
        <w:t>відділу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2608">
        <w:rPr>
          <w:rFonts w:ascii="Times New Roman" w:hAnsi="Times New Roman"/>
          <w:sz w:val="28"/>
          <w:szCs w:val="28"/>
          <w:lang w:val="uk-UA"/>
        </w:rPr>
        <w:t>Брацлавської селищної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511A3F">
        <w:rPr>
          <w:rFonts w:ascii="Times New Roman" w:hAnsi="Times New Roman"/>
          <w:sz w:val="28"/>
          <w:szCs w:val="28"/>
          <w:lang w:val="uk-UA"/>
        </w:rPr>
        <w:t>(</w:t>
      </w:r>
      <w:r w:rsidR="00A70A63">
        <w:rPr>
          <w:rFonts w:ascii="Times New Roman" w:hAnsi="Times New Roman"/>
          <w:sz w:val="28"/>
          <w:szCs w:val="28"/>
          <w:lang w:val="uk-UA"/>
        </w:rPr>
        <w:t>Петрова Т.В</w:t>
      </w:r>
      <w:r w:rsidR="00875CC2">
        <w:rPr>
          <w:rFonts w:ascii="Times New Roman" w:hAnsi="Times New Roman"/>
          <w:sz w:val="28"/>
          <w:szCs w:val="28"/>
          <w:lang w:val="uk-UA"/>
        </w:rPr>
        <w:t>.</w:t>
      </w:r>
      <w:r w:rsidR="00511A3F">
        <w:rPr>
          <w:rFonts w:ascii="Times New Roman" w:hAnsi="Times New Roman"/>
          <w:sz w:val="28"/>
          <w:szCs w:val="28"/>
          <w:lang w:val="uk-UA"/>
        </w:rPr>
        <w:t>)</w:t>
      </w:r>
      <w:r w:rsidR="00D97E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26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про стан виконання бюджету </w:t>
      </w:r>
      <w:r w:rsidR="007F2608">
        <w:rPr>
          <w:rFonts w:ascii="Times New Roman" w:hAnsi="Times New Roman"/>
          <w:sz w:val="28"/>
          <w:szCs w:val="28"/>
          <w:lang w:val="uk-UA"/>
        </w:rPr>
        <w:t xml:space="preserve">Брацлавської </w:t>
      </w:r>
      <w:r w:rsidR="007F2608" w:rsidRPr="00D46DAB"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="007F2608" w:rsidRPr="00E511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511A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3586">
        <w:rPr>
          <w:rFonts w:ascii="Times New Roman" w:hAnsi="Times New Roman"/>
          <w:sz w:val="28"/>
          <w:szCs w:val="28"/>
          <w:lang w:val="uk-UA"/>
        </w:rPr>
        <w:t>202</w:t>
      </w:r>
      <w:r w:rsidR="00C906A3">
        <w:rPr>
          <w:rFonts w:ascii="Times New Roman" w:hAnsi="Times New Roman"/>
          <w:sz w:val="28"/>
          <w:szCs w:val="28"/>
          <w:lang w:val="uk-UA"/>
        </w:rPr>
        <w:t>5</w:t>
      </w:r>
      <w:r w:rsidR="001A3586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B320D">
        <w:rPr>
          <w:rFonts w:ascii="Times New Roman" w:hAnsi="Times New Roman"/>
          <w:sz w:val="28"/>
          <w:szCs w:val="28"/>
          <w:lang w:val="uk-UA"/>
        </w:rPr>
        <w:t>ік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взяти до відома. </w:t>
      </w:r>
    </w:p>
    <w:p w14:paraId="43D1D6B4" w14:textId="0219836A" w:rsidR="004E3EF0" w:rsidRPr="00A31D30" w:rsidRDefault="0016121C" w:rsidP="004E3EF0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6121C">
        <w:rPr>
          <w:rFonts w:ascii="Times New Roman" w:hAnsi="Times New Roman"/>
          <w:sz w:val="28"/>
          <w:szCs w:val="28"/>
          <w:lang w:val="uk-UA"/>
        </w:rPr>
        <w:t xml:space="preserve">Схвалити </w:t>
      </w:r>
      <w:r w:rsidR="007F26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121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7F260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121C">
        <w:rPr>
          <w:rFonts w:ascii="Times New Roman" w:hAnsi="Times New Roman"/>
          <w:sz w:val="28"/>
          <w:szCs w:val="28"/>
          <w:lang w:val="uk-UA"/>
        </w:rPr>
        <w:t xml:space="preserve">винести на розгляд сесії </w:t>
      </w:r>
      <w:r w:rsidR="007F2608">
        <w:rPr>
          <w:rFonts w:ascii="Times New Roman" w:hAnsi="Times New Roman"/>
          <w:sz w:val="28"/>
          <w:szCs w:val="28"/>
          <w:lang w:val="uk-UA"/>
        </w:rPr>
        <w:t>селищно</w:t>
      </w:r>
      <w:r w:rsidRPr="0016121C">
        <w:rPr>
          <w:rFonts w:ascii="Times New Roman" w:hAnsi="Times New Roman"/>
          <w:sz w:val="28"/>
          <w:szCs w:val="28"/>
          <w:lang w:val="uk-UA"/>
        </w:rPr>
        <w:t xml:space="preserve">ї ради проект рішення </w:t>
      </w:r>
      <w:r w:rsidR="00D97E58">
        <w:rPr>
          <w:rFonts w:ascii="Times New Roman" w:hAnsi="Times New Roman"/>
          <w:sz w:val="28"/>
          <w:szCs w:val="28"/>
          <w:lang w:val="uk-UA"/>
        </w:rPr>
        <w:t>селищної</w:t>
      </w:r>
      <w:r w:rsidRPr="0016121C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291690">
        <w:rPr>
          <w:rFonts w:ascii="Times New Roman" w:hAnsi="Times New Roman"/>
          <w:sz w:val="28"/>
          <w:szCs w:val="28"/>
          <w:lang w:val="uk-UA"/>
        </w:rPr>
        <w:t>«П</w:t>
      </w:r>
      <w:r w:rsidR="00802C3E">
        <w:rPr>
          <w:rFonts w:ascii="Times New Roman" w:hAnsi="Times New Roman"/>
          <w:sz w:val="28"/>
          <w:szCs w:val="28"/>
          <w:lang w:val="uk-UA"/>
        </w:rPr>
        <w:t>ро затвердження звіту</w:t>
      </w:r>
      <w:r w:rsidRPr="0016121C">
        <w:rPr>
          <w:rFonts w:ascii="Times New Roman" w:hAnsi="Times New Roman"/>
          <w:sz w:val="28"/>
          <w:szCs w:val="28"/>
          <w:lang w:val="uk-UA"/>
        </w:rPr>
        <w:t xml:space="preserve"> про виконання бюджету </w:t>
      </w:r>
      <w:r w:rsidR="00D97E58">
        <w:rPr>
          <w:rFonts w:ascii="Times New Roman" w:hAnsi="Times New Roman"/>
          <w:sz w:val="28"/>
          <w:szCs w:val="28"/>
          <w:lang w:val="uk-UA"/>
        </w:rPr>
        <w:t>Брацлавської селищної</w:t>
      </w:r>
      <w:r w:rsidR="006732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121C"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 </w:t>
      </w:r>
      <w:r w:rsidR="00511A3F" w:rsidRPr="00E51152">
        <w:rPr>
          <w:rFonts w:ascii="Times New Roman" w:hAnsi="Times New Roman"/>
          <w:sz w:val="28"/>
          <w:szCs w:val="28"/>
          <w:lang w:val="uk-UA"/>
        </w:rPr>
        <w:t>за</w:t>
      </w:r>
      <w:r w:rsidR="00C906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5CC2">
        <w:rPr>
          <w:rFonts w:ascii="Times New Roman" w:hAnsi="Times New Roman"/>
          <w:sz w:val="28"/>
          <w:szCs w:val="28"/>
          <w:lang w:val="uk-UA"/>
        </w:rPr>
        <w:t>202</w:t>
      </w:r>
      <w:r w:rsidR="00C906A3">
        <w:rPr>
          <w:rFonts w:ascii="Times New Roman" w:hAnsi="Times New Roman"/>
          <w:sz w:val="28"/>
          <w:szCs w:val="28"/>
          <w:lang w:val="uk-UA"/>
        </w:rPr>
        <w:t>5</w:t>
      </w:r>
      <w:r w:rsidR="00511A3F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0B320D">
        <w:rPr>
          <w:rFonts w:ascii="Times New Roman" w:hAnsi="Times New Roman"/>
          <w:sz w:val="28"/>
          <w:szCs w:val="28"/>
          <w:lang w:val="uk-UA"/>
        </w:rPr>
        <w:t>ік</w:t>
      </w:r>
      <w:r w:rsidR="00291690">
        <w:rPr>
          <w:rFonts w:ascii="Times New Roman" w:hAnsi="Times New Roman"/>
          <w:sz w:val="28"/>
          <w:szCs w:val="28"/>
          <w:lang w:val="uk-UA"/>
        </w:rPr>
        <w:t>»</w:t>
      </w:r>
      <w:r w:rsidR="0016008F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  <w:r w:rsidRPr="0016121C">
        <w:rPr>
          <w:rFonts w:ascii="Times New Roman" w:hAnsi="Times New Roman"/>
          <w:sz w:val="28"/>
          <w:szCs w:val="28"/>
          <w:lang w:val="uk-UA"/>
        </w:rPr>
        <w:t>.</w:t>
      </w:r>
    </w:p>
    <w:p w14:paraId="24C54CD0" w14:textId="2639BC76" w:rsidR="00B227B6" w:rsidRPr="00D74B65" w:rsidRDefault="00B227B6" w:rsidP="00E51152">
      <w:pPr>
        <w:pStyle w:val="a4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  <w:lang w:val="uk-UA"/>
        </w:rPr>
      </w:pPr>
      <w:r w:rsidRPr="00D74B65">
        <w:rPr>
          <w:rFonts w:ascii="Times New Roman" w:hAnsi="Times New Roman"/>
          <w:sz w:val="28"/>
          <w:szCs w:val="28"/>
          <w:lang w:val="uk-UA"/>
        </w:rPr>
        <w:t>Фінансовому</w:t>
      </w:r>
      <w:r w:rsidR="00D97E58">
        <w:rPr>
          <w:rFonts w:ascii="Times New Roman" w:hAnsi="Times New Roman"/>
          <w:sz w:val="28"/>
          <w:szCs w:val="28"/>
          <w:lang w:val="uk-UA"/>
        </w:rPr>
        <w:t xml:space="preserve">  відділу Брацлавської селищної </w:t>
      </w:r>
      <w:r w:rsidRPr="00D74B65">
        <w:rPr>
          <w:rFonts w:ascii="Times New Roman" w:hAnsi="Times New Roman"/>
          <w:sz w:val="28"/>
          <w:szCs w:val="28"/>
          <w:lang w:val="uk-UA"/>
        </w:rPr>
        <w:t xml:space="preserve"> ради (</w:t>
      </w:r>
      <w:r w:rsidR="00A70A63">
        <w:rPr>
          <w:rFonts w:ascii="Times New Roman" w:hAnsi="Times New Roman"/>
          <w:sz w:val="28"/>
          <w:szCs w:val="28"/>
          <w:lang w:val="uk-UA"/>
        </w:rPr>
        <w:t>Петрова Т.В</w:t>
      </w:r>
      <w:r w:rsidR="00875CC2">
        <w:rPr>
          <w:rFonts w:ascii="Times New Roman" w:hAnsi="Times New Roman"/>
          <w:sz w:val="28"/>
          <w:szCs w:val="28"/>
          <w:lang w:val="uk-UA"/>
        </w:rPr>
        <w:t>.</w:t>
      </w:r>
      <w:r w:rsidRPr="00D74B65">
        <w:rPr>
          <w:rFonts w:ascii="Times New Roman" w:hAnsi="Times New Roman"/>
          <w:sz w:val="28"/>
          <w:szCs w:val="28"/>
          <w:lang w:val="uk-UA"/>
        </w:rPr>
        <w:t>):</w:t>
      </w:r>
    </w:p>
    <w:p w14:paraId="40207CD6" w14:textId="52DF92BD" w:rsidR="00B227B6" w:rsidRDefault="00B227B6" w:rsidP="00FA4BAC">
      <w:pPr>
        <w:pStyle w:val="a4"/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E51152">
        <w:rPr>
          <w:rFonts w:ascii="Times New Roman" w:hAnsi="Times New Roman"/>
          <w:sz w:val="28"/>
          <w:szCs w:val="28"/>
          <w:lang w:val="uk-UA"/>
        </w:rPr>
        <w:t xml:space="preserve">забезпечити </w:t>
      </w:r>
      <w:r w:rsidR="00FE75A8">
        <w:rPr>
          <w:rFonts w:ascii="Times New Roman" w:hAnsi="Times New Roman"/>
          <w:sz w:val="28"/>
          <w:szCs w:val="28"/>
          <w:lang w:val="uk-UA"/>
        </w:rPr>
        <w:t>постійне здійснення</w:t>
      </w:r>
      <w:r w:rsidRPr="00E51152">
        <w:rPr>
          <w:rFonts w:ascii="Times New Roman" w:hAnsi="Times New Roman"/>
          <w:sz w:val="28"/>
          <w:szCs w:val="28"/>
          <w:lang w:val="uk-UA"/>
        </w:rPr>
        <w:t xml:space="preserve"> аналізу надходження податків і зборів (обов’язкових платежів) до місцевого бюджету, виявлення резервів збільшення надходжень до місцевого бюджету</w:t>
      </w:r>
      <w:r w:rsidR="004E3EF0">
        <w:rPr>
          <w:rFonts w:ascii="Times New Roman" w:hAnsi="Times New Roman"/>
          <w:sz w:val="28"/>
          <w:szCs w:val="28"/>
          <w:lang w:val="uk-UA"/>
        </w:rPr>
        <w:t>.</w:t>
      </w:r>
    </w:p>
    <w:p w14:paraId="204BBA77" w14:textId="546A163A" w:rsidR="004E3EF0" w:rsidRPr="00A31D30" w:rsidRDefault="00D97E58" w:rsidP="004E3EF0">
      <w:pPr>
        <w:pStyle w:val="a4"/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</w:t>
      </w:r>
      <w:r w:rsidR="00526A5D">
        <w:rPr>
          <w:rFonts w:ascii="Times New Roman" w:hAnsi="Times New Roman"/>
          <w:sz w:val="28"/>
          <w:szCs w:val="28"/>
          <w:lang w:val="uk-UA"/>
        </w:rPr>
        <w:t xml:space="preserve">інансування видатків бюджету </w:t>
      </w:r>
      <w:r>
        <w:rPr>
          <w:rFonts w:ascii="Times New Roman" w:hAnsi="Times New Roman"/>
          <w:sz w:val="28"/>
          <w:szCs w:val="28"/>
          <w:lang w:val="uk-UA"/>
        </w:rPr>
        <w:t>Брацлавської селищної</w:t>
      </w:r>
      <w:r w:rsidR="00526A5D"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 здійснювати тільки в межах зареєстрованих фінансових зобов’язань розпорядниками та одержувачами бюджетних коштів.</w:t>
      </w:r>
    </w:p>
    <w:p w14:paraId="7F3B7719" w14:textId="33C361FB" w:rsidR="00B227B6" w:rsidRDefault="000224EA" w:rsidP="000224E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Головним</w:t>
      </w:r>
      <w:r w:rsidR="00B227B6" w:rsidRPr="0040554D">
        <w:rPr>
          <w:rFonts w:ascii="Times New Roman" w:hAnsi="Times New Roman"/>
          <w:sz w:val="28"/>
          <w:szCs w:val="28"/>
          <w:lang w:val="uk-UA"/>
        </w:rPr>
        <w:t xml:space="preserve"> розпорядникам коштів бюджету</w:t>
      </w:r>
      <w:r w:rsidR="0081068D">
        <w:rPr>
          <w:rFonts w:ascii="Times New Roman" w:hAnsi="Times New Roman"/>
          <w:sz w:val="28"/>
          <w:szCs w:val="28"/>
          <w:lang w:val="uk-UA"/>
        </w:rPr>
        <w:t xml:space="preserve"> селищн</w:t>
      </w:r>
      <w:r w:rsidR="00B01485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A2594B">
        <w:rPr>
          <w:rFonts w:ascii="Times New Roman" w:hAnsi="Times New Roman"/>
          <w:sz w:val="28"/>
          <w:szCs w:val="28"/>
          <w:lang w:val="uk-UA"/>
        </w:rPr>
        <w:t>територіальної громади</w:t>
      </w:r>
      <w:r w:rsidR="00B227B6" w:rsidRPr="0040554D">
        <w:rPr>
          <w:rFonts w:ascii="Times New Roman" w:hAnsi="Times New Roman"/>
          <w:sz w:val="28"/>
          <w:szCs w:val="28"/>
          <w:lang w:val="uk-UA"/>
        </w:rPr>
        <w:t>:</w:t>
      </w:r>
    </w:p>
    <w:p w14:paraId="2754F7AA" w14:textId="77777777" w:rsidR="00CA13D8" w:rsidRPr="0040554D" w:rsidRDefault="00CA13D8" w:rsidP="00CA13D8">
      <w:pPr>
        <w:pStyle w:val="a4"/>
        <w:numPr>
          <w:ilvl w:val="1"/>
          <w:numId w:val="6"/>
        </w:numPr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Запровадити режим жорсткої економії коштів бюджету </w:t>
      </w:r>
      <w:r w:rsidR="0081068D">
        <w:rPr>
          <w:rFonts w:ascii="Times New Roman" w:hAnsi="Times New Roman"/>
          <w:sz w:val="28"/>
          <w:szCs w:val="28"/>
          <w:lang w:val="uk-UA"/>
        </w:rPr>
        <w:t>Брацлав</w:t>
      </w:r>
      <w:r>
        <w:rPr>
          <w:rFonts w:ascii="Times New Roman" w:hAnsi="Times New Roman"/>
          <w:sz w:val="28"/>
          <w:szCs w:val="28"/>
          <w:lang w:val="uk-UA"/>
        </w:rPr>
        <w:t xml:space="preserve">ської </w:t>
      </w:r>
      <w:r w:rsidR="0081068D">
        <w:rPr>
          <w:rFonts w:ascii="Times New Roman" w:hAnsi="Times New Roman"/>
          <w:sz w:val="28"/>
          <w:szCs w:val="28"/>
          <w:lang w:val="uk-UA"/>
        </w:rPr>
        <w:t>селищн</w:t>
      </w:r>
      <w:r>
        <w:rPr>
          <w:rFonts w:ascii="Times New Roman" w:hAnsi="Times New Roman"/>
          <w:sz w:val="28"/>
          <w:szCs w:val="28"/>
          <w:lang w:val="uk-UA"/>
        </w:rPr>
        <w:t>ої територіальної громади у зв</w:t>
      </w:r>
      <w:r w:rsidR="00FC12C4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язку з </w:t>
      </w:r>
      <w:r w:rsidR="00511A3F">
        <w:rPr>
          <w:rFonts w:ascii="Times New Roman" w:hAnsi="Times New Roman"/>
          <w:sz w:val="28"/>
          <w:szCs w:val="28"/>
          <w:lang w:val="uk-UA"/>
        </w:rPr>
        <w:t>введенням воєнного стану</w:t>
      </w:r>
      <w:r w:rsidR="00526A5D">
        <w:rPr>
          <w:rFonts w:ascii="Times New Roman" w:hAnsi="Times New Roman"/>
          <w:sz w:val="28"/>
          <w:szCs w:val="28"/>
          <w:lang w:val="uk-UA"/>
        </w:rPr>
        <w:t>.</w:t>
      </w:r>
    </w:p>
    <w:p w14:paraId="06D4A7D4" w14:textId="04E39101" w:rsidR="004E3EF0" w:rsidRPr="00CF6FE4" w:rsidRDefault="004E3EF0" w:rsidP="004E3EF0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 w:rsidRPr="004E3EF0">
        <w:rPr>
          <w:rFonts w:ascii="Times New Roman" w:hAnsi="Times New Roman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0224EA">
        <w:rPr>
          <w:rFonts w:ascii="Times New Roman" w:hAnsi="Times New Roman"/>
          <w:sz w:val="28"/>
          <w:szCs w:val="28"/>
          <w:lang w:val="uk-UA"/>
        </w:rPr>
        <w:t>З</w:t>
      </w:r>
      <w:r w:rsidR="00CF6FE4">
        <w:rPr>
          <w:rFonts w:ascii="Times New Roman" w:hAnsi="Times New Roman"/>
          <w:sz w:val="28"/>
          <w:szCs w:val="28"/>
          <w:lang w:val="uk-UA"/>
        </w:rPr>
        <w:t>дійснювати постійний контроль та моніторинг за станом дотримання фінансово-бюджетної дисципліни підвідомчими закладами та установами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A2B7B05" w14:textId="062EBB66" w:rsidR="007543F1" w:rsidRDefault="000224EA" w:rsidP="000224E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</w:t>
      </w:r>
      <w:r w:rsidR="0081068D" w:rsidRPr="00E51152">
        <w:rPr>
          <w:rFonts w:ascii="Times New Roman" w:hAnsi="Times New Roman"/>
          <w:sz w:val="28"/>
          <w:szCs w:val="28"/>
        </w:rPr>
        <w:t xml:space="preserve"> </w:t>
      </w:r>
      <w:r w:rsidR="00955A19" w:rsidRPr="00E51152">
        <w:rPr>
          <w:rFonts w:ascii="Times New Roman" w:hAnsi="Times New Roman"/>
          <w:sz w:val="28"/>
          <w:szCs w:val="28"/>
        </w:rPr>
        <w:t>щодо</w:t>
      </w:r>
      <w:r w:rsidR="008106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виконання</w:t>
      </w:r>
      <w:r w:rsidR="008106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даного рішення</w:t>
      </w:r>
      <w:r w:rsidR="008106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EDA">
        <w:rPr>
          <w:rFonts w:ascii="Times New Roman" w:hAnsi="Times New Roman"/>
          <w:sz w:val="28"/>
          <w:szCs w:val="28"/>
          <w:lang w:val="uk-UA"/>
        </w:rPr>
        <w:t>залишаю за собою</w:t>
      </w:r>
      <w:r w:rsidR="0081068D">
        <w:rPr>
          <w:rFonts w:ascii="Times New Roman" w:hAnsi="Times New Roman"/>
          <w:sz w:val="28"/>
          <w:szCs w:val="28"/>
          <w:lang w:val="uk-UA"/>
        </w:rPr>
        <w:t>.</w:t>
      </w:r>
    </w:p>
    <w:p w14:paraId="411B2FEF" w14:textId="77777777" w:rsidR="00242C13" w:rsidRDefault="00242C13" w:rsidP="00242C13">
      <w:pPr>
        <w:pStyle w:val="a4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0AA860" w14:textId="10DAC947" w:rsidR="007543F1" w:rsidRDefault="007543F1" w:rsidP="00E5115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34686988" w14:textId="77777777" w:rsidR="00DD060C" w:rsidRDefault="00DD060C" w:rsidP="00E51152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72EA3D25" w14:textId="77777777" w:rsidR="00242C13" w:rsidRPr="00DD060C" w:rsidRDefault="00242C13" w:rsidP="00242C13">
      <w:pPr>
        <w:pStyle w:val="a4"/>
        <w:rPr>
          <w:rFonts w:ascii="Times New Roman" w:hAnsi="Times New Roman"/>
          <w:bCs/>
          <w:sz w:val="28"/>
          <w:szCs w:val="28"/>
          <w:lang w:val="uk-UA"/>
        </w:rPr>
      </w:pPr>
      <w:r w:rsidRPr="00DD060C">
        <w:rPr>
          <w:rFonts w:ascii="Times New Roman" w:hAnsi="Times New Roman"/>
          <w:bCs/>
          <w:sz w:val="28"/>
          <w:szCs w:val="28"/>
          <w:lang w:val="uk-UA"/>
        </w:rPr>
        <w:t>Селищний  голова</w:t>
      </w:r>
      <w:r w:rsidRPr="00DD060C"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 w:rsidRPr="00DD060C">
        <w:rPr>
          <w:rFonts w:ascii="Times New Roman" w:hAnsi="Times New Roman"/>
          <w:bCs/>
          <w:sz w:val="28"/>
          <w:szCs w:val="28"/>
          <w:lang w:val="uk-UA"/>
        </w:rPr>
        <w:t xml:space="preserve">      Микола  КОБРИНЧУК</w:t>
      </w:r>
    </w:p>
    <w:p w14:paraId="1F389F37" w14:textId="77777777" w:rsidR="00E545E4" w:rsidRPr="00DD060C" w:rsidRDefault="00E545E4" w:rsidP="00B46911">
      <w:pPr>
        <w:pStyle w:val="a4"/>
        <w:jc w:val="center"/>
        <w:rPr>
          <w:rFonts w:asciiTheme="minorHAnsi" w:hAnsiTheme="minorHAnsi"/>
          <w:bCs/>
          <w:color w:val="365F91"/>
          <w:sz w:val="28"/>
          <w:szCs w:val="28"/>
          <w:lang w:val="uk-UA"/>
        </w:rPr>
      </w:pPr>
      <w:bookmarkStart w:id="2" w:name="_GoBack"/>
      <w:bookmarkEnd w:id="2"/>
    </w:p>
    <w:sectPr w:rsidR="00E545E4" w:rsidRPr="00DD060C" w:rsidSect="000757A4">
      <w:pgSz w:w="11906" w:h="16838"/>
      <w:pgMar w:top="709" w:right="566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43162" w14:textId="77777777" w:rsidR="00AB5D92" w:rsidRDefault="00AB5D92" w:rsidP="00482EDA">
      <w:pPr>
        <w:spacing w:after="0" w:line="240" w:lineRule="auto"/>
      </w:pPr>
      <w:r>
        <w:separator/>
      </w:r>
    </w:p>
  </w:endnote>
  <w:endnote w:type="continuationSeparator" w:id="0">
    <w:p w14:paraId="6C214D8C" w14:textId="77777777" w:rsidR="00AB5D92" w:rsidRDefault="00AB5D92" w:rsidP="0048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A2F49" w14:textId="77777777" w:rsidR="00AB5D92" w:rsidRDefault="00AB5D92" w:rsidP="00482EDA">
      <w:pPr>
        <w:spacing w:after="0" w:line="240" w:lineRule="auto"/>
      </w:pPr>
      <w:r>
        <w:separator/>
      </w:r>
    </w:p>
  </w:footnote>
  <w:footnote w:type="continuationSeparator" w:id="0">
    <w:p w14:paraId="090AE207" w14:textId="77777777" w:rsidR="00AB5D92" w:rsidRDefault="00AB5D92" w:rsidP="00482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4CB"/>
    <w:multiLevelType w:val="hybridMultilevel"/>
    <w:tmpl w:val="4B9ACFD6"/>
    <w:lvl w:ilvl="0" w:tplc="4A225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1D10"/>
    <w:multiLevelType w:val="hybridMultilevel"/>
    <w:tmpl w:val="EE9C6D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D64BD4"/>
    <w:multiLevelType w:val="hybridMultilevel"/>
    <w:tmpl w:val="1A5ECA3C"/>
    <w:lvl w:ilvl="0" w:tplc="0C5EF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778AF"/>
    <w:multiLevelType w:val="hybridMultilevel"/>
    <w:tmpl w:val="DAC0789C"/>
    <w:lvl w:ilvl="0" w:tplc="AEE2A7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8A1C48"/>
    <w:multiLevelType w:val="hybridMultilevel"/>
    <w:tmpl w:val="E64A4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C43A2"/>
    <w:multiLevelType w:val="hybridMultilevel"/>
    <w:tmpl w:val="23306C80"/>
    <w:lvl w:ilvl="0" w:tplc="B37C4B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9850EF"/>
    <w:multiLevelType w:val="hybridMultilevel"/>
    <w:tmpl w:val="5226D9B4"/>
    <w:lvl w:ilvl="0" w:tplc="DE063DF6">
      <w:start w:val="1"/>
      <w:numFmt w:val="decimal"/>
      <w:lvlText w:val="%1)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15C8E"/>
    <w:multiLevelType w:val="hybridMultilevel"/>
    <w:tmpl w:val="CEB44390"/>
    <w:lvl w:ilvl="0" w:tplc="2D92BA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ED547B"/>
    <w:multiLevelType w:val="multilevel"/>
    <w:tmpl w:val="A0A66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D854FEE"/>
    <w:multiLevelType w:val="hybridMultilevel"/>
    <w:tmpl w:val="BF361A10"/>
    <w:lvl w:ilvl="0" w:tplc="761212E8">
      <w:start w:val="1"/>
      <w:numFmt w:val="decimal"/>
      <w:lvlText w:val="%1."/>
      <w:lvlJc w:val="left"/>
      <w:pPr>
        <w:ind w:left="1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3F551F5"/>
    <w:multiLevelType w:val="hybridMultilevel"/>
    <w:tmpl w:val="96D02172"/>
    <w:lvl w:ilvl="0" w:tplc="B5003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A1300"/>
    <w:multiLevelType w:val="hybridMultilevel"/>
    <w:tmpl w:val="E8A49796"/>
    <w:lvl w:ilvl="0" w:tplc="E2F46DC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91B7F"/>
    <w:multiLevelType w:val="hybridMultilevel"/>
    <w:tmpl w:val="82AEE6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51FF9"/>
    <w:multiLevelType w:val="hybridMultilevel"/>
    <w:tmpl w:val="3AE4BB50"/>
    <w:lvl w:ilvl="0" w:tplc="3B964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73100"/>
    <w:multiLevelType w:val="hybridMultilevel"/>
    <w:tmpl w:val="28025092"/>
    <w:lvl w:ilvl="0" w:tplc="3E0E0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  <w:num w:numId="13">
    <w:abstractNumId w:val="1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05"/>
    <w:rsid w:val="00001D09"/>
    <w:rsid w:val="000125BE"/>
    <w:rsid w:val="0001633C"/>
    <w:rsid w:val="00021108"/>
    <w:rsid w:val="000224EA"/>
    <w:rsid w:val="0002521E"/>
    <w:rsid w:val="00030001"/>
    <w:rsid w:val="00030D06"/>
    <w:rsid w:val="00032277"/>
    <w:rsid w:val="000366E2"/>
    <w:rsid w:val="00037B28"/>
    <w:rsid w:val="00037F0F"/>
    <w:rsid w:val="000400F8"/>
    <w:rsid w:val="00044BDD"/>
    <w:rsid w:val="000450CE"/>
    <w:rsid w:val="00045357"/>
    <w:rsid w:val="00045E75"/>
    <w:rsid w:val="00047641"/>
    <w:rsid w:val="0005436E"/>
    <w:rsid w:val="00055412"/>
    <w:rsid w:val="00060E15"/>
    <w:rsid w:val="00061C99"/>
    <w:rsid w:val="000620BA"/>
    <w:rsid w:val="000650CD"/>
    <w:rsid w:val="00070A05"/>
    <w:rsid w:val="00071D78"/>
    <w:rsid w:val="0007563B"/>
    <w:rsid w:val="000757A4"/>
    <w:rsid w:val="000761B0"/>
    <w:rsid w:val="00080A1F"/>
    <w:rsid w:val="00081140"/>
    <w:rsid w:val="0008123C"/>
    <w:rsid w:val="0008479D"/>
    <w:rsid w:val="0009095D"/>
    <w:rsid w:val="00094398"/>
    <w:rsid w:val="000951CF"/>
    <w:rsid w:val="000952D8"/>
    <w:rsid w:val="0009618B"/>
    <w:rsid w:val="000A1FC4"/>
    <w:rsid w:val="000A7086"/>
    <w:rsid w:val="000B0ACE"/>
    <w:rsid w:val="000B1E6F"/>
    <w:rsid w:val="000B2A3D"/>
    <w:rsid w:val="000B320D"/>
    <w:rsid w:val="000B5DB3"/>
    <w:rsid w:val="000B7CDE"/>
    <w:rsid w:val="000C32A2"/>
    <w:rsid w:val="000C4AE1"/>
    <w:rsid w:val="000C508E"/>
    <w:rsid w:val="000C6967"/>
    <w:rsid w:val="000D159D"/>
    <w:rsid w:val="000D1851"/>
    <w:rsid w:val="000D5A97"/>
    <w:rsid w:val="000E395F"/>
    <w:rsid w:val="000E7E68"/>
    <w:rsid w:val="000F7825"/>
    <w:rsid w:val="00101061"/>
    <w:rsid w:val="00103063"/>
    <w:rsid w:val="00103D84"/>
    <w:rsid w:val="0010495C"/>
    <w:rsid w:val="00104EB1"/>
    <w:rsid w:val="00107A62"/>
    <w:rsid w:val="0011559A"/>
    <w:rsid w:val="001204DC"/>
    <w:rsid w:val="001213B7"/>
    <w:rsid w:val="00135237"/>
    <w:rsid w:val="00136F8D"/>
    <w:rsid w:val="0014068C"/>
    <w:rsid w:val="0014437D"/>
    <w:rsid w:val="00145146"/>
    <w:rsid w:val="00147166"/>
    <w:rsid w:val="001521CE"/>
    <w:rsid w:val="00155830"/>
    <w:rsid w:val="0016008F"/>
    <w:rsid w:val="0016121C"/>
    <w:rsid w:val="00162A34"/>
    <w:rsid w:val="00166466"/>
    <w:rsid w:val="00170AD1"/>
    <w:rsid w:val="00170DFF"/>
    <w:rsid w:val="0017110F"/>
    <w:rsid w:val="001719FA"/>
    <w:rsid w:val="001817B7"/>
    <w:rsid w:val="0018603D"/>
    <w:rsid w:val="001927E8"/>
    <w:rsid w:val="001927F9"/>
    <w:rsid w:val="00192C50"/>
    <w:rsid w:val="0019757D"/>
    <w:rsid w:val="001976D9"/>
    <w:rsid w:val="00197B21"/>
    <w:rsid w:val="001A3586"/>
    <w:rsid w:val="001A6A3C"/>
    <w:rsid w:val="001A6FCE"/>
    <w:rsid w:val="001A77CB"/>
    <w:rsid w:val="001B1731"/>
    <w:rsid w:val="001B34CB"/>
    <w:rsid w:val="001B746F"/>
    <w:rsid w:val="001C51DA"/>
    <w:rsid w:val="001C6A9B"/>
    <w:rsid w:val="001D042B"/>
    <w:rsid w:val="001D15D5"/>
    <w:rsid w:val="001D17DD"/>
    <w:rsid w:val="001D5CB0"/>
    <w:rsid w:val="001E140A"/>
    <w:rsid w:val="001E3CD4"/>
    <w:rsid w:val="001E6519"/>
    <w:rsid w:val="001E7EE0"/>
    <w:rsid w:val="001F1714"/>
    <w:rsid w:val="001F3A62"/>
    <w:rsid w:val="001F5B2F"/>
    <w:rsid w:val="0020054E"/>
    <w:rsid w:val="002060ED"/>
    <w:rsid w:val="002061C5"/>
    <w:rsid w:val="0021544D"/>
    <w:rsid w:val="00215579"/>
    <w:rsid w:val="00221EB8"/>
    <w:rsid w:val="00221FE2"/>
    <w:rsid w:val="002224B7"/>
    <w:rsid w:val="00222566"/>
    <w:rsid w:val="002239E0"/>
    <w:rsid w:val="00234B59"/>
    <w:rsid w:val="00235AD4"/>
    <w:rsid w:val="00235F58"/>
    <w:rsid w:val="002364FF"/>
    <w:rsid w:val="0023749E"/>
    <w:rsid w:val="00242C13"/>
    <w:rsid w:val="00244CF6"/>
    <w:rsid w:val="00247B82"/>
    <w:rsid w:val="00253B6E"/>
    <w:rsid w:val="00254DCB"/>
    <w:rsid w:val="00261874"/>
    <w:rsid w:val="00266A0E"/>
    <w:rsid w:val="00274733"/>
    <w:rsid w:val="002808F6"/>
    <w:rsid w:val="00281C62"/>
    <w:rsid w:val="00285DBF"/>
    <w:rsid w:val="00291690"/>
    <w:rsid w:val="002946D4"/>
    <w:rsid w:val="002968AD"/>
    <w:rsid w:val="002A0D6D"/>
    <w:rsid w:val="002A34CF"/>
    <w:rsid w:val="002A3EF7"/>
    <w:rsid w:val="002A5D5B"/>
    <w:rsid w:val="002B0A7F"/>
    <w:rsid w:val="002B2E0A"/>
    <w:rsid w:val="002B3CAB"/>
    <w:rsid w:val="002C2C80"/>
    <w:rsid w:val="002D14B8"/>
    <w:rsid w:val="002D2316"/>
    <w:rsid w:val="002D4038"/>
    <w:rsid w:val="002E4FA9"/>
    <w:rsid w:val="002F16A4"/>
    <w:rsid w:val="002F3BB4"/>
    <w:rsid w:val="002F42F8"/>
    <w:rsid w:val="002F5442"/>
    <w:rsid w:val="00303466"/>
    <w:rsid w:val="003039D2"/>
    <w:rsid w:val="00304DE4"/>
    <w:rsid w:val="0030526C"/>
    <w:rsid w:val="00311CD3"/>
    <w:rsid w:val="00315148"/>
    <w:rsid w:val="00315316"/>
    <w:rsid w:val="003201A5"/>
    <w:rsid w:val="00320BCA"/>
    <w:rsid w:val="003228EE"/>
    <w:rsid w:val="003252D3"/>
    <w:rsid w:val="0032768E"/>
    <w:rsid w:val="003322D9"/>
    <w:rsid w:val="00333631"/>
    <w:rsid w:val="00333F86"/>
    <w:rsid w:val="00345308"/>
    <w:rsid w:val="003526B9"/>
    <w:rsid w:val="003545F9"/>
    <w:rsid w:val="0036479A"/>
    <w:rsid w:val="00370760"/>
    <w:rsid w:val="00373CE7"/>
    <w:rsid w:val="00376A17"/>
    <w:rsid w:val="00376E70"/>
    <w:rsid w:val="0038256A"/>
    <w:rsid w:val="00384498"/>
    <w:rsid w:val="00391F03"/>
    <w:rsid w:val="00392C14"/>
    <w:rsid w:val="00394FB9"/>
    <w:rsid w:val="003A2111"/>
    <w:rsid w:val="003B0B23"/>
    <w:rsid w:val="003B436B"/>
    <w:rsid w:val="003B625E"/>
    <w:rsid w:val="003B7A13"/>
    <w:rsid w:val="003C45A2"/>
    <w:rsid w:val="003C4BC4"/>
    <w:rsid w:val="003D5B9A"/>
    <w:rsid w:val="003D7CB0"/>
    <w:rsid w:val="003F129A"/>
    <w:rsid w:val="003F1A33"/>
    <w:rsid w:val="003F2E05"/>
    <w:rsid w:val="003F7163"/>
    <w:rsid w:val="0040554D"/>
    <w:rsid w:val="004106B1"/>
    <w:rsid w:val="00416D5B"/>
    <w:rsid w:val="0042223E"/>
    <w:rsid w:val="00423902"/>
    <w:rsid w:val="004250CC"/>
    <w:rsid w:val="004314CA"/>
    <w:rsid w:val="00434693"/>
    <w:rsid w:val="004358C6"/>
    <w:rsid w:val="00437411"/>
    <w:rsid w:val="00441E0C"/>
    <w:rsid w:val="00442220"/>
    <w:rsid w:val="00445D2A"/>
    <w:rsid w:val="00446B2C"/>
    <w:rsid w:val="00453D3E"/>
    <w:rsid w:val="00454BEB"/>
    <w:rsid w:val="00460039"/>
    <w:rsid w:val="004637B6"/>
    <w:rsid w:val="004654D1"/>
    <w:rsid w:val="00470186"/>
    <w:rsid w:val="00471272"/>
    <w:rsid w:val="004731CC"/>
    <w:rsid w:val="00480314"/>
    <w:rsid w:val="0048278B"/>
    <w:rsid w:val="00482EDA"/>
    <w:rsid w:val="0048411B"/>
    <w:rsid w:val="00484CE7"/>
    <w:rsid w:val="004864FC"/>
    <w:rsid w:val="004867CF"/>
    <w:rsid w:val="004948FC"/>
    <w:rsid w:val="00494FDD"/>
    <w:rsid w:val="00496568"/>
    <w:rsid w:val="004A0ACF"/>
    <w:rsid w:val="004A3DEF"/>
    <w:rsid w:val="004A7A22"/>
    <w:rsid w:val="004B72E4"/>
    <w:rsid w:val="004C27D1"/>
    <w:rsid w:val="004C2C7B"/>
    <w:rsid w:val="004C6130"/>
    <w:rsid w:val="004C6A3A"/>
    <w:rsid w:val="004C7172"/>
    <w:rsid w:val="004D0C5D"/>
    <w:rsid w:val="004D163D"/>
    <w:rsid w:val="004D32D8"/>
    <w:rsid w:val="004D5991"/>
    <w:rsid w:val="004E374A"/>
    <w:rsid w:val="004E3EF0"/>
    <w:rsid w:val="004E529B"/>
    <w:rsid w:val="004F232A"/>
    <w:rsid w:val="004F39E1"/>
    <w:rsid w:val="004F79FC"/>
    <w:rsid w:val="005008EC"/>
    <w:rsid w:val="005009C4"/>
    <w:rsid w:val="00500D29"/>
    <w:rsid w:val="00502D17"/>
    <w:rsid w:val="00503458"/>
    <w:rsid w:val="00503A87"/>
    <w:rsid w:val="005054FD"/>
    <w:rsid w:val="00507267"/>
    <w:rsid w:val="00511A3F"/>
    <w:rsid w:val="00512655"/>
    <w:rsid w:val="005145EA"/>
    <w:rsid w:val="00515B7A"/>
    <w:rsid w:val="005165FB"/>
    <w:rsid w:val="005221A3"/>
    <w:rsid w:val="00526354"/>
    <w:rsid w:val="00526A5D"/>
    <w:rsid w:val="00540136"/>
    <w:rsid w:val="00540A4E"/>
    <w:rsid w:val="005451D7"/>
    <w:rsid w:val="005505BD"/>
    <w:rsid w:val="00553129"/>
    <w:rsid w:val="00556811"/>
    <w:rsid w:val="00561A37"/>
    <w:rsid w:val="005622A8"/>
    <w:rsid w:val="00562ECC"/>
    <w:rsid w:val="00564BB2"/>
    <w:rsid w:val="00565598"/>
    <w:rsid w:val="00565F4A"/>
    <w:rsid w:val="00566437"/>
    <w:rsid w:val="00572803"/>
    <w:rsid w:val="00573BC6"/>
    <w:rsid w:val="0057760B"/>
    <w:rsid w:val="00580D0D"/>
    <w:rsid w:val="00581120"/>
    <w:rsid w:val="00585C07"/>
    <w:rsid w:val="00587CED"/>
    <w:rsid w:val="00587FB1"/>
    <w:rsid w:val="005901D8"/>
    <w:rsid w:val="00593915"/>
    <w:rsid w:val="00594FD4"/>
    <w:rsid w:val="0059707F"/>
    <w:rsid w:val="00597F61"/>
    <w:rsid w:val="005B0086"/>
    <w:rsid w:val="005B3C2B"/>
    <w:rsid w:val="005B660D"/>
    <w:rsid w:val="005B6659"/>
    <w:rsid w:val="005C08FC"/>
    <w:rsid w:val="005C2341"/>
    <w:rsid w:val="005C301E"/>
    <w:rsid w:val="005C5BD2"/>
    <w:rsid w:val="005C6DB0"/>
    <w:rsid w:val="005C7298"/>
    <w:rsid w:val="005D1C32"/>
    <w:rsid w:val="005D38DE"/>
    <w:rsid w:val="005D6AB2"/>
    <w:rsid w:val="005E1B91"/>
    <w:rsid w:val="005E363F"/>
    <w:rsid w:val="005E3C8F"/>
    <w:rsid w:val="005E7BC5"/>
    <w:rsid w:val="005F10AC"/>
    <w:rsid w:val="005F1916"/>
    <w:rsid w:val="005F4F74"/>
    <w:rsid w:val="005F55B1"/>
    <w:rsid w:val="006011BA"/>
    <w:rsid w:val="00602094"/>
    <w:rsid w:val="0060520D"/>
    <w:rsid w:val="00610E80"/>
    <w:rsid w:val="00617DD7"/>
    <w:rsid w:val="00620E26"/>
    <w:rsid w:val="00623B7D"/>
    <w:rsid w:val="00624C0C"/>
    <w:rsid w:val="00626DC9"/>
    <w:rsid w:val="00630AFE"/>
    <w:rsid w:val="006310C5"/>
    <w:rsid w:val="0063491E"/>
    <w:rsid w:val="00635E5C"/>
    <w:rsid w:val="00637CEA"/>
    <w:rsid w:val="00641CA4"/>
    <w:rsid w:val="0064474A"/>
    <w:rsid w:val="00644F41"/>
    <w:rsid w:val="00647EE4"/>
    <w:rsid w:val="006511D9"/>
    <w:rsid w:val="00651B56"/>
    <w:rsid w:val="006549AF"/>
    <w:rsid w:val="0065786F"/>
    <w:rsid w:val="00665850"/>
    <w:rsid w:val="00670024"/>
    <w:rsid w:val="006710AA"/>
    <w:rsid w:val="0067323E"/>
    <w:rsid w:val="00675B4B"/>
    <w:rsid w:val="0068110F"/>
    <w:rsid w:val="00682B3A"/>
    <w:rsid w:val="006846DD"/>
    <w:rsid w:val="00684812"/>
    <w:rsid w:val="006854F3"/>
    <w:rsid w:val="006861F1"/>
    <w:rsid w:val="0068754F"/>
    <w:rsid w:val="00687611"/>
    <w:rsid w:val="00690BCF"/>
    <w:rsid w:val="00692648"/>
    <w:rsid w:val="006A0667"/>
    <w:rsid w:val="006A073D"/>
    <w:rsid w:val="006A4722"/>
    <w:rsid w:val="006A6BF2"/>
    <w:rsid w:val="006B056B"/>
    <w:rsid w:val="006B1BE8"/>
    <w:rsid w:val="006B3C0C"/>
    <w:rsid w:val="006B6A81"/>
    <w:rsid w:val="006C14EC"/>
    <w:rsid w:val="006C2F14"/>
    <w:rsid w:val="006C3BCB"/>
    <w:rsid w:val="006C6391"/>
    <w:rsid w:val="006C6883"/>
    <w:rsid w:val="006C76E8"/>
    <w:rsid w:val="006C7997"/>
    <w:rsid w:val="006C7B71"/>
    <w:rsid w:val="006D270B"/>
    <w:rsid w:val="006D3FA5"/>
    <w:rsid w:val="006D45AC"/>
    <w:rsid w:val="006D58CA"/>
    <w:rsid w:val="006D62E4"/>
    <w:rsid w:val="006E07AD"/>
    <w:rsid w:val="006E3909"/>
    <w:rsid w:val="006E4DF1"/>
    <w:rsid w:val="006E6695"/>
    <w:rsid w:val="006F5C40"/>
    <w:rsid w:val="007001B8"/>
    <w:rsid w:val="00700306"/>
    <w:rsid w:val="00702CE5"/>
    <w:rsid w:val="0070357D"/>
    <w:rsid w:val="00704898"/>
    <w:rsid w:val="007063B0"/>
    <w:rsid w:val="00707D3F"/>
    <w:rsid w:val="00720C4A"/>
    <w:rsid w:val="00726685"/>
    <w:rsid w:val="007322CD"/>
    <w:rsid w:val="00732779"/>
    <w:rsid w:val="007341D2"/>
    <w:rsid w:val="00743724"/>
    <w:rsid w:val="00743898"/>
    <w:rsid w:val="007543F1"/>
    <w:rsid w:val="00760808"/>
    <w:rsid w:val="00761D8A"/>
    <w:rsid w:val="007623BA"/>
    <w:rsid w:val="00762FEF"/>
    <w:rsid w:val="00763800"/>
    <w:rsid w:val="00766745"/>
    <w:rsid w:val="00766A2E"/>
    <w:rsid w:val="00767017"/>
    <w:rsid w:val="0076776B"/>
    <w:rsid w:val="0077067E"/>
    <w:rsid w:val="00772E32"/>
    <w:rsid w:val="00773527"/>
    <w:rsid w:val="00773DE1"/>
    <w:rsid w:val="00780682"/>
    <w:rsid w:val="007808A5"/>
    <w:rsid w:val="007808DE"/>
    <w:rsid w:val="007809C9"/>
    <w:rsid w:val="00782D32"/>
    <w:rsid w:val="00783894"/>
    <w:rsid w:val="007838D3"/>
    <w:rsid w:val="00793261"/>
    <w:rsid w:val="00794E15"/>
    <w:rsid w:val="00795E2D"/>
    <w:rsid w:val="00796273"/>
    <w:rsid w:val="007963DD"/>
    <w:rsid w:val="007971B8"/>
    <w:rsid w:val="007A1317"/>
    <w:rsid w:val="007A17D5"/>
    <w:rsid w:val="007A20F1"/>
    <w:rsid w:val="007A6212"/>
    <w:rsid w:val="007A7487"/>
    <w:rsid w:val="007B081B"/>
    <w:rsid w:val="007B25C6"/>
    <w:rsid w:val="007B486F"/>
    <w:rsid w:val="007B6D3E"/>
    <w:rsid w:val="007C02B7"/>
    <w:rsid w:val="007C24C9"/>
    <w:rsid w:val="007C4DF3"/>
    <w:rsid w:val="007C6A91"/>
    <w:rsid w:val="007C7894"/>
    <w:rsid w:val="007D1C41"/>
    <w:rsid w:val="007D21D8"/>
    <w:rsid w:val="007D57B5"/>
    <w:rsid w:val="007E3565"/>
    <w:rsid w:val="007F2608"/>
    <w:rsid w:val="007F6A3F"/>
    <w:rsid w:val="008003D9"/>
    <w:rsid w:val="008006C2"/>
    <w:rsid w:val="008017EB"/>
    <w:rsid w:val="00802643"/>
    <w:rsid w:val="00802C3E"/>
    <w:rsid w:val="00803997"/>
    <w:rsid w:val="008039DE"/>
    <w:rsid w:val="00803B73"/>
    <w:rsid w:val="008066B1"/>
    <w:rsid w:val="0081068D"/>
    <w:rsid w:val="008132E7"/>
    <w:rsid w:val="0081605D"/>
    <w:rsid w:val="008165FC"/>
    <w:rsid w:val="0082044F"/>
    <w:rsid w:val="008348F2"/>
    <w:rsid w:val="008368AA"/>
    <w:rsid w:val="00842CB9"/>
    <w:rsid w:val="00853A24"/>
    <w:rsid w:val="00853E1A"/>
    <w:rsid w:val="00861D1B"/>
    <w:rsid w:val="008643E6"/>
    <w:rsid w:val="0087091C"/>
    <w:rsid w:val="008717D3"/>
    <w:rsid w:val="00873026"/>
    <w:rsid w:val="0087308A"/>
    <w:rsid w:val="008746B1"/>
    <w:rsid w:val="00875515"/>
    <w:rsid w:val="00875CC2"/>
    <w:rsid w:val="00881A10"/>
    <w:rsid w:val="0088741C"/>
    <w:rsid w:val="0089009B"/>
    <w:rsid w:val="00890A4E"/>
    <w:rsid w:val="008A46B4"/>
    <w:rsid w:val="008C2548"/>
    <w:rsid w:val="008C46E4"/>
    <w:rsid w:val="008C5B82"/>
    <w:rsid w:val="008D2D93"/>
    <w:rsid w:val="008D4173"/>
    <w:rsid w:val="008D6D1C"/>
    <w:rsid w:val="008E130A"/>
    <w:rsid w:val="008E18C3"/>
    <w:rsid w:val="008E4E13"/>
    <w:rsid w:val="008E6193"/>
    <w:rsid w:val="008E7006"/>
    <w:rsid w:val="008E74CA"/>
    <w:rsid w:val="008F1790"/>
    <w:rsid w:val="008F1EB7"/>
    <w:rsid w:val="008F5E2E"/>
    <w:rsid w:val="0090271B"/>
    <w:rsid w:val="0090341B"/>
    <w:rsid w:val="00903FC0"/>
    <w:rsid w:val="009042A5"/>
    <w:rsid w:val="00904563"/>
    <w:rsid w:val="009046A6"/>
    <w:rsid w:val="009050C6"/>
    <w:rsid w:val="00907D2C"/>
    <w:rsid w:val="00907DDF"/>
    <w:rsid w:val="0091118C"/>
    <w:rsid w:val="0091201F"/>
    <w:rsid w:val="009120FA"/>
    <w:rsid w:val="00913465"/>
    <w:rsid w:val="0091456A"/>
    <w:rsid w:val="0091581E"/>
    <w:rsid w:val="00916F08"/>
    <w:rsid w:val="0092061E"/>
    <w:rsid w:val="00921B5F"/>
    <w:rsid w:val="00925A59"/>
    <w:rsid w:val="00932BB3"/>
    <w:rsid w:val="00934396"/>
    <w:rsid w:val="0093460D"/>
    <w:rsid w:val="00935309"/>
    <w:rsid w:val="009375C8"/>
    <w:rsid w:val="00937E9B"/>
    <w:rsid w:val="0094050B"/>
    <w:rsid w:val="00944B6C"/>
    <w:rsid w:val="00945E14"/>
    <w:rsid w:val="0095095A"/>
    <w:rsid w:val="00951558"/>
    <w:rsid w:val="00953F2A"/>
    <w:rsid w:val="00955A19"/>
    <w:rsid w:val="00957DE5"/>
    <w:rsid w:val="00962095"/>
    <w:rsid w:val="00962AD3"/>
    <w:rsid w:val="00965DBD"/>
    <w:rsid w:val="009662D6"/>
    <w:rsid w:val="00967C3D"/>
    <w:rsid w:val="00972C39"/>
    <w:rsid w:val="0097712F"/>
    <w:rsid w:val="00977B1C"/>
    <w:rsid w:val="009805D9"/>
    <w:rsid w:val="00985D84"/>
    <w:rsid w:val="0098646B"/>
    <w:rsid w:val="00987FD0"/>
    <w:rsid w:val="00993756"/>
    <w:rsid w:val="00994AB7"/>
    <w:rsid w:val="00995D31"/>
    <w:rsid w:val="0099675F"/>
    <w:rsid w:val="009969E9"/>
    <w:rsid w:val="00997315"/>
    <w:rsid w:val="00997B1E"/>
    <w:rsid w:val="009A1E7E"/>
    <w:rsid w:val="009A5309"/>
    <w:rsid w:val="009A630E"/>
    <w:rsid w:val="009A6EFE"/>
    <w:rsid w:val="009B149C"/>
    <w:rsid w:val="009B2057"/>
    <w:rsid w:val="009B2B07"/>
    <w:rsid w:val="009B2CB4"/>
    <w:rsid w:val="009B4B6A"/>
    <w:rsid w:val="009B5002"/>
    <w:rsid w:val="009C28FB"/>
    <w:rsid w:val="009C2CF8"/>
    <w:rsid w:val="009C3C24"/>
    <w:rsid w:val="009C3D32"/>
    <w:rsid w:val="009C47FC"/>
    <w:rsid w:val="009C658D"/>
    <w:rsid w:val="009D11DB"/>
    <w:rsid w:val="009D1374"/>
    <w:rsid w:val="009D449B"/>
    <w:rsid w:val="009D5347"/>
    <w:rsid w:val="009D577C"/>
    <w:rsid w:val="009D5C97"/>
    <w:rsid w:val="009D6970"/>
    <w:rsid w:val="009E1573"/>
    <w:rsid w:val="009E2E0B"/>
    <w:rsid w:val="009E43CB"/>
    <w:rsid w:val="009E4B82"/>
    <w:rsid w:val="009E60C1"/>
    <w:rsid w:val="009F67CA"/>
    <w:rsid w:val="00A05DDF"/>
    <w:rsid w:val="00A05ECC"/>
    <w:rsid w:val="00A15532"/>
    <w:rsid w:val="00A16832"/>
    <w:rsid w:val="00A17E87"/>
    <w:rsid w:val="00A243ED"/>
    <w:rsid w:val="00A2594B"/>
    <w:rsid w:val="00A26DAC"/>
    <w:rsid w:val="00A27BEF"/>
    <w:rsid w:val="00A314F4"/>
    <w:rsid w:val="00A31D30"/>
    <w:rsid w:val="00A40570"/>
    <w:rsid w:val="00A41C41"/>
    <w:rsid w:val="00A55890"/>
    <w:rsid w:val="00A5717B"/>
    <w:rsid w:val="00A61D8C"/>
    <w:rsid w:val="00A62CEA"/>
    <w:rsid w:val="00A6368F"/>
    <w:rsid w:val="00A6453A"/>
    <w:rsid w:val="00A70A63"/>
    <w:rsid w:val="00A720C0"/>
    <w:rsid w:val="00A74119"/>
    <w:rsid w:val="00A8443F"/>
    <w:rsid w:val="00A85200"/>
    <w:rsid w:val="00A8598B"/>
    <w:rsid w:val="00A90F58"/>
    <w:rsid w:val="00A91CBE"/>
    <w:rsid w:val="00A93437"/>
    <w:rsid w:val="00A96376"/>
    <w:rsid w:val="00A971F9"/>
    <w:rsid w:val="00A97701"/>
    <w:rsid w:val="00AA2E6D"/>
    <w:rsid w:val="00AA67DE"/>
    <w:rsid w:val="00AA7DDC"/>
    <w:rsid w:val="00AB171B"/>
    <w:rsid w:val="00AB3810"/>
    <w:rsid w:val="00AB5D92"/>
    <w:rsid w:val="00AC1CEE"/>
    <w:rsid w:val="00AD157B"/>
    <w:rsid w:val="00AD2056"/>
    <w:rsid w:val="00AD3BF6"/>
    <w:rsid w:val="00AD5B55"/>
    <w:rsid w:val="00AD6389"/>
    <w:rsid w:val="00AE10E4"/>
    <w:rsid w:val="00AE128F"/>
    <w:rsid w:val="00AE506D"/>
    <w:rsid w:val="00AE54CA"/>
    <w:rsid w:val="00AE7FD1"/>
    <w:rsid w:val="00AF3C23"/>
    <w:rsid w:val="00B01485"/>
    <w:rsid w:val="00B018BA"/>
    <w:rsid w:val="00B04B3B"/>
    <w:rsid w:val="00B061DF"/>
    <w:rsid w:val="00B06EDD"/>
    <w:rsid w:val="00B125CA"/>
    <w:rsid w:val="00B1336B"/>
    <w:rsid w:val="00B14C45"/>
    <w:rsid w:val="00B15EE7"/>
    <w:rsid w:val="00B203FD"/>
    <w:rsid w:val="00B21648"/>
    <w:rsid w:val="00B227B6"/>
    <w:rsid w:val="00B250B6"/>
    <w:rsid w:val="00B276C1"/>
    <w:rsid w:val="00B27FE2"/>
    <w:rsid w:val="00B3324B"/>
    <w:rsid w:val="00B34E50"/>
    <w:rsid w:val="00B3696D"/>
    <w:rsid w:val="00B40C7E"/>
    <w:rsid w:val="00B40F78"/>
    <w:rsid w:val="00B43FC3"/>
    <w:rsid w:val="00B44300"/>
    <w:rsid w:val="00B46911"/>
    <w:rsid w:val="00B50C15"/>
    <w:rsid w:val="00B540D6"/>
    <w:rsid w:val="00B5698F"/>
    <w:rsid w:val="00B609CE"/>
    <w:rsid w:val="00B618B5"/>
    <w:rsid w:val="00B64045"/>
    <w:rsid w:val="00B65CAC"/>
    <w:rsid w:val="00B66990"/>
    <w:rsid w:val="00B671A7"/>
    <w:rsid w:val="00B74811"/>
    <w:rsid w:val="00B7572F"/>
    <w:rsid w:val="00B8040B"/>
    <w:rsid w:val="00B81AA6"/>
    <w:rsid w:val="00B81DA1"/>
    <w:rsid w:val="00B830D9"/>
    <w:rsid w:val="00B84169"/>
    <w:rsid w:val="00B86987"/>
    <w:rsid w:val="00B86CAF"/>
    <w:rsid w:val="00B91572"/>
    <w:rsid w:val="00B941E6"/>
    <w:rsid w:val="00B97968"/>
    <w:rsid w:val="00BA056C"/>
    <w:rsid w:val="00BB2E5A"/>
    <w:rsid w:val="00BB60F3"/>
    <w:rsid w:val="00BC087B"/>
    <w:rsid w:val="00BC0CB0"/>
    <w:rsid w:val="00BC14E1"/>
    <w:rsid w:val="00BD0F9E"/>
    <w:rsid w:val="00BD4E42"/>
    <w:rsid w:val="00BE68E4"/>
    <w:rsid w:val="00BE766F"/>
    <w:rsid w:val="00BF4935"/>
    <w:rsid w:val="00BF64B4"/>
    <w:rsid w:val="00C02552"/>
    <w:rsid w:val="00C059B7"/>
    <w:rsid w:val="00C05A23"/>
    <w:rsid w:val="00C128A7"/>
    <w:rsid w:val="00C16C4E"/>
    <w:rsid w:val="00C1721B"/>
    <w:rsid w:val="00C22384"/>
    <w:rsid w:val="00C26B41"/>
    <w:rsid w:val="00C3059D"/>
    <w:rsid w:val="00C34FD2"/>
    <w:rsid w:val="00C3502A"/>
    <w:rsid w:val="00C355EE"/>
    <w:rsid w:val="00C35E53"/>
    <w:rsid w:val="00C37F44"/>
    <w:rsid w:val="00C4110C"/>
    <w:rsid w:val="00C431E4"/>
    <w:rsid w:val="00C44F10"/>
    <w:rsid w:val="00C450F0"/>
    <w:rsid w:val="00C50438"/>
    <w:rsid w:val="00C50755"/>
    <w:rsid w:val="00C5156F"/>
    <w:rsid w:val="00C52858"/>
    <w:rsid w:val="00C55FF4"/>
    <w:rsid w:val="00C611A6"/>
    <w:rsid w:val="00C65716"/>
    <w:rsid w:val="00C66E14"/>
    <w:rsid w:val="00C67520"/>
    <w:rsid w:val="00C71857"/>
    <w:rsid w:val="00C718B0"/>
    <w:rsid w:val="00C72E09"/>
    <w:rsid w:val="00C75BD7"/>
    <w:rsid w:val="00C77EE3"/>
    <w:rsid w:val="00C77FDC"/>
    <w:rsid w:val="00C80B0A"/>
    <w:rsid w:val="00C80B57"/>
    <w:rsid w:val="00C81B49"/>
    <w:rsid w:val="00C8227A"/>
    <w:rsid w:val="00C84897"/>
    <w:rsid w:val="00C906A3"/>
    <w:rsid w:val="00C92745"/>
    <w:rsid w:val="00CA0B06"/>
    <w:rsid w:val="00CA13D8"/>
    <w:rsid w:val="00CA22C6"/>
    <w:rsid w:val="00CA2851"/>
    <w:rsid w:val="00CA3729"/>
    <w:rsid w:val="00CB0FD5"/>
    <w:rsid w:val="00CB27B0"/>
    <w:rsid w:val="00CB2D0A"/>
    <w:rsid w:val="00CB2E1E"/>
    <w:rsid w:val="00CB5115"/>
    <w:rsid w:val="00CB6E35"/>
    <w:rsid w:val="00CB7410"/>
    <w:rsid w:val="00CC0D16"/>
    <w:rsid w:val="00CC0F23"/>
    <w:rsid w:val="00CC2834"/>
    <w:rsid w:val="00CD0CD4"/>
    <w:rsid w:val="00CD1A68"/>
    <w:rsid w:val="00CD32D1"/>
    <w:rsid w:val="00CD7C9E"/>
    <w:rsid w:val="00CE1637"/>
    <w:rsid w:val="00CE4D11"/>
    <w:rsid w:val="00CE5AB6"/>
    <w:rsid w:val="00CE654E"/>
    <w:rsid w:val="00CF227F"/>
    <w:rsid w:val="00CF634E"/>
    <w:rsid w:val="00CF6FE4"/>
    <w:rsid w:val="00D0443D"/>
    <w:rsid w:val="00D11371"/>
    <w:rsid w:val="00D11961"/>
    <w:rsid w:val="00D11DDE"/>
    <w:rsid w:val="00D13E64"/>
    <w:rsid w:val="00D140A6"/>
    <w:rsid w:val="00D20140"/>
    <w:rsid w:val="00D24029"/>
    <w:rsid w:val="00D24F39"/>
    <w:rsid w:val="00D26B71"/>
    <w:rsid w:val="00D34F59"/>
    <w:rsid w:val="00D355BB"/>
    <w:rsid w:val="00D41D8B"/>
    <w:rsid w:val="00D4282E"/>
    <w:rsid w:val="00D42EF7"/>
    <w:rsid w:val="00D4605B"/>
    <w:rsid w:val="00D46A6F"/>
    <w:rsid w:val="00D46DAB"/>
    <w:rsid w:val="00D46FF1"/>
    <w:rsid w:val="00D5043E"/>
    <w:rsid w:val="00D50EE0"/>
    <w:rsid w:val="00D52536"/>
    <w:rsid w:val="00D53DB4"/>
    <w:rsid w:val="00D566A0"/>
    <w:rsid w:val="00D570B1"/>
    <w:rsid w:val="00D606DA"/>
    <w:rsid w:val="00D65910"/>
    <w:rsid w:val="00D665DD"/>
    <w:rsid w:val="00D675E4"/>
    <w:rsid w:val="00D7280B"/>
    <w:rsid w:val="00D73106"/>
    <w:rsid w:val="00D74A1B"/>
    <w:rsid w:val="00D74B65"/>
    <w:rsid w:val="00D7657B"/>
    <w:rsid w:val="00D7725F"/>
    <w:rsid w:val="00D77699"/>
    <w:rsid w:val="00D80375"/>
    <w:rsid w:val="00D85D72"/>
    <w:rsid w:val="00D85E0C"/>
    <w:rsid w:val="00D8708C"/>
    <w:rsid w:val="00D872B8"/>
    <w:rsid w:val="00D872EA"/>
    <w:rsid w:val="00D879F2"/>
    <w:rsid w:val="00D928C3"/>
    <w:rsid w:val="00D95130"/>
    <w:rsid w:val="00D95DEE"/>
    <w:rsid w:val="00D9643A"/>
    <w:rsid w:val="00D97E58"/>
    <w:rsid w:val="00DA09A8"/>
    <w:rsid w:val="00DA1B61"/>
    <w:rsid w:val="00DA1F9F"/>
    <w:rsid w:val="00DA3A88"/>
    <w:rsid w:val="00DB1193"/>
    <w:rsid w:val="00DB312E"/>
    <w:rsid w:val="00DB39E9"/>
    <w:rsid w:val="00DB51B1"/>
    <w:rsid w:val="00DB681A"/>
    <w:rsid w:val="00DB70C5"/>
    <w:rsid w:val="00DC78A1"/>
    <w:rsid w:val="00DD060C"/>
    <w:rsid w:val="00DD524C"/>
    <w:rsid w:val="00DE096B"/>
    <w:rsid w:val="00DE0B27"/>
    <w:rsid w:val="00DE2F9A"/>
    <w:rsid w:val="00DE33B7"/>
    <w:rsid w:val="00DE412C"/>
    <w:rsid w:val="00DE477A"/>
    <w:rsid w:val="00DE594B"/>
    <w:rsid w:val="00DE65D6"/>
    <w:rsid w:val="00DE7F9E"/>
    <w:rsid w:val="00DF1672"/>
    <w:rsid w:val="00DF2DA5"/>
    <w:rsid w:val="00DF7F88"/>
    <w:rsid w:val="00E0236C"/>
    <w:rsid w:val="00E070F7"/>
    <w:rsid w:val="00E10681"/>
    <w:rsid w:val="00E106D9"/>
    <w:rsid w:val="00E10902"/>
    <w:rsid w:val="00E1106C"/>
    <w:rsid w:val="00E12FC7"/>
    <w:rsid w:val="00E14DCC"/>
    <w:rsid w:val="00E151E3"/>
    <w:rsid w:val="00E171D3"/>
    <w:rsid w:val="00E20BBD"/>
    <w:rsid w:val="00E22656"/>
    <w:rsid w:val="00E23A2E"/>
    <w:rsid w:val="00E24CAF"/>
    <w:rsid w:val="00E25CB6"/>
    <w:rsid w:val="00E26D00"/>
    <w:rsid w:val="00E27BF5"/>
    <w:rsid w:val="00E27EC5"/>
    <w:rsid w:val="00E3177B"/>
    <w:rsid w:val="00E32346"/>
    <w:rsid w:val="00E32E84"/>
    <w:rsid w:val="00E34B8D"/>
    <w:rsid w:val="00E364F0"/>
    <w:rsid w:val="00E36FBF"/>
    <w:rsid w:val="00E4194D"/>
    <w:rsid w:val="00E475CC"/>
    <w:rsid w:val="00E47C6F"/>
    <w:rsid w:val="00E50668"/>
    <w:rsid w:val="00E51152"/>
    <w:rsid w:val="00E5252B"/>
    <w:rsid w:val="00E52868"/>
    <w:rsid w:val="00E52C1F"/>
    <w:rsid w:val="00E54164"/>
    <w:rsid w:val="00E545E4"/>
    <w:rsid w:val="00E57B82"/>
    <w:rsid w:val="00E619F4"/>
    <w:rsid w:val="00E61D06"/>
    <w:rsid w:val="00E66C3F"/>
    <w:rsid w:val="00E70C67"/>
    <w:rsid w:val="00E712A2"/>
    <w:rsid w:val="00E71E09"/>
    <w:rsid w:val="00E723EC"/>
    <w:rsid w:val="00E727BF"/>
    <w:rsid w:val="00E72E89"/>
    <w:rsid w:val="00E83699"/>
    <w:rsid w:val="00E86228"/>
    <w:rsid w:val="00E9225A"/>
    <w:rsid w:val="00E93047"/>
    <w:rsid w:val="00E93284"/>
    <w:rsid w:val="00E9365D"/>
    <w:rsid w:val="00E94BB3"/>
    <w:rsid w:val="00EA171F"/>
    <w:rsid w:val="00EB0171"/>
    <w:rsid w:val="00EB3AB1"/>
    <w:rsid w:val="00EB614E"/>
    <w:rsid w:val="00EB6566"/>
    <w:rsid w:val="00EB7BED"/>
    <w:rsid w:val="00EC0482"/>
    <w:rsid w:val="00EC5FB9"/>
    <w:rsid w:val="00EC7832"/>
    <w:rsid w:val="00ED0F98"/>
    <w:rsid w:val="00EE4E91"/>
    <w:rsid w:val="00EE54CC"/>
    <w:rsid w:val="00EF1773"/>
    <w:rsid w:val="00EF4E11"/>
    <w:rsid w:val="00F0062E"/>
    <w:rsid w:val="00F00EA6"/>
    <w:rsid w:val="00F026A7"/>
    <w:rsid w:val="00F04FC6"/>
    <w:rsid w:val="00F10F8D"/>
    <w:rsid w:val="00F147EC"/>
    <w:rsid w:val="00F1599C"/>
    <w:rsid w:val="00F22977"/>
    <w:rsid w:val="00F25FA2"/>
    <w:rsid w:val="00F371E4"/>
    <w:rsid w:val="00F43BB1"/>
    <w:rsid w:val="00F463BC"/>
    <w:rsid w:val="00F538DC"/>
    <w:rsid w:val="00F55C14"/>
    <w:rsid w:val="00F578E5"/>
    <w:rsid w:val="00F619C8"/>
    <w:rsid w:val="00F61E4E"/>
    <w:rsid w:val="00F62158"/>
    <w:rsid w:val="00F62AD8"/>
    <w:rsid w:val="00F664B5"/>
    <w:rsid w:val="00F75C1C"/>
    <w:rsid w:val="00F80D76"/>
    <w:rsid w:val="00F81C7A"/>
    <w:rsid w:val="00F82D09"/>
    <w:rsid w:val="00F85601"/>
    <w:rsid w:val="00F87A6A"/>
    <w:rsid w:val="00F87AF7"/>
    <w:rsid w:val="00F964D8"/>
    <w:rsid w:val="00FA1418"/>
    <w:rsid w:val="00FA3E58"/>
    <w:rsid w:val="00FA4BAC"/>
    <w:rsid w:val="00FA4BD6"/>
    <w:rsid w:val="00FA65CD"/>
    <w:rsid w:val="00FA7FFE"/>
    <w:rsid w:val="00FB0566"/>
    <w:rsid w:val="00FC12C4"/>
    <w:rsid w:val="00FC4767"/>
    <w:rsid w:val="00FD0C9D"/>
    <w:rsid w:val="00FD0D0C"/>
    <w:rsid w:val="00FD152E"/>
    <w:rsid w:val="00FD451E"/>
    <w:rsid w:val="00FE1252"/>
    <w:rsid w:val="00FE207B"/>
    <w:rsid w:val="00FE3472"/>
    <w:rsid w:val="00FE50D9"/>
    <w:rsid w:val="00FE595B"/>
    <w:rsid w:val="00FE7549"/>
    <w:rsid w:val="00FE75A8"/>
    <w:rsid w:val="00FE7D56"/>
    <w:rsid w:val="00FF01C0"/>
    <w:rsid w:val="00FF0C15"/>
    <w:rsid w:val="00FF2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8CFABA7"/>
  <w15:docId w15:val="{F4A93128-660F-4B38-8C00-4687C7A5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5DD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902"/>
    <w:pPr>
      <w:ind w:left="720"/>
      <w:contextualSpacing/>
    </w:pPr>
  </w:style>
  <w:style w:type="paragraph" w:styleId="a4">
    <w:name w:val="No Spacing"/>
    <w:uiPriority w:val="1"/>
    <w:qFormat/>
    <w:rsid w:val="006D58C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8031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6E39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FF01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F01C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ody Text Indent"/>
    <w:basedOn w:val="a"/>
    <w:link w:val="a9"/>
    <w:rsid w:val="00D5043E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 відступом Знак"/>
    <w:basedOn w:val="a0"/>
    <w:link w:val="a8"/>
    <w:rsid w:val="00D504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82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482EDA"/>
    <w:rPr>
      <w:rFonts w:ascii="Calibri" w:eastAsia="Times New Roman" w:hAnsi="Calibri" w:cs="Times New Roman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482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482EDA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DF667-4CF5-4702-9A9F-0CA5A115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7750</Words>
  <Characters>4418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2026-02-25T11:30:00Z</cp:lastPrinted>
  <dcterms:created xsi:type="dcterms:W3CDTF">2026-02-24T09:39:00Z</dcterms:created>
  <dcterms:modified xsi:type="dcterms:W3CDTF">2026-02-25T11:31:00Z</dcterms:modified>
</cp:coreProperties>
</file>